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809C3">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r>
        <w:rPr>
          <w:rFonts w:hint="eastAsia" w:ascii="黑体" w:hAnsi="黑体" w:eastAsia="黑体" w:cs="黑体"/>
          <w:b w:val="0"/>
          <w:bCs w:val="0"/>
          <w:i w:val="0"/>
          <w:iCs w:val="0"/>
          <w:sz w:val="30"/>
          <w:szCs w:val="30"/>
          <w:rtl w:val="0"/>
          <w:lang w:val="zh-CN" w:eastAsia="zh-CN"/>
        </w:rPr>
        <w:t>口腔增材制造金属试样表面粗糙度检测</w:t>
      </w:r>
      <w:r>
        <w:rPr>
          <w:rFonts w:hint="eastAsia" w:ascii="黑体" w:hAnsi="黑体" w:eastAsia="黑体" w:cs="黑体"/>
          <w:b w:val="0"/>
          <w:bCs w:val="0"/>
          <w:i w:val="0"/>
          <w:iCs w:val="0"/>
          <w:sz w:val="30"/>
          <w:szCs w:val="30"/>
          <w:rtl w:val="0"/>
          <w:lang w:val="en-US" w:eastAsia="zh-CN"/>
        </w:rPr>
        <w:t>作业指导书</w:t>
      </w:r>
    </w:p>
    <w:p w14:paraId="5EDB2FD6">
      <w:pPr>
        <w:pStyle w:val="12"/>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3"/>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shd w:val="clear" w:color="auto" w:fill="auto"/>
                <w:rtl w:val="0"/>
                <w:lang w:val="en-US" w:eastAsia="zh-CN"/>
              </w:rPr>
            </w:pPr>
            <w:r>
              <w:rPr>
                <w:rFonts w:hint="eastAsia" w:ascii="宋体" w:hAnsi="宋体" w:eastAsia="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12"/>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3"/>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49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11"/>
              <w:keepNext w:val="0"/>
              <w:pageBreakBefore w:val="0"/>
              <w:framePr w:wrap="auto" w:vAnchor="margin" w:hAnchor="text" w:yAlign="inline"/>
              <w:widowControl w:val="0"/>
              <w:kinsoku w:val="0"/>
              <w:wordWrap/>
              <w:overflowPunct w:val="0"/>
              <w:topLinePunct w:val="0"/>
              <w:bidi w:val="0"/>
              <w:adjustRightInd/>
              <w:snapToGrid/>
              <w:spacing w:before="0" w:after="0"/>
              <w:jc w:val="left"/>
              <w:textAlignment w:val="auto"/>
              <w:rPr>
                <w:rFonts w:hint="eastAsia" w:ascii="宋体" w:hAnsi="宋体" w:eastAsia="宋体" w:cs="宋体"/>
                <w:b w:val="0"/>
                <w:bCs w:val="0"/>
                <w:sz w:val="21"/>
                <w:szCs w:val="21"/>
                <w:rtl w:val="0"/>
                <w:lang w:val="en-US" w:eastAsia="zh-CN"/>
              </w:rPr>
            </w:pPr>
            <w:r>
              <w:rPr>
                <w:rFonts w:hint="eastAsia" w:ascii="宋体" w:hAnsi="宋体" w:eastAsia="宋体" w:cs="宋体"/>
                <w:b w:val="0"/>
                <w:bCs w:val="0"/>
                <w:color w:val="auto"/>
                <w:sz w:val="21"/>
                <w:szCs w:val="21"/>
                <w:shd w:val="clear" w:color="auto" w:fill="auto"/>
                <w:rtl w:val="0"/>
                <w:lang w:val="en-US"/>
              </w:rPr>
              <w:t>建立</w:t>
            </w:r>
            <w:r>
              <w:rPr>
                <w:rFonts w:hint="eastAsia" w:ascii="宋体" w:hAnsi="宋体" w:eastAsia="宋体" w:cs="宋体"/>
                <w:b w:val="0"/>
                <w:bCs w:val="0"/>
                <w:i w:val="0"/>
                <w:iCs w:val="0"/>
                <w:sz w:val="21"/>
                <w:szCs w:val="21"/>
                <w:rtl w:val="0"/>
                <w:lang w:val="zh-CN" w:eastAsia="zh-CN"/>
              </w:rPr>
              <w:t>口腔增材制造金属试样表面粗糙度检测</w:t>
            </w:r>
            <w:r>
              <w:rPr>
                <w:rFonts w:hint="eastAsia" w:ascii="宋体" w:hAnsi="宋体" w:eastAsia="宋体" w:cs="宋体"/>
                <w:b w:val="0"/>
                <w:bCs w:val="0"/>
                <w:i w:val="0"/>
                <w:iCs w:val="0"/>
                <w:sz w:val="21"/>
                <w:szCs w:val="21"/>
                <w:rtl w:val="0"/>
                <w:lang w:val="en-US" w:eastAsia="zh-CN"/>
              </w:rPr>
              <w:t>作业指导书</w:t>
            </w:r>
            <w:r>
              <w:rPr>
                <w:rFonts w:hint="eastAsia" w:ascii="宋体" w:hAnsi="宋体" w:eastAsia="宋体" w:cs="宋体"/>
                <w:b w:val="0"/>
                <w:bCs w:val="0"/>
                <w:sz w:val="21"/>
                <w:szCs w:val="21"/>
                <w:shd w:val="clear" w:color="auto" w:fill="auto"/>
                <w:rtl w:val="0"/>
                <w:lang w:val="en-US" w:eastAsia="zh-CN"/>
              </w:rPr>
              <w:t>。</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B54ABFC">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880CD22">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4B5167B">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9157E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CCA6C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A02A25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23510CB">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D47C753">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D0A7895">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050531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C806D7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931D66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463E58">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8C541B1">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47A9EDB">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EE352A">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BC5E8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73DF08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65AD0C9">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5EF9DC4">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43F34D9">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DBDD8F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A3BD2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3BD8C2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FE09404">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9E994AD">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2BC1042">
            <w:pPr>
              <w:pStyle w:val="11"/>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F9D912F">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57BC6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bl>
    <w:p w14:paraId="4E3240F1">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p>
    <w:p w14:paraId="13F00A15">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bookmarkStart w:id="0" w:name="_GoBack"/>
      <w:bookmarkEnd w:id="0"/>
    </w:p>
    <w:p w14:paraId="4AD22D4B">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p>
    <w:p w14:paraId="3E9D527E">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p>
    <w:p w14:paraId="693DF780">
      <w:pPr>
        <w:pStyle w:val="8"/>
        <w:framePr w:wrap="auto" w:vAnchor="margin" w:hAnchor="text" w:yAlign="inline"/>
        <w:bidi w:val="0"/>
        <w:spacing w:before="0" w:after="299" w:line="240" w:lineRule="auto"/>
        <w:ind w:left="0" w:right="0" w:firstLine="0"/>
        <w:jc w:val="center"/>
        <w:rPr>
          <w:rFonts w:hint="eastAsia" w:ascii="黑体" w:hAnsi="黑体" w:eastAsia="黑体" w:cs="黑体"/>
          <w:b w:val="0"/>
          <w:bCs w:val="0"/>
          <w:i w:val="0"/>
          <w:iCs w:val="0"/>
          <w:sz w:val="30"/>
          <w:szCs w:val="30"/>
          <w:rtl w:val="0"/>
          <w:lang w:val="en-US" w:eastAsia="zh-CN"/>
        </w:rPr>
      </w:pPr>
    </w:p>
    <w:p w14:paraId="066FA99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val="0"/>
          <w:bCs w:val="0"/>
          <w:sz w:val="21"/>
          <w:szCs w:val="21"/>
          <w:rtl w:val="0"/>
        </w:rPr>
      </w:pPr>
    </w:p>
    <w:p w14:paraId="0AEADA84">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lang w:val="ru-RU"/>
        </w:rPr>
        <w:t xml:space="preserve">1 </w:t>
      </w:r>
      <w:r>
        <w:rPr>
          <w:rFonts w:hint="eastAsia" w:ascii="宋体" w:hAnsi="宋体" w:eastAsia="宋体" w:cs="宋体"/>
          <w:b w:val="0"/>
          <w:bCs w:val="0"/>
          <w:i w:val="0"/>
          <w:iCs w:val="0"/>
          <w:sz w:val="21"/>
          <w:szCs w:val="21"/>
          <w:rtl w:val="0"/>
          <w:lang w:val="zh-CN" w:eastAsia="zh-CN"/>
        </w:rPr>
        <w:t>目的</w:t>
      </w:r>
    </w:p>
    <w:p w14:paraId="796CE1A5">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规范口腔增材制造金属试样表面粗糙度检测中的设备启动、软件设置、校准核查、试样固定、测针调整、数据采集、结果计算、异常处理和原始记录保存，保证检测过程受控，检测结果真实、准确、完整和可追溯，满足实验室质量管理要求。</w:t>
      </w:r>
    </w:p>
    <w:p w14:paraId="4F845C7D">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2 </w:t>
      </w:r>
      <w:r>
        <w:rPr>
          <w:rFonts w:hint="eastAsia" w:ascii="宋体" w:hAnsi="宋体" w:eastAsia="宋体" w:cs="宋体"/>
          <w:b w:val="0"/>
          <w:bCs w:val="0"/>
          <w:i w:val="0"/>
          <w:iCs w:val="0"/>
          <w:sz w:val="21"/>
          <w:szCs w:val="21"/>
          <w:rtl w:val="0"/>
          <w:lang w:val="zh-CN" w:eastAsia="zh-CN"/>
        </w:rPr>
        <w:t>适用范围</w:t>
      </w:r>
    </w:p>
    <w:p w14:paraId="601F1B2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本</w:t>
      </w:r>
      <w:r>
        <w:rPr>
          <w:rFonts w:hint="eastAsia" w:ascii="宋体" w:hAnsi="宋体" w:eastAsia="宋体" w:cs="宋体"/>
          <w:b w:val="0"/>
          <w:bCs w:val="0"/>
          <w:i w:val="0"/>
          <w:iCs w:val="0"/>
          <w:sz w:val="21"/>
          <w:szCs w:val="21"/>
          <w:rtl w:val="0"/>
          <w:lang w:val="en-US" w:eastAsia="zh-CN"/>
        </w:rPr>
        <w:t>文件</w:t>
      </w:r>
      <w:r>
        <w:rPr>
          <w:rFonts w:hint="eastAsia" w:ascii="宋体" w:hAnsi="宋体" w:eastAsia="宋体" w:cs="宋体"/>
          <w:b w:val="0"/>
          <w:bCs w:val="0"/>
          <w:i w:val="0"/>
          <w:iCs w:val="0"/>
          <w:sz w:val="21"/>
          <w:szCs w:val="21"/>
          <w:rtl w:val="0"/>
          <w:lang w:val="zh-CN" w:eastAsia="zh-CN"/>
        </w:rPr>
        <w:t>适用于依据</w:t>
      </w:r>
      <w:r>
        <w:rPr>
          <w:rFonts w:hint="eastAsia" w:ascii="宋体" w:hAnsi="宋体" w:eastAsia="宋体" w:cs="宋体"/>
          <w:sz w:val="21"/>
          <w:szCs w:val="21"/>
          <w:rtl w:val="0"/>
        </w:rPr>
        <w:t>YY/T 1702</w:t>
      </w:r>
      <w:r>
        <w:rPr>
          <w:rFonts w:hint="eastAsia" w:ascii="宋体" w:hAnsi="宋体" w:eastAsia="宋体" w:cs="宋体"/>
          <w:sz w:val="21"/>
          <w:szCs w:val="21"/>
          <w:rtl w:val="0"/>
          <w:lang w:val="en-US"/>
        </w:rPr>
        <w:t>—</w:t>
      </w:r>
      <w:r>
        <w:rPr>
          <w:rFonts w:hint="eastAsia" w:ascii="宋体" w:hAnsi="宋体" w:eastAsia="宋体" w:cs="宋体"/>
          <w:sz w:val="21"/>
          <w:szCs w:val="21"/>
          <w:rtl w:val="0"/>
        </w:rPr>
        <w:t>2020</w:t>
      </w:r>
      <w:r>
        <w:rPr>
          <w:rFonts w:hint="eastAsia" w:ascii="宋体" w:hAnsi="宋体" w:eastAsia="宋体" w:cs="宋体"/>
          <w:b w:val="0"/>
          <w:bCs w:val="0"/>
          <w:i w:val="0"/>
          <w:iCs w:val="0"/>
          <w:sz w:val="21"/>
          <w:szCs w:val="21"/>
          <w:rtl w:val="0"/>
          <w:lang w:val="zh-CN" w:eastAsia="zh-CN"/>
        </w:rPr>
        <w:t>，对口腔固定和活动修复用激光选区熔化金属材料试样原打印表面进行接触式轮廓法表面粗糙度</w:t>
      </w:r>
      <w:r>
        <w:rPr>
          <w:rFonts w:hint="eastAsia" w:ascii="宋体" w:hAnsi="宋体" w:eastAsia="宋体" w:cs="宋体"/>
          <w:sz w:val="21"/>
          <w:szCs w:val="21"/>
          <w:rtl w:val="0"/>
        </w:rPr>
        <w:t>Ra</w:t>
      </w:r>
      <w:r>
        <w:rPr>
          <w:rFonts w:hint="eastAsia" w:ascii="宋体" w:hAnsi="宋体" w:eastAsia="宋体" w:cs="宋体"/>
          <w:b w:val="0"/>
          <w:bCs w:val="0"/>
          <w:i w:val="0"/>
          <w:iCs w:val="0"/>
          <w:sz w:val="21"/>
          <w:szCs w:val="21"/>
          <w:rtl w:val="0"/>
          <w:lang w:val="zh-CN" w:eastAsia="zh-CN"/>
        </w:rPr>
        <w:t>检测。</w:t>
      </w:r>
    </w:p>
    <w:p w14:paraId="414242D7">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用于</w:t>
      </w:r>
      <w:r>
        <w:rPr>
          <w:rFonts w:hint="eastAsia" w:ascii="宋体" w:hAnsi="宋体" w:eastAsia="宋体" w:cs="宋体"/>
          <w:b w:val="0"/>
          <w:bCs w:val="0"/>
          <w:i w:val="0"/>
          <w:iCs w:val="0"/>
          <w:sz w:val="21"/>
          <w:szCs w:val="21"/>
          <w:rtl w:val="0"/>
          <w:lang w:val="en-US" w:eastAsia="zh-CN"/>
        </w:rPr>
        <w:t>开展</w:t>
      </w:r>
      <w:r>
        <w:rPr>
          <w:rFonts w:hint="eastAsia" w:ascii="宋体" w:hAnsi="宋体" w:eastAsia="宋体" w:cs="宋体"/>
          <w:b w:val="0"/>
          <w:bCs w:val="0"/>
          <w:i w:val="0"/>
          <w:iCs w:val="0"/>
          <w:sz w:val="21"/>
          <w:szCs w:val="21"/>
          <w:rtl w:val="0"/>
          <w:lang w:val="zh-CN" w:eastAsia="zh-CN"/>
        </w:rPr>
        <w:t>检测</w:t>
      </w:r>
      <w:r>
        <w:rPr>
          <w:rFonts w:hint="eastAsia" w:ascii="宋体" w:hAnsi="宋体" w:eastAsia="宋体" w:cs="宋体"/>
          <w:b w:val="0"/>
          <w:bCs w:val="0"/>
          <w:i w:val="0"/>
          <w:iCs w:val="0"/>
          <w:sz w:val="21"/>
          <w:szCs w:val="21"/>
          <w:rtl w:val="0"/>
          <w:lang w:val="en-US" w:eastAsia="zh-CN"/>
        </w:rPr>
        <w:t>活动</w:t>
      </w:r>
      <w:r>
        <w:rPr>
          <w:rFonts w:hint="eastAsia" w:ascii="宋体" w:hAnsi="宋体" w:eastAsia="宋体" w:cs="宋体"/>
          <w:b w:val="0"/>
          <w:bCs w:val="0"/>
          <w:i w:val="0"/>
          <w:iCs w:val="0"/>
          <w:sz w:val="21"/>
          <w:szCs w:val="21"/>
          <w:rtl w:val="0"/>
          <w:lang w:val="zh-CN" w:eastAsia="zh-CN"/>
        </w:rPr>
        <w:t>前，应</w:t>
      </w:r>
      <w:r>
        <w:rPr>
          <w:rFonts w:hint="eastAsia" w:ascii="宋体" w:hAnsi="宋体" w:eastAsia="宋体" w:cs="宋体"/>
          <w:b w:val="0"/>
          <w:bCs w:val="0"/>
          <w:i w:val="0"/>
          <w:iCs w:val="0"/>
          <w:sz w:val="21"/>
          <w:szCs w:val="21"/>
          <w:rtl w:val="0"/>
          <w:lang w:val="en-US" w:eastAsia="zh-CN"/>
        </w:rPr>
        <w:t>验证</w:t>
      </w:r>
      <w:r>
        <w:rPr>
          <w:rFonts w:hint="eastAsia" w:ascii="宋体" w:hAnsi="宋体" w:eastAsia="宋体" w:cs="宋体"/>
          <w:b w:val="0"/>
          <w:bCs w:val="0"/>
          <w:i w:val="0"/>
          <w:iCs w:val="0"/>
          <w:sz w:val="21"/>
          <w:szCs w:val="21"/>
          <w:rtl w:val="0"/>
          <w:lang w:val="zh-CN" w:eastAsia="zh-CN"/>
        </w:rPr>
        <w:t>本项目、检测方法、设备、人员及授权签字范围已纳入实验室能力范围。</w:t>
      </w:r>
    </w:p>
    <w:p w14:paraId="7AB350F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3 </w:t>
      </w:r>
      <w:r>
        <w:rPr>
          <w:rFonts w:hint="eastAsia" w:ascii="宋体" w:hAnsi="宋体" w:eastAsia="宋体" w:cs="宋体"/>
          <w:b w:val="0"/>
          <w:bCs w:val="0"/>
          <w:i w:val="0"/>
          <w:iCs w:val="0"/>
          <w:sz w:val="21"/>
          <w:szCs w:val="21"/>
          <w:rtl w:val="0"/>
          <w:lang w:val="zh-CN" w:eastAsia="zh-CN"/>
        </w:rPr>
        <w:t>依据文件</w:t>
      </w:r>
    </w:p>
    <w:p w14:paraId="1BF3C6E4">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YY/T 1702</w:t>
      </w:r>
      <w:r>
        <w:rPr>
          <w:rFonts w:hint="eastAsia" w:ascii="宋体" w:hAnsi="宋体" w:eastAsia="宋体" w:cs="宋体"/>
          <w:sz w:val="21"/>
          <w:szCs w:val="21"/>
          <w:rtl w:val="0"/>
          <w:lang w:val="en-US"/>
        </w:rPr>
        <w:t>—</w:t>
      </w:r>
      <w:r>
        <w:rPr>
          <w:rFonts w:hint="eastAsia" w:ascii="宋体" w:hAnsi="宋体" w:eastAsia="宋体" w:cs="宋体"/>
          <w:sz w:val="21"/>
          <w:szCs w:val="21"/>
          <w:rtl w:val="0"/>
        </w:rPr>
        <w:t>2020</w:t>
      </w:r>
      <w:r>
        <w:rPr>
          <w:rFonts w:hint="eastAsia" w:ascii="宋体" w:hAnsi="宋体" w:eastAsia="宋体" w:cs="宋体"/>
          <w:b w:val="0"/>
          <w:bCs w:val="0"/>
          <w:i w:val="0"/>
          <w:iCs w:val="0"/>
          <w:sz w:val="21"/>
          <w:szCs w:val="21"/>
          <w:rtl w:val="0"/>
          <w:lang w:val="ja-JP" w:eastAsia="ja-JP"/>
        </w:rPr>
        <w:t>《牙科学</w:t>
      </w:r>
      <w:r>
        <w:rPr>
          <w:rFonts w:hint="eastAsia" w:ascii="宋体" w:hAnsi="宋体" w:eastAsia="宋体" w:cs="宋体"/>
          <w:sz w:val="21"/>
          <w:szCs w:val="21"/>
          <w:rtl w:val="0"/>
        </w:rPr>
        <w:t xml:space="preserve"> </w:t>
      </w:r>
      <w:r>
        <w:rPr>
          <w:rFonts w:hint="eastAsia" w:ascii="宋体" w:hAnsi="宋体" w:eastAsia="宋体" w:cs="宋体"/>
          <w:b w:val="0"/>
          <w:bCs w:val="0"/>
          <w:i w:val="0"/>
          <w:iCs w:val="0"/>
          <w:sz w:val="21"/>
          <w:szCs w:val="21"/>
          <w:rtl w:val="0"/>
          <w:lang w:val="zh-CN" w:eastAsia="zh-CN"/>
        </w:rPr>
        <w:t>增材制造</w:t>
      </w:r>
      <w:r>
        <w:rPr>
          <w:rFonts w:hint="eastAsia" w:ascii="宋体" w:hAnsi="宋体" w:eastAsia="宋体" w:cs="宋体"/>
          <w:sz w:val="21"/>
          <w:szCs w:val="21"/>
          <w:rtl w:val="0"/>
        </w:rPr>
        <w:t xml:space="preserve"> </w:t>
      </w:r>
      <w:r>
        <w:rPr>
          <w:rFonts w:hint="eastAsia" w:ascii="宋体" w:hAnsi="宋体" w:eastAsia="宋体" w:cs="宋体"/>
          <w:b w:val="0"/>
          <w:bCs w:val="0"/>
          <w:i w:val="0"/>
          <w:iCs w:val="0"/>
          <w:sz w:val="21"/>
          <w:szCs w:val="21"/>
          <w:rtl w:val="0"/>
          <w:lang w:val="zh-CN" w:eastAsia="zh-CN"/>
        </w:rPr>
        <w:t>口腔固定和活动修复用激光选区熔化金属材料》；</w:t>
      </w:r>
    </w:p>
    <w:p w14:paraId="5187B4BA">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GB/T 10610</w:t>
      </w:r>
      <w:r>
        <w:rPr>
          <w:rFonts w:hint="eastAsia" w:ascii="宋体" w:hAnsi="宋体" w:eastAsia="宋体" w:cs="宋体"/>
          <w:b w:val="0"/>
          <w:bCs w:val="0"/>
          <w:i w:val="0"/>
          <w:iCs w:val="0"/>
          <w:sz w:val="21"/>
          <w:szCs w:val="21"/>
          <w:rtl w:val="0"/>
          <w:lang w:val="zh-CN" w:eastAsia="zh-CN"/>
        </w:rPr>
        <w:t>《产品几何技术规范（</w:t>
      </w:r>
      <w:r>
        <w:rPr>
          <w:rFonts w:hint="eastAsia" w:ascii="宋体" w:hAnsi="宋体" w:eastAsia="宋体" w:cs="宋体"/>
          <w:sz w:val="21"/>
          <w:szCs w:val="21"/>
          <w:rtl w:val="0"/>
          <w:lang w:val="fr-FR"/>
        </w:rPr>
        <w:t>GPS</w:t>
      </w:r>
      <w:r>
        <w:rPr>
          <w:rFonts w:hint="eastAsia" w:ascii="宋体" w:hAnsi="宋体" w:eastAsia="宋体" w:cs="宋体"/>
          <w:b w:val="0"/>
          <w:bCs w:val="0"/>
          <w:i w:val="0"/>
          <w:iCs w:val="0"/>
          <w:sz w:val="21"/>
          <w:szCs w:val="21"/>
          <w:rtl w:val="0"/>
        </w:rPr>
        <w:t>）</w:t>
      </w:r>
      <w:r>
        <w:rPr>
          <w:rFonts w:hint="eastAsia" w:ascii="宋体" w:hAnsi="宋体" w:eastAsia="宋体" w:cs="宋体"/>
          <w:sz w:val="21"/>
          <w:szCs w:val="21"/>
          <w:rtl w:val="0"/>
        </w:rPr>
        <w:t xml:space="preserve"> </w:t>
      </w:r>
      <w:r>
        <w:rPr>
          <w:rFonts w:hint="eastAsia" w:ascii="宋体" w:hAnsi="宋体" w:eastAsia="宋体" w:cs="宋体"/>
          <w:b w:val="0"/>
          <w:bCs w:val="0"/>
          <w:i w:val="0"/>
          <w:iCs w:val="0"/>
          <w:sz w:val="21"/>
          <w:szCs w:val="21"/>
          <w:rtl w:val="0"/>
          <w:lang w:val="zh-CN" w:eastAsia="zh-CN"/>
        </w:rPr>
        <w:t>表面结构</w:t>
      </w:r>
      <w:r>
        <w:rPr>
          <w:rFonts w:hint="eastAsia" w:ascii="宋体" w:hAnsi="宋体" w:eastAsia="宋体" w:cs="宋体"/>
          <w:sz w:val="21"/>
          <w:szCs w:val="21"/>
          <w:rtl w:val="0"/>
        </w:rPr>
        <w:t xml:space="preserve"> </w:t>
      </w:r>
      <w:r>
        <w:rPr>
          <w:rFonts w:hint="eastAsia" w:ascii="宋体" w:hAnsi="宋体" w:eastAsia="宋体" w:cs="宋体"/>
          <w:b w:val="0"/>
          <w:bCs w:val="0"/>
          <w:i w:val="0"/>
          <w:iCs w:val="0"/>
          <w:sz w:val="21"/>
          <w:szCs w:val="21"/>
          <w:rtl w:val="0"/>
          <w:lang w:val="zh-CN" w:eastAsia="zh-CN"/>
        </w:rPr>
        <w:t>轮廓法</w:t>
      </w:r>
      <w:r>
        <w:rPr>
          <w:rFonts w:hint="eastAsia" w:ascii="宋体" w:hAnsi="宋体" w:eastAsia="宋体" w:cs="宋体"/>
          <w:sz w:val="21"/>
          <w:szCs w:val="21"/>
          <w:rtl w:val="0"/>
        </w:rPr>
        <w:t xml:space="preserve"> </w:t>
      </w:r>
      <w:r>
        <w:rPr>
          <w:rFonts w:hint="eastAsia" w:ascii="宋体" w:hAnsi="宋体" w:eastAsia="宋体" w:cs="宋体"/>
          <w:b w:val="0"/>
          <w:bCs w:val="0"/>
          <w:i w:val="0"/>
          <w:iCs w:val="0"/>
          <w:sz w:val="21"/>
          <w:szCs w:val="21"/>
          <w:rtl w:val="0"/>
          <w:lang w:val="zh-CN" w:eastAsia="zh-CN"/>
        </w:rPr>
        <w:t>评定表面结构的规则和方法》；</w:t>
      </w:r>
    </w:p>
    <w:p w14:paraId="1CBE6957">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粗糙度仪使用说明书；</w:t>
      </w:r>
    </w:p>
    <w:p w14:paraId="1D8964C1">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en-US"/>
        </w:rPr>
      </w:pP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软件使用说明书；</w:t>
      </w:r>
    </w:p>
    <w:p w14:paraId="12625015">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实验室</w:t>
      </w:r>
      <w:r>
        <w:rPr>
          <w:rFonts w:hint="eastAsia" w:ascii="宋体" w:hAnsi="宋体" w:eastAsia="宋体" w:cs="宋体"/>
          <w:color w:val="auto"/>
          <w:sz w:val="21"/>
          <w:szCs w:val="21"/>
          <w:rtl w:val="0"/>
          <w:lang w:val="en-US"/>
        </w:rPr>
        <w:t>实验室质量手册、程序文件</w:t>
      </w:r>
      <w:r>
        <w:rPr>
          <w:rFonts w:hint="eastAsia" w:ascii="宋体" w:hAnsi="宋体" w:eastAsia="宋体" w:cs="宋体"/>
          <w:color w:val="auto"/>
          <w:sz w:val="21"/>
          <w:szCs w:val="21"/>
          <w:rtl w:val="0"/>
          <w:lang w:val="en-US" w:eastAsia="zh-CN"/>
        </w:rPr>
        <w:t>的</w:t>
      </w:r>
      <w:r>
        <w:rPr>
          <w:rFonts w:hint="eastAsia" w:ascii="宋体" w:hAnsi="宋体" w:eastAsia="宋体" w:cs="宋体"/>
          <w:color w:val="auto"/>
          <w:sz w:val="21"/>
          <w:szCs w:val="21"/>
          <w:rtl w:val="0"/>
          <w:lang w:val="en-US"/>
        </w:rPr>
        <w:t>要求</w:t>
      </w:r>
      <w:r>
        <w:rPr>
          <w:rFonts w:hint="eastAsia" w:ascii="宋体" w:hAnsi="宋体" w:eastAsia="宋体" w:cs="宋体"/>
          <w:color w:val="auto"/>
          <w:sz w:val="21"/>
          <w:szCs w:val="21"/>
          <w:rtl w:val="0"/>
          <w:lang w:val="en-US" w:eastAsia="zh-CN"/>
        </w:rPr>
        <w:t>。</w:t>
      </w:r>
    </w:p>
    <w:p w14:paraId="293A4915">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4 </w:t>
      </w:r>
      <w:r>
        <w:rPr>
          <w:rFonts w:hint="eastAsia" w:ascii="宋体" w:hAnsi="宋体" w:eastAsia="宋体" w:cs="宋体"/>
          <w:b w:val="0"/>
          <w:bCs w:val="0"/>
          <w:i w:val="0"/>
          <w:iCs w:val="0"/>
          <w:sz w:val="21"/>
          <w:szCs w:val="21"/>
          <w:rtl w:val="0"/>
          <w:lang w:val="zh-CN" w:eastAsia="zh-CN"/>
        </w:rPr>
        <w:t>术语和定义</w:t>
      </w:r>
    </w:p>
    <w:p w14:paraId="1BF7955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default" w:ascii="Times New Roman" w:hAnsi="Times New Roman" w:eastAsia="宋体" w:cs="Times New Roman"/>
          <w:b/>
          <w:bCs/>
          <w:sz w:val="21"/>
          <w:szCs w:val="21"/>
          <w:rtl w:val="0"/>
        </w:rPr>
      </w:pPr>
      <w:r>
        <w:rPr>
          <w:rFonts w:hint="eastAsia" w:ascii="宋体" w:hAnsi="宋体" w:eastAsia="宋体" w:cs="宋体"/>
          <w:b/>
          <w:bCs/>
          <w:sz w:val="21"/>
          <w:szCs w:val="21"/>
          <w:rtl w:val="0"/>
        </w:rPr>
        <w:t xml:space="preserve">4.1 </w:t>
      </w:r>
      <w:r>
        <w:rPr>
          <w:rFonts w:hint="default" w:ascii="Times New Roman" w:hAnsi="Times New Roman" w:eastAsia="宋体" w:cs="Times New Roman"/>
          <w:b/>
          <w:bCs/>
          <w:i/>
          <w:iCs/>
          <w:sz w:val="21"/>
          <w:szCs w:val="21"/>
          <w:rtl w:val="0"/>
        </w:rPr>
        <w:t>Ra</w:t>
      </w:r>
    </w:p>
    <w:p w14:paraId="6710342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在一个取样长度内，轮廓偏距绝对值的算术平均值，单位为微米（</w:t>
      </w:r>
      <w:r>
        <w:rPr>
          <w:rFonts w:hint="default" w:ascii="Times New Roman" w:hAnsi="Times New Roman" w:eastAsia="宋体" w:cs="Times New Roman"/>
          <w:sz w:val="21"/>
          <w:szCs w:val="21"/>
          <w:rtl w:val="0"/>
        </w:rPr>
        <w:t>μm</w:t>
      </w:r>
      <w:r>
        <w:rPr>
          <w:rFonts w:hint="eastAsia" w:ascii="宋体" w:hAnsi="宋体" w:eastAsia="宋体" w:cs="宋体"/>
          <w:b w:val="0"/>
          <w:bCs w:val="0"/>
          <w:i w:val="0"/>
          <w:iCs w:val="0"/>
          <w:sz w:val="21"/>
          <w:szCs w:val="21"/>
          <w:rtl w:val="0"/>
        </w:rPr>
        <w:t>）。</w:t>
      </w:r>
    </w:p>
    <w:p w14:paraId="540F465F">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4.2 </w:t>
      </w:r>
      <w:r>
        <w:rPr>
          <w:rFonts w:hint="eastAsia" w:ascii="宋体" w:hAnsi="宋体" w:eastAsia="宋体" w:cs="宋体"/>
          <w:b w:val="0"/>
          <w:bCs w:val="0"/>
          <w:i w:val="0"/>
          <w:iCs w:val="0"/>
          <w:sz w:val="21"/>
          <w:szCs w:val="21"/>
          <w:rtl w:val="0"/>
          <w:lang w:val="zh-CN" w:eastAsia="zh-CN"/>
        </w:rPr>
        <w:t>取样长度</w:t>
      </w:r>
    </w:p>
    <w:p w14:paraId="2C361A99">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用于判别被评定轮廓不规则特征的基准长度。本</w:t>
      </w:r>
      <w:r>
        <w:rPr>
          <w:rFonts w:hint="eastAsia" w:ascii="宋体" w:hAnsi="宋体" w:eastAsia="宋体" w:cs="宋体"/>
          <w:b w:val="0"/>
          <w:bCs w:val="0"/>
          <w:i w:val="0"/>
          <w:iCs w:val="0"/>
          <w:sz w:val="21"/>
          <w:szCs w:val="21"/>
          <w:rtl w:val="0"/>
          <w:lang w:val="en-US" w:eastAsia="zh-CN"/>
        </w:rPr>
        <w:t>实验室检测样品时</w:t>
      </w:r>
      <w:r>
        <w:rPr>
          <w:rFonts w:hint="eastAsia" w:ascii="宋体" w:hAnsi="宋体" w:eastAsia="宋体" w:cs="宋体"/>
          <w:b w:val="0"/>
          <w:bCs w:val="0"/>
          <w:i w:val="0"/>
          <w:iCs w:val="0"/>
          <w:sz w:val="21"/>
          <w:szCs w:val="21"/>
          <w:rtl w:val="0"/>
          <w:lang w:val="zh-CN" w:eastAsia="zh-CN"/>
        </w:rPr>
        <w:t>设置为</w:t>
      </w:r>
      <w:r>
        <w:rPr>
          <w:rFonts w:hint="eastAsia" w:ascii="宋体" w:hAnsi="宋体" w:eastAsia="宋体" w:cs="宋体"/>
          <w:sz w:val="21"/>
          <w:szCs w:val="21"/>
          <w:rtl w:val="0"/>
        </w:rPr>
        <w:t>0.8 mm</w:t>
      </w:r>
      <w:r>
        <w:rPr>
          <w:rFonts w:hint="eastAsia" w:ascii="宋体" w:hAnsi="宋体" w:eastAsia="宋体" w:cs="宋体"/>
          <w:b w:val="0"/>
          <w:bCs w:val="0"/>
          <w:i w:val="0"/>
          <w:iCs w:val="0"/>
          <w:sz w:val="21"/>
          <w:szCs w:val="21"/>
          <w:rtl w:val="0"/>
        </w:rPr>
        <w:t>。</w:t>
      </w:r>
    </w:p>
    <w:p w14:paraId="4C10212F">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4.3 </w:t>
      </w:r>
      <w:r>
        <w:rPr>
          <w:rFonts w:hint="eastAsia" w:ascii="宋体" w:hAnsi="宋体" w:eastAsia="宋体" w:cs="宋体"/>
          <w:b w:val="0"/>
          <w:bCs w:val="0"/>
          <w:i w:val="0"/>
          <w:iCs w:val="0"/>
          <w:sz w:val="21"/>
          <w:szCs w:val="21"/>
          <w:rtl w:val="0"/>
          <w:lang w:val="zh-CN" w:eastAsia="zh-CN"/>
        </w:rPr>
        <w:t>评定长度</w:t>
      </w:r>
    </w:p>
    <w:p w14:paraId="6AE12AB9">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用于评价表面粗糙度参数的总长度。本规程采用</w:t>
      </w:r>
      <w:r>
        <w:rPr>
          <w:rFonts w:hint="eastAsia" w:ascii="宋体" w:hAnsi="宋体" w:eastAsia="宋体" w:cs="宋体"/>
          <w:sz w:val="21"/>
          <w:szCs w:val="21"/>
          <w:rtl w:val="0"/>
        </w:rPr>
        <w:t>5</w:t>
      </w:r>
      <w:r>
        <w:rPr>
          <w:rFonts w:hint="eastAsia" w:ascii="宋体" w:hAnsi="宋体" w:eastAsia="宋体" w:cs="宋体"/>
          <w:b w:val="0"/>
          <w:bCs w:val="0"/>
          <w:i w:val="0"/>
          <w:iCs w:val="0"/>
          <w:sz w:val="21"/>
          <w:szCs w:val="21"/>
          <w:rtl w:val="0"/>
          <w:lang w:val="zh-CN" w:eastAsia="zh-CN"/>
        </w:rPr>
        <w:t>个取样长度：</w:t>
      </w:r>
    </w:p>
    <w:p w14:paraId="289F479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评定长度＝</w:t>
      </w:r>
      <w:r>
        <w:rPr>
          <w:rFonts w:hint="eastAsia" w:ascii="宋体" w:hAnsi="宋体" w:eastAsia="宋体" w:cs="宋体"/>
          <w:sz w:val="21"/>
          <w:szCs w:val="21"/>
          <w:rtl w:val="0"/>
        </w:rPr>
        <w:t>0.8 mm×5</w:t>
      </w:r>
      <w:r>
        <w:rPr>
          <w:rFonts w:hint="eastAsia" w:ascii="宋体" w:hAnsi="宋体" w:eastAsia="宋体" w:cs="宋体"/>
          <w:b w:val="0"/>
          <w:bCs w:val="0"/>
          <w:i w:val="0"/>
          <w:iCs w:val="0"/>
          <w:sz w:val="21"/>
          <w:szCs w:val="21"/>
          <w:rtl w:val="0"/>
        </w:rPr>
        <w:t>＝</w:t>
      </w:r>
      <w:r>
        <w:rPr>
          <w:rFonts w:hint="eastAsia" w:ascii="宋体" w:hAnsi="宋体" w:eastAsia="宋体" w:cs="宋体"/>
          <w:sz w:val="21"/>
          <w:szCs w:val="21"/>
          <w:rtl w:val="0"/>
        </w:rPr>
        <w:t>4.0 mm</w:t>
      </w:r>
      <w:r>
        <w:rPr>
          <w:rFonts w:hint="eastAsia" w:ascii="宋体" w:hAnsi="宋体" w:eastAsia="宋体" w:cs="宋体"/>
          <w:b w:val="0"/>
          <w:bCs w:val="0"/>
          <w:i w:val="0"/>
          <w:iCs w:val="0"/>
          <w:sz w:val="21"/>
          <w:szCs w:val="21"/>
          <w:rtl w:val="0"/>
        </w:rPr>
        <w:t>。</w:t>
      </w:r>
    </w:p>
    <w:p w14:paraId="2CFB8687">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4.4 </w:t>
      </w:r>
      <w:r>
        <w:rPr>
          <w:rFonts w:hint="eastAsia" w:ascii="宋体" w:hAnsi="宋体" w:eastAsia="宋体" w:cs="宋体"/>
          <w:b w:val="0"/>
          <w:bCs w:val="0"/>
          <w:i w:val="0"/>
          <w:iCs w:val="0"/>
          <w:sz w:val="21"/>
          <w:szCs w:val="21"/>
          <w:rtl w:val="0"/>
          <w:lang w:val="zh-TW" w:eastAsia="zh-TW"/>
        </w:rPr>
        <w:t>原打印表面</w:t>
      </w:r>
    </w:p>
    <w:p w14:paraId="611B300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试样完成打印及标准规定的热处理后，未经过打磨、抛光、车削、喷砂或其他改变表面形貌处理的检测表面。</w:t>
      </w:r>
    </w:p>
    <w:p w14:paraId="7CA0E21B">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5 </w:t>
      </w:r>
      <w:r>
        <w:rPr>
          <w:rFonts w:hint="eastAsia" w:ascii="宋体" w:hAnsi="宋体" w:eastAsia="宋体" w:cs="宋体"/>
          <w:b w:val="0"/>
          <w:bCs w:val="0"/>
          <w:i w:val="0"/>
          <w:iCs w:val="0"/>
          <w:sz w:val="21"/>
          <w:szCs w:val="21"/>
          <w:rtl w:val="0"/>
          <w:lang w:val="zh-CN" w:eastAsia="zh-CN"/>
        </w:rPr>
        <w:t>职责</w:t>
      </w:r>
    </w:p>
    <w:tbl>
      <w:tblPr>
        <w:tblStyle w:val="3"/>
        <w:tblW w:w="9638"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Layout w:type="fixed"/>
        <w:tblCellMar>
          <w:top w:w="0" w:type="dxa"/>
          <w:left w:w="10" w:type="dxa"/>
          <w:bottom w:w="0" w:type="dxa"/>
          <w:right w:w="10" w:type="dxa"/>
        </w:tblCellMar>
      </w:tblPr>
      <w:tblGrid>
        <w:gridCol w:w="1287"/>
        <w:gridCol w:w="8351"/>
      </w:tblGrid>
      <w:tr w14:paraId="5FDC40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40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96A97D6">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b/>
                <w:bCs/>
                <w:sz w:val="21"/>
                <w:szCs w:val="21"/>
                <w:rtl w:val="0"/>
              </w:rPr>
              <w:t>岗位</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180EC63">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b/>
                <w:bCs/>
                <w:sz w:val="21"/>
                <w:szCs w:val="21"/>
                <w:rtl w:val="0"/>
              </w:rPr>
              <w:t>职责</w:t>
            </w:r>
          </w:p>
        </w:tc>
      </w:tr>
      <w:tr w14:paraId="522E4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68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6D3407A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检测人员</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0A4DE533">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负责样品核对、设备检查、软件设置、校准核查、试样固定、检测实施、原始数据保存和结果计算。</w:t>
            </w:r>
          </w:p>
        </w:tc>
      </w:tr>
      <w:tr w14:paraId="6FA36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04F266A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lang w:eastAsia="zh-CN"/>
              </w:rPr>
            </w:pPr>
            <w:r>
              <w:rPr>
                <w:rFonts w:hint="eastAsia" w:ascii="宋体" w:hAnsi="宋体" w:eastAsia="宋体" w:cs="宋体"/>
                <w:sz w:val="21"/>
                <w:szCs w:val="21"/>
                <w:rtl w:val="0"/>
                <w:lang w:eastAsia="zh-CN"/>
              </w:rPr>
              <w:t>核验人员</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7790B3D">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负责复核试样编号、测量方向、参数设置、原始曲线、测量数据、计算结果和判定结论。</w:t>
            </w:r>
          </w:p>
        </w:tc>
      </w:tr>
      <w:tr w14:paraId="493998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68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BE7CAE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设备管理员</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F75AB6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负责粗糙度仪、标准块、测量平台及夹具的校准、期间核查、维护和状态管理。</w:t>
            </w:r>
          </w:p>
        </w:tc>
      </w:tr>
      <w:tr w14:paraId="0A13E1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68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6E0DD489">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技术负责人</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016FC212">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负责方法</w:t>
            </w:r>
            <w:r>
              <w:rPr>
                <w:rFonts w:hint="eastAsia" w:ascii="宋体" w:hAnsi="宋体" w:eastAsia="宋体" w:cs="宋体"/>
                <w:sz w:val="21"/>
                <w:szCs w:val="21"/>
                <w:rtl w:val="0"/>
                <w:lang w:val="en-US" w:eastAsia="zh-CN"/>
              </w:rPr>
              <w:t>验证</w:t>
            </w:r>
            <w:r>
              <w:rPr>
                <w:rFonts w:hint="eastAsia" w:ascii="宋体" w:hAnsi="宋体" w:eastAsia="宋体" w:cs="宋体"/>
                <w:sz w:val="21"/>
                <w:szCs w:val="21"/>
                <w:rtl w:val="0"/>
              </w:rPr>
              <w:t>、偏离评审、异常数据处理、测量不确定度评定及技术争议处理。</w:t>
            </w:r>
          </w:p>
        </w:tc>
      </w:tr>
      <w:tr w14:paraId="487145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687" w:hRule="atLeast"/>
        </w:trPr>
        <w:tc>
          <w:tcPr>
            <w:tcW w:w="1287"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06B8C09">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质量负责人</w:t>
            </w:r>
          </w:p>
        </w:tc>
        <w:tc>
          <w:tcPr>
            <w:tcW w:w="8351"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4E34CEC">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负责监督本</w:t>
            </w:r>
            <w:r>
              <w:rPr>
                <w:rFonts w:hint="eastAsia" w:ascii="宋体" w:hAnsi="宋体" w:eastAsia="宋体" w:cs="宋体"/>
                <w:sz w:val="21"/>
                <w:szCs w:val="21"/>
                <w:rtl w:val="0"/>
                <w:lang w:val="en-US" w:eastAsia="zh-CN"/>
              </w:rPr>
              <w:t>文件</w:t>
            </w:r>
            <w:r>
              <w:rPr>
                <w:rFonts w:hint="eastAsia" w:ascii="宋体" w:hAnsi="宋体" w:eastAsia="宋体" w:cs="宋体"/>
                <w:sz w:val="21"/>
                <w:szCs w:val="21"/>
                <w:rtl w:val="0"/>
              </w:rPr>
              <w:t>执行、不符合工作处理及记录完整性检查。</w:t>
            </w:r>
          </w:p>
        </w:tc>
      </w:tr>
    </w:tbl>
    <w:p w14:paraId="73449C3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6 </w:t>
      </w:r>
      <w:r>
        <w:rPr>
          <w:rFonts w:hint="eastAsia" w:ascii="宋体" w:hAnsi="宋体" w:eastAsia="宋体" w:cs="宋体"/>
          <w:b w:val="0"/>
          <w:bCs w:val="0"/>
          <w:i w:val="0"/>
          <w:iCs w:val="0"/>
          <w:sz w:val="21"/>
          <w:szCs w:val="21"/>
          <w:rtl w:val="0"/>
          <w:lang w:val="zh-CN" w:eastAsia="zh-CN"/>
        </w:rPr>
        <w:t>人员要求</w:t>
      </w:r>
    </w:p>
    <w:p w14:paraId="4C4317CC">
      <w:pPr>
        <w:pStyle w:val="8"/>
        <w:keepNext w:val="0"/>
        <w:keepLines w:val="0"/>
        <w:pageBreakBefore w:val="0"/>
        <w:framePr w:wrap="auto" w:vAnchor="margin" w:hAnchor="text" w:yAlign="inline"/>
        <w:widowControl/>
        <w:numPr>
          <w:ilvl w:val="0"/>
          <w:numId w:val="2"/>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检测人员应接受</w:t>
      </w:r>
      <w:r>
        <w:rPr>
          <w:rFonts w:hint="eastAsia" w:ascii="宋体" w:hAnsi="宋体" w:eastAsia="宋体" w:cs="宋体"/>
          <w:sz w:val="21"/>
          <w:szCs w:val="21"/>
          <w:rtl w:val="0"/>
        </w:rPr>
        <w:t>YY/T 1702</w:t>
      </w:r>
      <w:r>
        <w:rPr>
          <w:rFonts w:hint="eastAsia" w:ascii="宋体" w:hAnsi="宋体" w:eastAsia="宋体" w:cs="宋体"/>
          <w:sz w:val="21"/>
          <w:szCs w:val="21"/>
          <w:rtl w:val="0"/>
          <w:lang w:val="en-US"/>
        </w:rPr>
        <w:t>—</w:t>
      </w:r>
      <w:r>
        <w:rPr>
          <w:rFonts w:hint="eastAsia" w:ascii="宋体" w:hAnsi="宋体" w:eastAsia="宋体" w:cs="宋体"/>
          <w:sz w:val="21"/>
          <w:szCs w:val="21"/>
          <w:rtl w:val="0"/>
        </w:rPr>
        <w:t>2020</w:t>
      </w:r>
      <w:r>
        <w:rPr>
          <w:rFonts w:hint="eastAsia" w:ascii="宋体" w:hAnsi="宋体" w:eastAsia="宋体" w:cs="宋体"/>
          <w:b w:val="0"/>
          <w:bCs w:val="0"/>
          <w:i w:val="0"/>
          <w:iCs w:val="0"/>
          <w:sz w:val="21"/>
          <w:szCs w:val="21"/>
          <w:rtl w:val="0"/>
          <w:lang w:val="zh-CN" w:eastAsia="zh-CN"/>
        </w:rPr>
        <w:t>、轮廓法粗糙度测量、粗糙度仪操作、</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软件操作和原始记录要求培训。</w:t>
      </w:r>
    </w:p>
    <w:p w14:paraId="7A9DF83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经能力确认和授权后，方可独立进行检测。</w:t>
      </w:r>
    </w:p>
    <w:p w14:paraId="188B388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未经授权人员不得修改软件关键参数、执行校准或删除原始数据。</w:t>
      </w:r>
    </w:p>
    <w:p w14:paraId="3ABC6D1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核验人员应熟悉取样长度、评定长度、滤波方法、测量方向和结果判定要求。</w:t>
      </w:r>
    </w:p>
    <w:p w14:paraId="5C350991">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lang w:val="ru-RU"/>
        </w:rPr>
        <w:t xml:space="preserve">7 </w:t>
      </w:r>
      <w:r>
        <w:rPr>
          <w:rFonts w:hint="eastAsia" w:ascii="宋体" w:hAnsi="宋体" w:eastAsia="宋体" w:cs="宋体"/>
          <w:b w:val="0"/>
          <w:bCs w:val="0"/>
          <w:i w:val="0"/>
          <w:iCs w:val="0"/>
          <w:sz w:val="21"/>
          <w:szCs w:val="21"/>
          <w:rtl w:val="0"/>
          <w:lang w:val="zh-CN" w:eastAsia="zh-CN"/>
        </w:rPr>
        <w:t>环境条件</w:t>
      </w:r>
    </w:p>
    <w:p w14:paraId="1C076199">
      <w:pPr>
        <w:pStyle w:val="8"/>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检测区域应清洁、干燥，无明显粉尘、油污和腐蚀性气体。</w:t>
      </w:r>
    </w:p>
    <w:p w14:paraId="1F65E701">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应避免强振动、明显气流、阳光直射和强磁场干扰。</w:t>
      </w:r>
    </w:p>
    <w:p w14:paraId="750A4A3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粗糙度仪应安装在稳固的测量平台上，不宜与万能试验机、切割机、抛磨机等振动设备同时运行。</w:t>
      </w:r>
    </w:p>
    <w:p w14:paraId="3164850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环境温度、相对湿度应满足设备说明书及实验室规定，并记录实际值。</w:t>
      </w:r>
    </w:p>
    <w:p w14:paraId="71F3D05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环境条件超出受控范围时，应暂停检测。</w:t>
      </w:r>
    </w:p>
    <w:p w14:paraId="5BBC819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8 </w:t>
      </w:r>
      <w:r>
        <w:rPr>
          <w:rFonts w:hint="eastAsia" w:ascii="宋体" w:hAnsi="宋体" w:eastAsia="宋体" w:cs="宋体"/>
          <w:b w:val="0"/>
          <w:bCs w:val="0"/>
          <w:i w:val="0"/>
          <w:iCs w:val="0"/>
          <w:sz w:val="21"/>
          <w:szCs w:val="21"/>
          <w:rtl w:val="0"/>
          <w:lang w:val="zh-CN" w:eastAsia="zh-CN"/>
        </w:rPr>
        <w:t>仪器设备、工装及材料</w:t>
      </w:r>
    </w:p>
    <w:tbl>
      <w:tblPr>
        <w:tblStyle w:val="3"/>
        <w:tblW w:w="9638"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Layout w:type="fixed"/>
        <w:tblCellMar>
          <w:top w:w="0" w:type="dxa"/>
          <w:left w:w="10" w:type="dxa"/>
          <w:bottom w:w="0" w:type="dxa"/>
          <w:right w:w="10" w:type="dxa"/>
        </w:tblCellMar>
      </w:tblPr>
      <w:tblGrid>
        <w:gridCol w:w="2600"/>
        <w:gridCol w:w="3854"/>
        <w:gridCol w:w="3184"/>
      </w:tblGrid>
      <w:tr w14:paraId="17B34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019A1AAD">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b/>
                <w:bCs/>
                <w:sz w:val="21"/>
                <w:szCs w:val="21"/>
                <w:rtl w:val="0"/>
              </w:rPr>
              <w:t>名称</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8C317E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b/>
                <w:bCs/>
                <w:sz w:val="21"/>
                <w:szCs w:val="21"/>
                <w:rtl w:val="0"/>
              </w:rPr>
              <w:t>用途</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6693E632">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b/>
                <w:bCs/>
                <w:sz w:val="21"/>
                <w:szCs w:val="21"/>
                <w:rtl w:val="0"/>
              </w:rPr>
              <w:t>管理要求</w:t>
            </w:r>
          </w:p>
        </w:tc>
      </w:tr>
      <w:tr w14:paraId="0F85FD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21BCD426">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粗糙度仪</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3FCAF89D">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采集表面轮廓及测量</w:t>
            </w:r>
            <w:r>
              <w:rPr>
                <w:rFonts w:hint="default" w:ascii="Times New Roman" w:hAnsi="Times New Roman" w:eastAsia="宋体" w:cs="Times New Roman"/>
                <w:i/>
                <w:iCs/>
                <w:sz w:val="21"/>
                <w:szCs w:val="21"/>
                <w:rtl w:val="0"/>
              </w:rPr>
              <w:t>Ra</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2E28B4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在校准有效期内，状态正常</w:t>
            </w:r>
          </w:p>
        </w:tc>
      </w:tr>
      <w:tr w14:paraId="64A641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68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7AB2DB1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配套电脑及Roughness软件</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3BB4C82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参数设置、数据采集、曲线显示和保存</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508FE9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软件版本受控，系统时间正确</w:t>
            </w:r>
          </w:p>
        </w:tc>
      </w:tr>
      <w:tr w14:paraId="5AB879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58B3370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粗糙度标准块</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3D8C2BC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设备校准或试验前核查</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B164E95">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具有编号和有效溯源资料</w:t>
            </w:r>
          </w:p>
        </w:tc>
      </w:tr>
      <w:tr w14:paraId="72F34A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63A9B34">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测量平台/升降架</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5A8EBD2E">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调节测针高度和姿态</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026BBCE9">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锁紧后无明显下沉或晃动</w:t>
            </w:r>
          </w:p>
        </w:tc>
      </w:tr>
      <w:tr w14:paraId="3EEF1D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68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42213767">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小试样专用夹具</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7D23AEC5">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固定试样</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29D3AB50">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不遮挡测针轨迹，不使试样变形</w:t>
            </w:r>
          </w:p>
        </w:tc>
      </w:tr>
      <w:tr w14:paraId="62E87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40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763BF0AF">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无尘布</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7530BA00">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清洁平台和夹具</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590868A3">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洁净、无掉屑</w:t>
            </w:r>
          </w:p>
        </w:tc>
      </w:tr>
      <w:tr w14:paraId="60E6D4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FFFFF" w:themeFill="background1"/>
          <w:tblCellMar>
            <w:top w:w="0" w:type="dxa"/>
            <w:left w:w="10" w:type="dxa"/>
            <w:bottom w:w="0" w:type="dxa"/>
            <w:right w:w="10" w:type="dxa"/>
          </w:tblCellMar>
        </w:tblPrEx>
        <w:trPr>
          <w:trHeight w:val="687" w:hRule="atLeast"/>
        </w:trPr>
        <w:tc>
          <w:tcPr>
            <w:tcW w:w="2600"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13823B90">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center"/>
              <w:textAlignment w:val="auto"/>
              <w:rPr>
                <w:rFonts w:hint="eastAsia" w:ascii="宋体" w:hAnsi="宋体" w:eastAsia="宋体" w:cs="宋体"/>
                <w:sz w:val="21"/>
                <w:szCs w:val="21"/>
                <w:rtl w:val="0"/>
              </w:rPr>
            </w:pPr>
            <w:r>
              <w:rPr>
                <w:rFonts w:hint="eastAsia" w:ascii="宋体" w:hAnsi="宋体" w:eastAsia="宋体" w:cs="宋体"/>
                <w:sz w:val="21"/>
                <w:szCs w:val="21"/>
                <w:rtl w:val="0"/>
              </w:rPr>
              <w:t>无水乙醇</w:t>
            </w:r>
          </w:p>
        </w:tc>
        <w:tc>
          <w:tcPr>
            <w:tcW w:w="385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5A71742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必要时清洁非检测区域和平台</w:t>
            </w:r>
          </w:p>
        </w:tc>
        <w:tc>
          <w:tcPr>
            <w:tcW w:w="3183" w:type="dxa"/>
            <w:tcBorders>
              <w:top w:val="single" w:color="000000" w:sz="2" w:space="0"/>
              <w:left w:val="single" w:color="000000" w:sz="2" w:space="0"/>
              <w:bottom w:val="single" w:color="000000" w:sz="2" w:space="0"/>
              <w:right w:val="single" w:color="000000" w:sz="2" w:space="0"/>
            </w:tcBorders>
            <w:shd w:val="clear" w:color="auto" w:fill="FFFFFF" w:themeFill="background1"/>
            <w:tcMar>
              <w:top w:w="20" w:type="dxa"/>
              <w:left w:w="20" w:type="dxa"/>
              <w:bottom w:w="20" w:type="dxa"/>
              <w:right w:w="20" w:type="dxa"/>
            </w:tcMar>
            <w:vAlign w:val="center"/>
          </w:tcPr>
          <w:p w14:paraId="724E602D">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不得用于强力擦洗原打印检测面</w:t>
            </w:r>
          </w:p>
        </w:tc>
      </w:tr>
    </w:tbl>
    <w:p w14:paraId="52CEE41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default" w:ascii="Times New Roman" w:hAnsi="Times New Roman" w:eastAsia="宋体" w:cs="Times New Roman"/>
          <w:sz w:val="21"/>
          <w:szCs w:val="21"/>
          <w:rtl w:val="0"/>
          <w:lang w:val="it-IT"/>
        </w:rPr>
        <w:t>TR200mini</w:t>
      </w:r>
      <w:r>
        <w:rPr>
          <w:rFonts w:hint="eastAsia" w:ascii="宋体" w:hAnsi="宋体" w:eastAsia="宋体" w:cs="宋体"/>
          <w:b w:val="0"/>
          <w:bCs w:val="0"/>
          <w:i w:val="0"/>
          <w:iCs w:val="0"/>
          <w:sz w:val="21"/>
          <w:szCs w:val="21"/>
          <w:rtl w:val="0"/>
          <w:lang w:val="zh-CN" w:eastAsia="zh-CN"/>
        </w:rPr>
        <w:t>类设备支持</w:t>
      </w:r>
      <w:r>
        <w:rPr>
          <w:rFonts w:hint="default" w:ascii="Times New Roman" w:hAnsi="Times New Roman" w:eastAsia="宋体" w:cs="Times New Roman"/>
          <w:sz w:val="21"/>
          <w:szCs w:val="21"/>
          <w:rtl w:val="0"/>
          <w:lang w:val="fr-FR"/>
        </w:rPr>
        <w:t>Gaussian</w:t>
      </w:r>
      <w:r>
        <w:rPr>
          <w:rFonts w:hint="eastAsia" w:ascii="宋体" w:hAnsi="宋体" w:eastAsia="宋体" w:cs="宋体"/>
          <w:b w:val="0"/>
          <w:bCs w:val="0"/>
          <w:i w:val="0"/>
          <w:iCs w:val="0"/>
          <w:sz w:val="21"/>
          <w:szCs w:val="21"/>
          <w:rtl w:val="0"/>
          <w:lang w:val="zh-TW" w:eastAsia="zh-TW"/>
        </w:rPr>
        <w:t>滤波、</w:t>
      </w:r>
      <w:r>
        <w:rPr>
          <w:rFonts w:hint="default" w:ascii="Times New Roman" w:hAnsi="Times New Roman" w:eastAsia="宋体" w:cs="Times New Roman"/>
          <w:sz w:val="21"/>
          <w:szCs w:val="21"/>
          <w:rtl w:val="0"/>
        </w:rPr>
        <w:t>0.25 mm</w:t>
      </w:r>
      <w:r>
        <w:rPr>
          <w:rFonts w:hint="default" w:ascii="Times New Roman" w:hAnsi="Times New Roman" w:eastAsia="宋体" w:cs="Times New Roman"/>
          <w:b w:val="0"/>
          <w:bCs w:val="0"/>
          <w:i w:val="0"/>
          <w:iCs w:val="0"/>
          <w:sz w:val="21"/>
          <w:szCs w:val="21"/>
          <w:rtl w:val="0"/>
          <w:lang w:val="zh-TW" w:eastAsia="zh-TW"/>
        </w:rPr>
        <w:t>、</w:t>
      </w:r>
      <w:r>
        <w:rPr>
          <w:rFonts w:hint="default" w:ascii="Times New Roman" w:hAnsi="Times New Roman" w:eastAsia="宋体" w:cs="Times New Roman"/>
          <w:sz w:val="21"/>
          <w:szCs w:val="21"/>
          <w:rtl w:val="0"/>
        </w:rPr>
        <w:t>0.8 mm</w:t>
      </w:r>
      <w:r>
        <w:rPr>
          <w:rFonts w:hint="eastAsia" w:ascii="宋体" w:hAnsi="宋体" w:eastAsia="宋体" w:cs="宋体"/>
          <w:b w:val="0"/>
          <w:bCs w:val="0"/>
          <w:i w:val="0"/>
          <w:iCs w:val="0"/>
          <w:sz w:val="21"/>
          <w:szCs w:val="21"/>
          <w:rtl w:val="0"/>
          <w:lang w:val="ja-JP" w:eastAsia="ja-JP"/>
        </w:rPr>
        <w:t>和</w:t>
      </w:r>
      <w:r>
        <w:rPr>
          <w:rFonts w:hint="default" w:ascii="Times New Roman" w:hAnsi="Times New Roman" w:eastAsia="宋体" w:cs="Times New Roman"/>
          <w:sz w:val="21"/>
          <w:szCs w:val="21"/>
          <w:rtl w:val="0"/>
        </w:rPr>
        <w:t>2.5 mm</w:t>
      </w:r>
      <w:r>
        <w:rPr>
          <w:rFonts w:hint="eastAsia" w:ascii="宋体" w:hAnsi="宋体" w:eastAsia="宋体" w:cs="宋体"/>
          <w:b w:val="0"/>
          <w:bCs w:val="0"/>
          <w:i w:val="0"/>
          <w:iCs w:val="0"/>
          <w:sz w:val="21"/>
          <w:szCs w:val="21"/>
          <w:rtl w:val="0"/>
          <w:lang w:val="zh-CN" w:eastAsia="zh-CN"/>
        </w:rPr>
        <w:t>取样长度、</w:t>
      </w:r>
      <w:r>
        <w:rPr>
          <w:rFonts w:hint="default" w:ascii="Times New Roman" w:hAnsi="Times New Roman" w:eastAsia="宋体" w:cs="Times New Roman"/>
          <w:sz w:val="21"/>
          <w:szCs w:val="21"/>
          <w:rtl w:val="0"/>
        </w:rPr>
        <w:t>1L</w:t>
      </w:r>
      <w:r>
        <w:rPr>
          <w:rFonts w:hint="default" w:ascii="Times New Roman" w:hAnsi="Times New Roman" w:eastAsia="宋体" w:cs="Times New Roman"/>
          <w:b w:val="0"/>
          <w:bCs w:val="0"/>
          <w:i w:val="0"/>
          <w:iCs w:val="0"/>
          <w:sz w:val="21"/>
          <w:szCs w:val="21"/>
          <w:rtl w:val="0"/>
        </w:rPr>
        <w:t>～</w:t>
      </w:r>
      <w:r>
        <w:rPr>
          <w:rFonts w:hint="default" w:ascii="Times New Roman" w:hAnsi="Times New Roman" w:eastAsia="宋体" w:cs="Times New Roman"/>
          <w:sz w:val="21"/>
          <w:szCs w:val="21"/>
          <w:rtl w:val="0"/>
        </w:rPr>
        <w:t>5L</w:t>
      </w:r>
      <w:r>
        <w:rPr>
          <w:rFonts w:hint="eastAsia" w:ascii="宋体" w:hAnsi="宋体" w:eastAsia="宋体" w:cs="宋体"/>
          <w:b w:val="0"/>
          <w:bCs w:val="0"/>
          <w:i w:val="0"/>
          <w:iCs w:val="0"/>
          <w:sz w:val="21"/>
          <w:szCs w:val="21"/>
          <w:rtl w:val="0"/>
          <w:lang w:val="zh-CN" w:eastAsia="zh-CN"/>
        </w:rPr>
        <w:t>评定长度以及不同测量量程，相关设置应与本规程及软件界面保持一致。</w:t>
      </w:r>
    </w:p>
    <w:p w14:paraId="4A14875A">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9 </w:t>
      </w:r>
      <w:r>
        <w:rPr>
          <w:rFonts w:hint="eastAsia" w:ascii="宋体" w:hAnsi="宋体" w:eastAsia="宋体" w:cs="宋体"/>
          <w:b w:val="0"/>
          <w:bCs w:val="0"/>
          <w:i w:val="0"/>
          <w:iCs w:val="0"/>
          <w:sz w:val="21"/>
          <w:szCs w:val="21"/>
          <w:rtl w:val="0"/>
          <w:lang w:val="zh-CN" w:eastAsia="zh-CN"/>
        </w:rPr>
        <w:t>试样要求</w:t>
      </w:r>
    </w:p>
    <w:p w14:paraId="324B206A">
      <w:pPr>
        <w:pStyle w:val="8"/>
        <w:keepNext w:val="0"/>
        <w:keepLines w:val="0"/>
        <w:pageBreakBefore w:val="0"/>
        <w:framePr w:wrap="auto" w:vAnchor="margin" w:hAnchor="text" w:yAlign="inline"/>
        <w:widowControl/>
        <w:numPr>
          <w:ilvl w:val="0"/>
          <w:numId w:val="4"/>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每个试样应具有唯一编号。</w:t>
      </w:r>
    </w:p>
    <w:p w14:paraId="1CB85F3A">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试样编号应与委托单、打印批次、打印方向、热处理记录、原始数据文件和检测报告一致。</w:t>
      </w:r>
    </w:p>
    <w:p w14:paraId="70FDD64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试样应保持原打印表面状态。</w:t>
      </w:r>
    </w:p>
    <w:p w14:paraId="631CCC6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检测面不得进行打磨、抛光、喷砂、车削或其他改变表面形貌的处理。</w:t>
      </w:r>
    </w:p>
    <w:p w14:paraId="6005A543">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检测面应无油污、明显灰尘和松散颗粒。</w:t>
      </w:r>
    </w:p>
    <w:p w14:paraId="46F901B4">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不得人为去除与实际打印表面固有状态相关的球化颗粒或表面特征。</w:t>
      </w:r>
    </w:p>
    <w:p w14:paraId="0C35EACB">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试样可测直线长度应能够容纳</w:t>
      </w:r>
      <w:r>
        <w:rPr>
          <w:rFonts w:hint="default" w:ascii="Times New Roman" w:hAnsi="Times New Roman" w:eastAsia="宋体" w:cs="Times New Roman"/>
          <w:sz w:val="21"/>
          <w:szCs w:val="21"/>
          <w:rtl w:val="0"/>
        </w:rPr>
        <w:t>4.0 mm</w:t>
      </w:r>
      <w:r>
        <w:rPr>
          <w:rFonts w:hint="eastAsia" w:ascii="宋体" w:hAnsi="宋体" w:eastAsia="宋体" w:cs="宋体"/>
          <w:b w:val="0"/>
          <w:bCs w:val="0"/>
          <w:i w:val="0"/>
          <w:iCs w:val="0"/>
          <w:sz w:val="21"/>
          <w:szCs w:val="21"/>
          <w:rtl w:val="0"/>
          <w:lang w:val="zh-CN" w:eastAsia="zh-CN"/>
        </w:rPr>
        <w:t>评定长度及仪器必要的前后运行距离。</w:t>
      </w:r>
    </w:p>
    <w:p w14:paraId="7024B13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如试样有效测量长度不足，不得使测针越过试样边缘，应暂停检测并按技术偏离程序处理。</w:t>
      </w:r>
    </w:p>
    <w:p w14:paraId="1FA1BF3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10 </w:t>
      </w:r>
      <w:r>
        <w:rPr>
          <w:rFonts w:hint="eastAsia" w:ascii="宋体" w:hAnsi="宋体" w:eastAsia="宋体" w:cs="宋体"/>
          <w:b w:val="0"/>
          <w:bCs w:val="0"/>
          <w:i w:val="0"/>
          <w:iCs w:val="0"/>
          <w:sz w:val="21"/>
          <w:szCs w:val="21"/>
          <w:rtl w:val="0"/>
          <w:lang w:val="zh-CN" w:eastAsia="zh-CN"/>
        </w:rPr>
        <w:t>试验前检查</w:t>
      </w:r>
    </w:p>
    <w:p w14:paraId="6D09BECD">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检测人员应逐项确认：</w:t>
      </w:r>
    </w:p>
    <w:p w14:paraId="2C93B62A">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粗糙度仪在校准有效期内；</w:t>
      </w:r>
    </w:p>
    <w:p w14:paraId="3D69A994">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标准块在有效状态；</w:t>
      </w:r>
    </w:p>
    <w:p w14:paraId="41A0B566">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测针无碰伤、断裂或异常磨损；</w:t>
      </w:r>
    </w:p>
    <w:p w14:paraId="28602AD8">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传感器安装可靠；</w:t>
      </w:r>
    </w:p>
    <w:p w14:paraId="1411565C">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电脑日期和时间正确；</w:t>
      </w:r>
    </w:p>
    <w:p w14:paraId="398C8414">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软件通讯正常；</w:t>
      </w:r>
    </w:p>
    <w:p w14:paraId="6ABC60D7">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测量平台稳定；</w:t>
      </w:r>
    </w:p>
    <w:p w14:paraId="713FFDFD">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夹具洁净、无松动；</w:t>
      </w:r>
    </w:p>
    <w:p w14:paraId="76239323">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试样编号和数量正确；</w:t>
      </w:r>
    </w:p>
    <w:p w14:paraId="5388D611">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环境条件符合要求。</w:t>
      </w:r>
    </w:p>
    <w:p w14:paraId="4A06EC0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任一关键项目不符合时，不得开始正式检测。</w:t>
      </w:r>
    </w:p>
    <w:p w14:paraId="250CF05C">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 </w:t>
      </w:r>
      <w:r>
        <w:rPr>
          <w:rFonts w:hint="eastAsia" w:ascii="宋体" w:hAnsi="宋体" w:eastAsia="宋体" w:cs="宋体"/>
          <w:b w:val="0"/>
          <w:bCs w:val="0"/>
          <w:i w:val="0"/>
          <w:iCs w:val="0"/>
          <w:sz w:val="21"/>
          <w:szCs w:val="21"/>
          <w:rtl w:val="0"/>
          <w:lang w:val="zh-CN" w:eastAsia="zh-CN"/>
        </w:rPr>
        <w:t>操作步骤</w:t>
      </w:r>
    </w:p>
    <w:p w14:paraId="00FCAE7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11.1 </w:t>
      </w:r>
      <w:r>
        <w:rPr>
          <w:rFonts w:hint="eastAsia" w:ascii="宋体" w:hAnsi="宋体" w:eastAsia="宋体" w:cs="宋体"/>
          <w:b w:val="0"/>
          <w:bCs w:val="0"/>
          <w:i w:val="0"/>
          <w:iCs w:val="0"/>
          <w:sz w:val="21"/>
          <w:szCs w:val="21"/>
          <w:rtl w:val="0"/>
          <w:lang w:val="zh-CN" w:eastAsia="zh-CN"/>
        </w:rPr>
        <w:t>启动电脑和软件</w:t>
      </w:r>
    </w:p>
    <w:p w14:paraId="561B5419">
      <w:pPr>
        <w:pStyle w:val="8"/>
        <w:keepNext w:val="0"/>
        <w:keepLines w:val="0"/>
        <w:pageBreakBefore w:val="0"/>
        <w:framePr w:wrap="auto" w:vAnchor="margin" w:hAnchor="text" w:yAlign="inline"/>
        <w:widowControl/>
        <w:numPr>
          <w:ilvl w:val="0"/>
          <w:numId w:val="6"/>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打开配套电脑。</w:t>
      </w:r>
    </w:p>
    <w:p w14:paraId="1BF55E3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检查计算机日期和时间是否正确。</w:t>
      </w:r>
    </w:p>
    <w:p w14:paraId="3A42B42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启动</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粗糙度测试软件。</w:t>
      </w:r>
    </w:p>
    <w:p w14:paraId="32441AC4">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确认软件正常进入检测界面，无通讯错误、驱动错误或异常提示。</w:t>
      </w:r>
    </w:p>
    <w:p w14:paraId="7809A34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不得在检测期间同时运行可能影响数据采集的无关程序。</w:t>
      </w:r>
    </w:p>
    <w:p w14:paraId="5E6FE79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11.2 </w:t>
      </w:r>
      <w:r>
        <w:rPr>
          <w:rFonts w:hint="eastAsia" w:ascii="宋体" w:hAnsi="宋体" w:eastAsia="宋体" w:cs="宋体"/>
          <w:b w:val="0"/>
          <w:bCs w:val="0"/>
          <w:i w:val="0"/>
          <w:iCs w:val="0"/>
          <w:sz w:val="21"/>
          <w:szCs w:val="21"/>
          <w:rtl w:val="0"/>
          <w:lang w:val="zh-CN" w:eastAsia="zh-CN"/>
        </w:rPr>
        <w:t>启动粗糙度仪</w:t>
      </w:r>
    </w:p>
    <w:p w14:paraId="7A624BB8">
      <w:pPr>
        <w:pStyle w:val="8"/>
        <w:keepNext w:val="0"/>
        <w:keepLines w:val="0"/>
        <w:pageBreakBefore w:val="0"/>
        <w:framePr w:wrap="auto" w:vAnchor="margin" w:hAnchor="text" w:yAlign="inline"/>
        <w:widowControl/>
        <w:numPr>
          <w:ilvl w:val="0"/>
          <w:numId w:val="7"/>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开启粗糙度仪电源。</w:t>
      </w:r>
    </w:p>
    <w:p w14:paraId="6825EC2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确认仪器自检正常。</w:t>
      </w:r>
    </w:p>
    <w:p w14:paraId="64674DF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检查粗糙度仪与电脑、</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软件通讯正常。</w:t>
      </w:r>
    </w:p>
    <w:p w14:paraId="43AD8B73">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确认传感器驱动、测针位置显示和数据采集功能正常。</w:t>
      </w:r>
    </w:p>
    <w:p w14:paraId="472A42DB">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如出现报警、异常声音、无法复位或通讯中断，应停止操作并报告设备管理员。</w:t>
      </w:r>
    </w:p>
    <w:p w14:paraId="3704B92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11.3 </w:t>
      </w:r>
      <w:r>
        <w:rPr>
          <w:rFonts w:hint="eastAsia" w:ascii="宋体" w:hAnsi="宋体" w:eastAsia="宋体" w:cs="宋体"/>
          <w:b w:val="0"/>
          <w:bCs w:val="0"/>
          <w:i w:val="0"/>
          <w:iCs w:val="0"/>
          <w:sz w:val="21"/>
          <w:szCs w:val="21"/>
          <w:rtl w:val="0"/>
          <w:lang w:val="zh-CN" w:eastAsia="zh-CN"/>
        </w:rPr>
        <w:t>测量计算设置</w:t>
      </w:r>
    </w:p>
    <w:p w14:paraId="6B0130CC">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val="0"/>
          <w:bCs w:val="0"/>
          <w:i w:val="0"/>
          <w:iCs w:val="0"/>
          <w:sz w:val="21"/>
          <w:szCs w:val="21"/>
          <w:rtl w:val="0"/>
          <w:lang w:val="zh-CN" w:eastAsia="zh-CN"/>
        </w:rPr>
      </w:pPr>
      <w:r>
        <w:rPr>
          <w:rFonts w:hint="eastAsia" w:ascii="宋体" w:hAnsi="宋体" w:eastAsia="宋体" w:cs="宋体"/>
          <w:b w:val="0"/>
          <w:bCs w:val="0"/>
          <w:i w:val="0"/>
          <w:iCs w:val="0"/>
          <w:sz w:val="21"/>
          <w:szCs w:val="21"/>
          <w:rtl w:val="0"/>
          <w:lang w:val="zh-CN" w:eastAsia="zh-CN"/>
        </w:rPr>
        <w:t>进入</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w:t>
      </w:r>
      <w:r>
        <w:rPr>
          <w:rFonts w:hint="eastAsia" w:ascii="宋体" w:hAnsi="宋体" w:eastAsia="宋体" w:cs="宋体"/>
          <w:sz w:val="21"/>
          <w:szCs w:val="21"/>
          <w:rtl/>
          <w:lang w:val="ar-SA" w:bidi="ar-SA"/>
        </w:rPr>
        <w:t>“</w:t>
      </w:r>
      <w:r>
        <w:rPr>
          <w:rFonts w:hint="eastAsia" w:ascii="宋体" w:hAnsi="宋体" w:eastAsia="宋体" w:cs="宋体"/>
          <w:b w:val="0"/>
          <w:bCs w:val="0"/>
          <w:i w:val="0"/>
          <w:iCs w:val="0"/>
          <w:sz w:val="21"/>
          <w:szCs w:val="21"/>
          <w:rtl w:val="0"/>
          <w:lang w:val="zh-CN" w:eastAsia="zh-CN"/>
        </w:rPr>
        <w:t>测量计算设置</w:t>
      </w:r>
      <w:r>
        <w:rPr>
          <w:rFonts w:hint="eastAsia" w:ascii="宋体" w:hAnsi="宋体" w:eastAsia="宋体" w:cs="宋体"/>
          <w:sz w:val="21"/>
          <w:szCs w:val="21"/>
          <w:rtl w:val="0"/>
        </w:rPr>
        <w:t>”</w:t>
      </w:r>
      <w:r>
        <w:rPr>
          <w:rFonts w:hint="eastAsia" w:ascii="宋体" w:hAnsi="宋体" w:eastAsia="宋体" w:cs="宋体"/>
          <w:b w:val="0"/>
          <w:bCs w:val="0"/>
          <w:i w:val="0"/>
          <w:iCs w:val="0"/>
          <w:sz w:val="21"/>
          <w:szCs w:val="21"/>
          <w:rtl w:val="0"/>
          <w:lang w:val="zh-CN" w:eastAsia="zh-CN"/>
        </w:rPr>
        <w:t>界面，按照下表设置：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120"/>
        <w:gridCol w:w="1120"/>
        <w:gridCol w:w="1120"/>
        <w:gridCol w:w="1120"/>
        <w:gridCol w:w="1120"/>
        <w:gridCol w:w="1120"/>
        <w:gridCol w:w="1121"/>
        <w:gridCol w:w="1121"/>
      </w:tblGrid>
      <w:tr w14:paraId="5A29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29A89E73">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b/>
                <w:bCs/>
                <w:sz w:val="21"/>
                <w:szCs w:val="21"/>
                <w:rtl w:val="0"/>
              </w:rPr>
              <w:t>设置项目</w:t>
            </w:r>
          </w:p>
        </w:tc>
        <w:tc>
          <w:tcPr>
            <w:tcW w:w="1120" w:type="dxa"/>
          </w:tcPr>
          <w:p w14:paraId="46611575">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计算标准</w:t>
            </w:r>
          </w:p>
        </w:tc>
        <w:tc>
          <w:tcPr>
            <w:tcW w:w="1120" w:type="dxa"/>
          </w:tcPr>
          <w:p w14:paraId="6AE46048">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形状去除</w:t>
            </w:r>
          </w:p>
        </w:tc>
        <w:tc>
          <w:tcPr>
            <w:tcW w:w="1120" w:type="dxa"/>
          </w:tcPr>
          <w:p w14:paraId="05EA4F4B">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滤波器</w:t>
            </w:r>
          </w:p>
        </w:tc>
        <w:tc>
          <w:tcPr>
            <w:tcW w:w="1120" w:type="dxa"/>
          </w:tcPr>
          <w:p w14:paraId="1F114CB1">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λs</w:t>
            </w:r>
          </w:p>
        </w:tc>
        <w:tc>
          <w:tcPr>
            <w:tcW w:w="1120" w:type="dxa"/>
          </w:tcPr>
          <w:p w14:paraId="00FB9FCC">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λc</w:t>
            </w:r>
          </w:p>
        </w:tc>
        <w:tc>
          <w:tcPr>
            <w:tcW w:w="1120" w:type="dxa"/>
          </w:tcPr>
          <w:p w14:paraId="3305BFB4">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测量范围</w:t>
            </w:r>
          </w:p>
        </w:tc>
        <w:tc>
          <w:tcPr>
            <w:tcW w:w="1121" w:type="dxa"/>
          </w:tcPr>
          <w:p w14:paraId="58FE31C3">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取样长度</w:t>
            </w:r>
          </w:p>
        </w:tc>
        <w:tc>
          <w:tcPr>
            <w:tcW w:w="1121" w:type="dxa"/>
          </w:tcPr>
          <w:p w14:paraId="28177CB3">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取样个数</w:t>
            </w:r>
          </w:p>
        </w:tc>
      </w:tr>
      <w:tr w14:paraId="79A7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6AE51F9">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b/>
                <w:bCs/>
                <w:sz w:val="21"/>
                <w:szCs w:val="21"/>
                <w:rtl w:val="0"/>
              </w:rPr>
              <w:t>设定值</w:t>
            </w:r>
          </w:p>
        </w:tc>
        <w:tc>
          <w:tcPr>
            <w:tcW w:w="1120" w:type="dxa"/>
          </w:tcPr>
          <w:p w14:paraId="6AD2EE19">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ISO-97</w:t>
            </w:r>
          </w:p>
        </w:tc>
        <w:tc>
          <w:tcPr>
            <w:tcW w:w="1120" w:type="dxa"/>
          </w:tcPr>
          <w:p w14:paraId="62CFC724">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自动</w:t>
            </w:r>
          </w:p>
        </w:tc>
        <w:tc>
          <w:tcPr>
            <w:tcW w:w="1120" w:type="dxa"/>
          </w:tcPr>
          <w:p w14:paraId="0F8DC86C">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Gaussian</w:t>
            </w:r>
          </w:p>
        </w:tc>
        <w:tc>
          <w:tcPr>
            <w:tcW w:w="1120" w:type="dxa"/>
          </w:tcPr>
          <w:p w14:paraId="7D632076">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自动</w:t>
            </w:r>
          </w:p>
        </w:tc>
        <w:tc>
          <w:tcPr>
            <w:tcW w:w="1120" w:type="dxa"/>
          </w:tcPr>
          <w:p w14:paraId="7607A6E7">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0.800 mm</w:t>
            </w:r>
          </w:p>
        </w:tc>
        <w:tc>
          <w:tcPr>
            <w:tcW w:w="1120" w:type="dxa"/>
          </w:tcPr>
          <w:p w14:paraId="1527C304">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40 μm</w:t>
            </w:r>
          </w:p>
        </w:tc>
        <w:tc>
          <w:tcPr>
            <w:tcW w:w="1121" w:type="dxa"/>
          </w:tcPr>
          <w:p w14:paraId="247B3E0D">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b w:val="0"/>
                <w:bCs w:val="0"/>
                <w:i w:val="0"/>
                <w:iCs w:val="0"/>
                <w:sz w:val="21"/>
                <w:szCs w:val="21"/>
                <w:vertAlign w:val="baseline"/>
                <w:rtl w:val="0"/>
                <w:lang w:val="zh-CN" w:eastAsia="zh-CN"/>
              </w:rPr>
            </w:pPr>
            <w:r>
              <w:rPr>
                <w:rFonts w:hint="eastAsia" w:ascii="宋体" w:hAnsi="宋体" w:eastAsia="宋体" w:cs="宋体"/>
                <w:sz w:val="21"/>
                <w:szCs w:val="21"/>
                <w:rtl w:val="0"/>
              </w:rPr>
              <w:t>0.8 mm</w:t>
            </w:r>
          </w:p>
        </w:tc>
        <w:tc>
          <w:tcPr>
            <w:tcW w:w="1121" w:type="dxa"/>
          </w:tcPr>
          <w:p w14:paraId="5BF897C3">
            <w:pPr>
              <w:pStyle w:val="8"/>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400" w:lineRule="exact"/>
              <w:ind w:right="0"/>
              <w:jc w:val="left"/>
              <w:textAlignment w:val="auto"/>
              <w:rPr>
                <w:rFonts w:hint="default" w:ascii="宋体" w:hAnsi="宋体" w:eastAsia="宋体" w:cs="宋体"/>
                <w:b w:val="0"/>
                <w:bCs w:val="0"/>
                <w:i w:val="0"/>
                <w:iCs w:val="0"/>
                <w:sz w:val="21"/>
                <w:szCs w:val="21"/>
                <w:vertAlign w:val="baseline"/>
                <w:rtl w:val="0"/>
                <w:lang w:val="en-US" w:eastAsia="zh-CN"/>
              </w:rPr>
            </w:pPr>
            <w:r>
              <w:rPr>
                <w:rFonts w:hint="eastAsia" w:ascii="宋体" w:hAnsi="宋体" w:eastAsia="宋体" w:cs="宋体"/>
                <w:b w:val="0"/>
                <w:bCs w:val="0"/>
                <w:i w:val="0"/>
                <w:iCs w:val="0"/>
                <w:sz w:val="21"/>
                <w:szCs w:val="21"/>
                <w:vertAlign w:val="baseline"/>
                <w:rtl w:val="0"/>
                <w:lang w:val="en-US" w:eastAsia="zh-CN"/>
              </w:rPr>
              <w:t>5</w:t>
            </w:r>
          </w:p>
        </w:tc>
      </w:tr>
    </w:tbl>
    <w:p w14:paraId="29BD720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设置完成后：</w:t>
      </w:r>
    </w:p>
    <w:p w14:paraId="2EC42EE4">
      <w:pPr>
        <w:pStyle w:val="8"/>
        <w:keepNext w:val="0"/>
        <w:keepLines w:val="0"/>
        <w:pageBreakBefore w:val="0"/>
        <w:framePr w:wrap="auto" w:vAnchor="margin" w:hAnchor="text" w:yAlign="inline"/>
        <w:widowControl/>
        <w:numPr>
          <w:ilvl w:val="0"/>
          <w:numId w:val="8"/>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检测人员逐项复核；</w:t>
      </w:r>
    </w:p>
    <w:p w14:paraId="04B3406B">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保存或截取参数设置界面；</w:t>
      </w:r>
    </w:p>
    <w:p w14:paraId="2EA3B83B">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将截图编号填写在原始记录中；</w:t>
      </w:r>
    </w:p>
    <w:p w14:paraId="08CB87F5">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未经批准不得随意修改关键参数。</w:t>
      </w:r>
    </w:p>
    <w:p w14:paraId="395D150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本表中的参数为实验室依据实际软件界面确定的受控操作参数；如产品标准、方法确认结果或设备配置发生变化，应履行文件变更程序。</w:t>
      </w:r>
    </w:p>
    <w:p w14:paraId="52FFFD66">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11.4 </w:t>
      </w:r>
      <w:r>
        <w:rPr>
          <w:rFonts w:hint="eastAsia" w:ascii="宋体" w:hAnsi="宋体" w:eastAsia="宋体" w:cs="宋体"/>
          <w:b w:val="0"/>
          <w:bCs w:val="0"/>
          <w:i w:val="0"/>
          <w:iCs w:val="0"/>
          <w:sz w:val="21"/>
          <w:szCs w:val="21"/>
          <w:rtl w:val="0"/>
          <w:lang w:val="zh-CN" w:eastAsia="zh-CN"/>
        </w:rPr>
        <w:t>设备校准或试验前核查</w:t>
      </w:r>
    </w:p>
    <w:p w14:paraId="1924A11B">
      <w:pPr>
        <w:pStyle w:val="8"/>
        <w:keepNext w:val="0"/>
        <w:keepLines w:val="0"/>
        <w:pageBreakBefore w:val="0"/>
        <w:framePr w:wrap="auto" w:vAnchor="margin" w:hAnchor="text" w:yAlign="inline"/>
        <w:widowControl/>
        <w:numPr>
          <w:ilvl w:val="0"/>
          <w:numId w:val="9"/>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核对粗糙度标准块的名称、编号、标称值、证书编号和有效期。</w:t>
      </w:r>
    </w:p>
    <w:p w14:paraId="4DAE1DF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用无尘布轻轻清洁标准块和测量平台。</w:t>
      </w:r>
    </w:p>
    <w:p w14:paraId="1D7EA09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将标准块稳定放置在测量平台上。</w:t>
      </w:r>
    </w:p>
    <w:p w14:paraId="2E314CC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按标准块规定方向，使测针运行方向与标准块加工纹理方向正确对应。</w:t>
      </w:r>
    </w:p>
    <w:p w14:paraId="7EB77B45">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调节仪器高度，使测针达到正常工作状态。</w:t>
      </w:r>
    </w:p>
    <w:p w14:paraId="02C5ADD1">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rPr>
        <w:t>在</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软件中执行校准或核查。</w:t>
      </w:r>
    </w:p>
    <w:p w14:paraId="461F09D5">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连续测量不少于</w:t>
      </w:r>
      <w:r>
        <w:rPr>
          <w:rFonts w:hint="eastAsia" w:ascii="宋体" w:hAnsi="宋体" w:eastAsia="宋体" w:cs="宋体"/>
          <w:sz w:val="21"/>
          <w:szCs w:val="21"/>
          <w:rtl w:val="0"/>
        </w:rPr>
        <w:t>3</w:t>
      </w:r>
      <w:r>
        <w:rPr>
          <w:rFonts w:hint="eastAsia" w:ascii="宋体" w:hAnsi="宋体" w:eastAsia="宋体" w:cs="宋体"/>
          <w:b w:val="0"/>
          <w:bCs w:val="0"/>
          <w:i w:val="0"/>
          <w:iCs w:val="0"/>
          <w:sz w:val="21"/>
          <w:szCs w:val="21"/>
          <w:rtl w:val="0"/>
        </w:rPr>
        <w:t>次。</w:t>
      </w:r>
    </w:p>
    <w:p w14:paraId="57F6CCD3">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记录标准块标称值、各次实测值、平均值、偏差及结论。</w:t>
      </w:r>
    </w:p>
    <w:p w14:paraId="6AAA2DD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核查结果应在实验室经方法确认确定的控制限内。</w:t>
      </w:r>
    </w:p>
    <w:p w14:paraId="5AF2D04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核查不合格时应：</w:t>
      </w:r>
    </w:p>
    <w:p w14:paraId="66037B09">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检查标准块表面是否污染；</w:t>
      </w:r>
    </w:p>
    <w:p w14:paraId="78A8D073">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检查测针状态；</w:t>
      </w:r>
    </w:p>
    <w:p w14:paraId="7EEC51A5">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检查参数设置；</w:t>
      </w:r>
    </w:p>
    <w:p w14:paraId="406661F6">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检查仪器水平和固定状态；</w:t>
      </w:r>
    </w:p>
    <w:p w14:paraId="29274B76">
      <w:pPr>
        <w:pStyle w:val="8"/>
        <w:keepNext w:val="0"/>
        <w:keepLines w:val="0"/>
        <w:pageBreakBefore w:val="0"/>
        <w:framePr w:wrap="auto" w:vAnchor="margin" w:hAnchor="text" w:yAlign="inline"/>
        <w:widowControl/>
        <w:numPr>
          <w:ilvl w:val="0"/>
          <w:numId w:val="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重新执行核查。</w:t>
      </w:r>
    </w:p>
    <w:p w14:paraId="7C5477B6">
      <w:pPr>
        <w:pStyle w:val="8"/>
        <w:keepNext w:val="0"/>
        <w:keepLines w:val="0"/>
        <w:pageBreakBefore w:val="0"/>
        <w:framePr w:wrap="auto" w:vAnchor="margin" w:hAnchor="text" w:yAlign="inline"/>
        <w:widowControl/>
        <w:numPr>
          <w:ilvl w:val="0"/>
          <w:numId w:val="10"/>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再次核查仍不合格时，应停止使用设备，并按不符合工作程序处理。不得仅依靠仪器显示正常代替标准块核查。</w:t>
      </w:r>
    </w:p>
    <w:p w14:paraId="66B491C0">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11.5 </w:t>
      </w:r>
      <w:r>
        <w:rPr>
          <w:rFonts w:hint="eastAsia" w:ascii="宋体" w:hAnsi="宋体" w:eastAsia="宋体" w:cs="宋体"/>
          <w:b w:val="0"/>
          <w:bCs w:val="0"/>
          <w:i w:val="0"/>
          <w:iCs w:val="0"/>
          <w:sz w:val="21"/>
          <w:szCs w:val="21"/>
          <w:rtl w:val="0"/>
          <w:lang w:val="zh-CN" w:eastAsia="zh-CN"/>
        </w:rPr>
        <w:t>放置和固定试样</w:t>
      </w:r>
    </w:p>
    <w:p w14:paraId="67804B31">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核对试样编号、打印方向及检测面。</w:t>
      </w:r>
    </w:p>
    <w:p w14:paraId="39FFEAC9">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用无尘布轻轻去除表面浮尘。</w:t>
      </w:r>
    </w:p>
    <w:p w14:paraId="3CFCDA66">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不得研磨、抛光或强力擦拭检测面。</w:t>
      </w:r>
    </w:p>
    <w:p w14:paraId="530661EB">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将试样放置于专用夹具中，检测面朝上。</w:t>
      </w:r>
    </w:p>
    <w:p w14:paraId="4532A99A">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调整试样方向，使测针运行方向符合规定。</w:t>
      </w:r>
    </w:p>
    <w:p w14:paraId="68274DF8">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轻微夹紧试样，确认：试样无晃动；试样无滑移；检测面基本水平；夹具不遮挡测针运行；夹持力未导致试样变形。</w:t>
      </w:r>
    </w:p>
    <w:p w14:paraId="0D435289">
      <w:pPr>
        <w:pStyle w:val="8"/>
        <w:keepNext w:val="0"/>
        <w:keepLines w:val="0"/>
        <w:pageBreakBefore w:val="0"/>
        <w:framePr w:wrap="auto" w:vAnchor="margin" w:hAnchor="text" w:yAlign="inline"/>
        <w:widowControl/>
        <w:numPr>
          <w:ilvl w:val="0"/>
          <w:numId w:val="12"/>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不得用手按压试样代替夹具固定。</w:t>
      </w:r>
    </w:p>
    <w:p w14:paraId="41168F2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11.6 </w:t>
      </w:r>
      <w:r>
        <w:rPr>
          <w:rFonts w:hint="eastAsia" w:ascii="宋体" w:hAnsi="宋体" w:eastAsia="宋体" w:cs="宋体"/>
          <w:b w:val="0"/>
          <w:bCs w:val="0"/>
          <w:i w:val="0"/>
          <w:iCs w:val="0"/>
          <w:sz w:val="21"/>
          <w:szCs w:val="21"/>
          <w:rtl w:val="0"/>
          <w:lang w:val="zh-CN" w:eastAsia="zh-CN"/>
        </w:rPr>
        <w:t>调节粗糙度仪高度</w:t>
      </w:r>
    </w:p>
    <w:p w14:paraId="6DFE184A">
      <w:pPr>
        <w:pStyle w:val="8"/>
        <w:keepNext w:val="0"/>
        <w:keepLines w:val="0"/>
        <w:pageBreakBefore w:val="0"/>
        <w:framePr w:wrap="auto" w:vAnchor="margin" w:hAnchor="text" w:yAlign="inline"/>
        <w:widowControl/>
        <w:numPr>
          <w:ilvl w:val="0"/>
          <w:numId w:val="13"/>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缓慢调节粗糙度仪升降机构，使测针逐渐接近试样表面。</w:t>
      </w:r>
    </w:p>
    <w:p w14:paraId="181401FE">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调节时应观察软件针位或量程指示。</w:t>
      </w:r>
    </w:p>
    <w:p w14:paraId="557DEBA3">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不得快速下降或使测针受到冲击。</w:t>
      </w:r>
    </w:p>
    <w:p w14:paraId="38B08B28">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使测针轻微接触试样并处于正常工作区域。</w:t>
      </w:r>
    </w:p>
    <w:p w14:paraId="4DD377ED">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确认：测针接触状态正常；导头、保护套或仪器外壳未压住试样；测针运行方向正确；测量轨迹无遮挡；测针起点和终点均位于试样有效测量区域内。</w:t>
      </w:r>
    </w:p>
    <w:p w14:paraId="57BE91A2">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必要时进行一次预运行检查量程和轨迹。</w:t>
      </w:r>
    </w:p>
    <w:p w14:paraId="6E7BD9A0">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预运行结果应标记为</w:t>
      </w:r>
      <w:r>
        <w:rPr>
          <w:rFonts w:hint="eastAsia" w:ascii="宋体" w:hAnsi="宋体" w:eastAsia="宋体" w:cs="宋体"/>
          <w:sz w:val="21"/>
          <w:szCs w:val="21"/>
          <w:rtl/>
          <w:lang w:val="ar-SA" w:bidi="ar-SA"/>
        </w:rPr>
        <w:t>“</w:t>
      </w:r>
      <w:r>
        <w:rPr>
          <w:rFonts w:hint="eastAsia" w:ascii="宋体" w:hAnsi="宋体" w:eastAsia="宋体" w:cs="宋体"/>
          <w:b w:val="0"/>
          <w:bCs w:val="0"/>
          <w:i w:val="0"/>
          <w:iCs w:val="0"/>
          <w:sz w:val="21"/>
          <w:szCs w:val="21"/>
          <w:rtl w:val="0"/>
          <w:lang w:val="zh-CN" w:eastAsia="zh-CN"/>
        </w:rPr>
        <w:t>预试测</w:t>
      </w:r>
      <w:r>
        <w:rPr>
          <w:rFonts w:hint="eastAsia" w:ascii="宋体" w:hAnsi="宋体" w:eastAsia="宋体" w:cs="宋体"/>
          <w:sz w:val="21"/>
          <w:szCs w:val="21"/>
          <w:rtl w:val="0"/>
        </w:rPr>
        <w:t>”</w:t>
      </w:r>
      <w:r>
        <w:rPr>
          <w:rFonts w:hint="eastAsia" w:ascii="宋体" w:hAnsi="宋体" w:eastAsia="宋体" w:cs="宋体"/>
          <w:b w:val="0"/>
          <w:bCs w:val="0"/>
          <w:i w:val="0"/>
          <w:iCs w:val="0"/>
          <w:sz w:val="21"/>
          <w:szCs w:val="21"/>
          <w:rtl w:val="0"/>
          <w:lang w:val="zh-CN" w:eastAsia="zh-CN"/>
        </w:rPr>
        <w:t>，不得直接作为正式数据使用。</w:t>
      </w:r>
    </w:p>
    <w:p w14:paraId="3E5AD01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11.7 </w:t>
      </w:r>
      <w:r>
        <w:rPr>
          <w:rFonts w:hint="eastAsia" w:ascii="宋体" w:hAnsi="宋体" w:eastAsia="宋体" w:cs="宋体"/>
          <w:b w:val="0"/>
          <w:bCs w:val="0"/>
          <w:i w:val="0"/>
          <w:iCs w:val="0"/>
          <w:sz w:val="21"/>
          <w:szCs w:val="21"/>
          <w:rtl w:val="0"/>
          <w:lang w:val="zh-CN" w:eastAsia="zh-CN"/>
        </w:rPr>
        <w:t>开始试验</w:t>
      </w:r>
    </w:p>
    <w:p w14:paraId="19CD8685">
      <w:pPr>
        <w:pStyle w:val="8"/>
        <w:keepNext w:val="0"/>
        <w:keepLines w:val="0"/>
        <w:pageBreakBefore w:val="0"/>
        <w:framePr w:wrap="auto" w:vAnchor="margin" w:hAnchor="text" w:yAlign="inline"/>
        <w:widowControl/>
        <w:numPr>
          <w:ilvl w:val="0"/>
          <w:numId w:val="14"/>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再次核对试样编号和软件参数。</w:t>
      </w:r>
    </w:p>
    <w:p w14:paraId="6D03E835">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点击软件中的开始按钮。</w:t>
      </w:r>
    </w:p>
    <w:p w14:paraId="740AA4B0">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测量过程中不得：触碰仪器；触碰试样或夹具；调节平台高度；敲击台面；移动测量平台。</w:t>
      </w:r>
    </w:p>
    <w:p w14:paraId="6CC2BE77">
      <w:pPr>
        <w:pStyle w:val="8"/>
        <w:keepNext w:val="0"/>
        <w:keepLines w:val="0"/>
        <w:pageBreakBefore w:val="0"/>
        <w:framePr w:wrap="auto" w:vAnchor="margin" w:hAnchor="text" w:yAlign="inline"/>
        <w:widowControl/>
        <w:numPr>
          <w:ilvl w:val="0"/>
          <w:numId w:val="15"/>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测量结束后检查：轮廓曲线是否连续；是否发生超量程；是否出现异常突跳；测针是否脱离试样；</w:t>
      </w:r>
    </w:p>
    <w:p w14:paraId="1B0E66E7">
      <w:pPr>
        <w:pStyle w:val="8"/>
        <w:keepNext w:val="0"/>
        <w:keepLines w:val="0"/>
        <w:pageBreakBefore w:val="0"/>
        <w:framePr w:wrap="auto" w:vAnchor="margin" w:hAnchor="text" w:yAlign="inline"/>
        <w:widowControl/>
        <w:numPr>
          <w:ilvl w:val="0"/>
          <w:numId w:val="0"/>
        </w:numPr>
        <w:kinsoku/>
        <w:wordWrap/>
        <w:overflowPunct/>
        <w:topLinePunct w:val="0"/>
        <w:autoSpaceDE/>
        <w:autoSpaceDN/>
        <w:bidi w:val="0"/>
        <w:adjustRightInd/>
        <w:snapToGrid/>
        <w:spacing w:before="0" w:after="0" w:line="400" w:lineRule="exact"/>
        <w:ind w:right="0" w:rightChars="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试样是否发生移动；测针是否越出试样边缘。出现异常时，本次测量结果无效。无效数据不得直接删除，应保留原数据，并注明无效原因和重新测量情况。</w:t>
      </w:r>
    </w:p>
    <w:p w14:paraId="50121ABD">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11.8 </w:t>
      </w:r>
      <w:r>
        <w:rPr>
          <w:rFonts w:hint="eastAsia" w:ascii="宋体" w:hAnsi="宋体" w:eastAsia="宋体" w:cs="宋体"/>
          <w:b w:val="0"/>
          <w:bCs w:val="0"/>
          <w:i w:val="0"/>
          <w:iCs w:val="0"/>
          <w:sz w:val="21"/>
          <w:szCs w:val="21"/>
          <w:rtl w:val="0"/>
          <w:lang w:val="zh-CN" w:eastAsia="zh-CN"/>
        </w:rPr>
        <w:t>测量位置和次数</w:t>
      </w:r>
    </w:p>
    <w:p w14:paraId="4E51EC35">
      <w:pPr>
        <w:pStyle w:val="8"/>
        <w:keepNext w:val="0"/>
        <w:keepLines w:val="0"/>
        <w:pageBreakBefore w:val="0"/>
        <w:framePr w:wrap="auto" w:vAnchor="margin" w:hAnchor="text" w:yAlign="inline"/>
        <w:widowControl/>
        <w:numPr>
          <w:ilvl w:val="0"/>
          <w:numId w:val="16"/>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每个试样选择</w:t>
      </w:r>
      <w:r>
        <w:rPr>
          <w:rFonts w:hint="eastAsia" w:ascii="宋体" w:hAnsi="宋体" w:eastAsia="宋体" w:cs="宋体"/>
          <w:sz w:val="21"/>
          <w:szCs w:val="21"/>
          <w:rtl w:val="0"/>
        </w:rPr>
        <w:t>3</w:t>
      </w:r>
      <w:r>
        <w:rPr>
          <w:rFonts w:hint="eastAsia" w:ascii="宋体" w:hAnsi="宋体" w:eastAsia="宋体" w:cs="宋体"/>
          <w:b w:val="0"/>
          <w:bCs w:val="0"/>
          <w:i w:val="0"/>
          <w:iCs w:val="0"/>
          <w:sz w:val="21"/>
          <w:szCs w:val="21"/>
          <w:rtl w:val="0"/>
          <w:lang w:val="zh-CN" w:eastAsia="zh-CN"/>
        </w:rPr>
        <w:t>条代表性测量线。</w:t>
      </w:r>
    </w:p>
    <w:p w14:paraId="32F332CA">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三条测量线应：相互平行；互不重叠；均匀分布于检测面；与规定测量方向一致；避开试样边缘。</w:t>
      </w:r>
    </w:p>
    <w:p w14:paraId="3E523380">
      <w:pPr>
        <w:pStyle w:val="8"/>
        <w:keepNext w:val="0"/>
        <w:keepLines w:val="0"/>
        <w:pageBreakBefore w:val="0"/>
        <w:framePr w:wrap="auto" w:vAnchor="margin" w:hAnchor="text" w:yAlign="inline"/>
        <w:widowControl/>
        <w:numPr>
          <w:ilvl w:val="0"/>
          <w:numId w:val="17"/>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不得只选择目视最光滑的区域。</w:t>
      </w:r>
    </w:p>
    <w:p w14:paraId="7A1B22A7">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每条测量线测量</w:t>
      </w:r>
      <w:r>
        <w:rPr>
          <w:rFonts w:hint="eastAsia" w:ascii="宋体" w:hAnsi="宋体" w:eastAsia="宋体" w:cs="宋体"/>
          <w:sz w:val="21"/>
          <w:szCs w:val="21"/>
          <w:rtl w:val="0"/>
        </w:rPr>
        <w:t>1</w:t>
      </w:r>
      <w:r>
        <w:rPr>
          <w:rFonts w:hint="eastAsia" w:ascii="宋体" w:hAnsi="宋体" w:eastAsia="宋体" w:cs="宋体"/>
          <w:b w:val="0"/>
          <w:bCs w:val="0"/>
          <w:i w:val="0"/>
          <w:iCs w:val="0"/>
          <w:sz w:val="21"/>
          <w:szCs w:val="21"/>
          <w:rtl w:val="0"/>
          <w:lang w:val="zh-CN" w:eastAsia="zh-CN"/>
        </w:rPr>
        <w:t>次，分别记录</w:t>
      </w:r>
      <w:r>
        <w:rPr>
          <w:rFonts w:hint="default" w:ascii="Times New Roman" w:hAnsi="Times New Roman" w:eastAsia="宋体" w:cs="Times New Roman"/>
          <w:sz w:val="21"/>
          <w:szCs w:val="21"/>
          <w:rtl w:val="0"/>
        </w:rPr>
        <w:t>Ra</w:t>
      </w:r>
      <w:r>
        <w:rPr>
          <w:rFonts w:hint="default" w:ascii="Times New Roman" w:hAnsi="Times New Roman" w:eastAsia="宋体" w:cs="Times New Roman"/>
          <w:b w:val="0"/>
          <w:bCs w:val="0"/>
          <w:i w:val="0"/>
          <w:iCs w:val="0"/>
          <w:sz w:val="21"/>
          <w:szCs w:val="21"/>
          <w:rtl w:val="0"/>
        </w:rPr>
        <w:t>₁</w:t>
      </w:r>
      <w:r>
        <w:rPr>
          <w:rFonts w:hint="default" w:ascii="Times New Roman" w:hAnsi="Times New Roman" w:eastAsia="宋体" w:cs="Times New Roman"/>
          <w:b w:val="0"/>
          <w:bCs w:val="0"/>
          <w:i w:val="0"/>
          <w:iCs w:val="0"/>
          <w:sz w:val="21"/>
          <w:szCs w:val="21"/>
          <w:rtl w:val="0"/>
          <w:lang w:val="zh-TW" w:eastAsia="zh-TW"/>
        </w:rPr>
        <w:t>、</w:t>
      </w:r>
      <w:r>
        <w:rPr>
          <w:rFonts w:hint="default" w:ascii="Times New Roman" w:hAnsi="Times New Roman" w:eastAsia="宋体" w:cs="Times New Roman"/>
          <w:sz w:val="21"/>
          <w:szCs w:val="21"/>
          <w:rtl w:val="0"/>
        </w:rPr>
        <w:t>Ra</w:t>
      </w:r>
      <w:r>
        <w:rPr>
          <w:rFonts w:hint="default" w:ascii="Times New Roman" w:hAnsi="Times New Roman" w:eastAsia="宋体" w:cs="Times New Roman"/>
          <w:b w:val="0"/>
          <w:bCs w:val="0"/>
          <w:i w:val="0"/>
          <w:iCs w:val="0"/>
          <w:sz w:val="21"/>
          <w:szCs w:val="21"/>
          <w:rtl w:val="0"/>
        </w:rPr>
        <w:t>₂</w:t>
      </w:r>
      <w:r>
        <w:rPr>
          <w:rFonts w:hint="default" w:ascii="Times New Roman" w:hAnsi="Times New Roman" w:eastAsia="宋体" w:cs="Times New Roman"/>
          <w:b w:val="0"/>
          <w:bCs w:val="0"/>
          <w:i w:val="0"/>
          <w:iCs w:val="0"/>
          <w:sz w:val="21"/>
          <w:szCs w:val="21"/>
          <w:rtl w:val="0"/>
          <w:lang w:val="zh-TW" w:eastAsia="zh-TW"/>
        </w:rPr>
        <w:t>、</w:t>
      </w:r>
      <w:r>
        <w:rPr>
          <w:rFonts w:hint="default" w:ascii="Times New Roman" w:hAnsi="Times New Roman" w:eastAsia="宋体" w:cs="Times New Roman"/>
          <w:sz w:val="21"/>
          <w:szCs w:val="21"/>
          <w:rtl w:val="0"/>
        </w:rPr>
        <w:t>Ra</w:t>
      </w:r>
      <w:r>
        <w:rPr>
          <w:rFonts w:hint="default" w:ascii="Times New Roman" w:hAnsi="Times New Roman" w:eastAsia="宋体" w:cs="Times New Roman"/>
          <w:b w:val="0"/>
          <w:bCs w:val="0"/>
          <w:i w:val="0"/>
          <w:iCs w:val="0"/>
          <w:sz w:val="21"/>
          <w:szCs w:val="21"/>
          <w:rtl w:val="0"/>
        </w:rPr>
        <w:t>₃</w:t>
      </w:r>
      <w:r>
        <w:rPr>
          <w:rFonts w:hint="eastAsia" w:ascii="宋体" w:hAnsi="宋体" w:eastAsia="宋体" w:cs="宋体"/>
          <w:b w:val="0"/>
          <w:bCs w:val="0"/>
          <w:i w:val="0"/>
          <w:iCs w:val="0"/>
          <w:sz w:val="21"/>
          <w:szCs w:val="21"/>
          <w:rtl w:val="0"/>
        </w:rPr>
        <w:t>。</w:t>
      </w:r>
    </w:p>
    <w:p w14:paraId="66E4C587">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第一条测量完成后，通过平台或夹具平移至第二条测量线。</w:t>
      </w:r>
    </w:p>
    <w:p w14:paraId="1D0DCF37">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移动至下一测量线时不得改变试样方向。</w:t>
      </w:r>
    </w:p>
    <w:p w14:paraId="0F524264">
      <w:pPr>
        <w:pStyle w:val="8"/>
        <w:keepNext w:val="0"/>
        <w:keepLines w:val="0"/>
        <w:pageBreakBefore w:val="0"/>
        <w:framePr w:wrap="auto" w:vAnchor="margin" w:hAnchor="text" w:yAlign="inline"/>
        <w:widowControl/>
        <w:numPr>
          <w:ilvl w:val="0"/>
          <w:numId w:val="1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TW" w:eastAsia="zh-TW"/>
        </w:rPr>
      </w:pPr>
      <w:r>
        <w:rPr>
          <w:rFonts w:hint="eastAsia" w:ascii="宋体" w:hAnsi="宋体" w:eastAsia="宋体" w:cs="宋体"/>
          <w:b w:val="0"/>
          <w:bCs w:val="0"/>
          <w:i w:val="0"/>
          <w:iCs w:val="0"/>
          <w:sz w:val="21"/>
          <w:szCs w:val="21"/>
          <w:rtl w:val="0"/>
          <w:lang w:val="zh-TW" w:eastAsia="zh-TW"/>
        </w:rPr>
        <w:t>按相同方法完成全部</w:t>
      </w:r>
      <w:r>
        <w:rPr>
          <w:rFonts w:hint="eastAsia" w:ascii="宋体" w:hAnsi="宋体" w:eastAsia="宋体" w:cs="宋体"/>
          <w:sz w:val="21"/>
          <w:szCs w:val="21"/>
          <w:rtl w:val="0"/>
        </w:rPr>
        <w:t>6</w:t>
      </w:r>
      <w:r>
        <w:rPr>
          <w:rFonts w:hint="eastAsia" w:ascii="宋体" w:hAnsi="宋体" w:eastAsia="宋体" w:cs="宋体"/>
          <w:b w:val="0"/>
          <w:bCs w:val="0"/>
          <w:i w:val="0"/>
          <w:iCs w:val="0"/>
          <w:sz w:val="21"/>
          <w:szCs w:val="21"/>
          <w:rtl w:val="0"/>
          <w:lang w:val="zh-CN" w:eastAsia="zh-CN"/>
        </w:rPr>
        <w:t>个试样。</w:t>
      </w:r>
    </w:p>
    <w:p w14:paraId="0013EC59">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11.9 </w:t>
      </w:r>
      <w:r>
        <w:rPr>
          <w:rFonts w:hint="eastAsia" w:ascii="宋体" w:hAnsi="宋体" w:eastAsia="宋体" w:cs="宋体"/>
          <w:b w:val="0"/>
          <w:bCs w:val="0"/>
          <w:i w:val="0"/>
          <w:iCs w:val="0"/>
          <w:sz w:val="21"/>
          <w:szCs w:val="21"/>
          <w:rtl w:val="0"/>
          <w:lang w:val="zh-CN" w:eastAsia="zh-CN"/>
        </w:rPr>
        <w:t>数据保存</w:t>
      </w:r>
    </w:p>
    <w:p w14:paraId="77209D98">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每次正式测量至少保存：样品编号；试样编号；测量线序号；日期和时间；计算标准；</w:t>
      </w:r>
      <w:r>
        <w:rPr>
          <w:rFonts w:hint="eastAsia" w:ascii="宋体" w:hAnsi="宋体" w:eastAsia="宋体" w:cs="宋体"/>
          <w:b w:val="0"/>
          <w:bCs w:val="0"/>
          <w:i w:val="0"/>
          <w:iCs w:val="0"/>
          <w:sz w:val="21"/>
          <w:szCs w:val="21"/>
          <w:rtl w:val="0"/>
        </w:rPr>
        <w:t>滤波器；</w:t>
      </w:r>
      <w:r>
        <w:rPr>
          <w:rFonts w:hint="eastAsia" w:ascii="宋体" w:hAnsi="宋体" w:eastAsia="宋体" w:cs="宋体"/>
          <w:sz w:val="21"/>
          <w:szCs w:val="21"/>
          <w:rtl w:val="0"/>
        </w:rPr>
        <w:t>λc</w:t>
      </w:r>
      <w:r>
        <w:rPr>
          <w:rFonts w:hint="eastAsia" w:ascii="宋体" w:hAnsi="宋体" w:eastAsia="宋体" w:cs="宋体"/>
          <w:b w:val="0"/>
          <w:bCs w:val="0"/>
          <w:i w:val="0"/>
          <w:iCs w:val="0"/>
          <w:sz w:val="21"/>
          <w:szCs w:val="21"/>
          <w:rtl w:val="0"/>
        </w:rPr>
        <w:t>；</w:t>
      </w:r>
      <w:r>
        <w:rPr>
          <w:rFonts w:hint="eastAsia" w:ascii="宋体" w:hAnsi="宋体" w:eastAsia="宋体" w:cs="宋体"/>
          <w:b w:val="0"/>
          <w:bCs w:val="0"/>
          <w:i w:val="0"/>
          <w:iCs w:val="0"/>
          <w:sz w:val="21"/>
          <w:szCs w:val="21"/>
          <w:rtl w:val="0"/>
          <w:lang w:val="zh-CN" w:eastAsia="zh-CN"/>
        </w:rPr>
        <w:t>取样长度；取样个数；测量范围；</w:t>
      </w:r>
      <w:r>
        <w:rPr>
          <w:rFonts w:hint="eastAsia" w:ascii="宋体" w:hAnsi="宋体" w:eastAsia="宋体" w:cs="宋体"/>
          <w:sz w:val="21"/>
          <w:szCs w:val="21"/>
          <w:rtl w:val="0"/>
        </w:rPr>
        <w:t>Ra</w:t>
      </w:r>
      <w:r>
        <w:rPr>
          <w:rFonts w:hint="eastAsia" w:ascii="宋体" w:hAnsi="宋体" w:eastAsia="宋体" w:cs="宋体"/>
          <w:b w:val="0"/>
          <w:bCs w:val="0"/>
          <w:i w:val="0"/>
          <w:iCs w:val="0"/>
          <w:sz w:val="21"/>
          <w:szCs w:val="21"/>
          <w:rtl w:val="0"/>
          <w:lang w:val="zh-CN" w:eastAsia="zh-CN"/>
        </w:rPr>
        <w:t>实测值；原始轮廓曲线；参数设置截图；异常信息。</w:t>
      </w:r>
    </w:p>
    <w:p w14:paraId="00020797">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11.10 </w:t>
      </w:r>
      <w:r>
        <w:rPr>
          <w:rFonts w:hint="eastAsia" w:ascii="宋体" w:hAnsi="宋体" w:eastAsia="宋体" w:cs="宋体"/>
          <w:b w:val="0"/>
          <w:bCs w:val="0"/>
          <w:i w:val="0"/>
          <w:iCs w:val="0"/>
          <w:sz w:val="21"/>
          <w:szCs w:val="21"/>
          <w:rtl w:val="0"/>
          <w:lang w:val="zh-CN" w:eastAsia="zh-CN"/>
        </w:rPr>
        <w:t>试验结束</w:t>
      </w:r>
    </w:p>
    <w:p w14:paraId="4DB3560A">
      <w:pPr>
        <w:pStyle w:val="8"/>
        <w:keepNext w:val="0"/>
        <w:keepLines w:val="0"/>
        <w:pageBreakBefore w:val="0"/>
        <w:framePr w:wrap="auto" w:vAnchor="margin" w:hAnchor="text" w:yAlign="inline"/>
        <w:widowControl/>
        <w:numPr>
          <w:ilvl w:val="0"/>
          <w:numId w:val="18"/>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确认全部原始数据已保存。</w:t>
      </w:r>
    </w:p>
    <w:p w14:paraId="6EB7C8D1">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导出或备份检测结果和轮廓文件。</w:t>
      </w:r>
    </w:p>
    <w:p w14:paraId="08276417">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退出</w:t>
      </w:r>
      <w:r>
        <w:rPr>
          <w:rFonts w:hint="eastAsia" w:ascii="宋体" w:hAnsi="宋体" w:eastAsia="宋体" w:cs="宋体"/>
          <w:sz w:val="21"/>
          <w:szCs w:val="21"/>
          <w:rtl w:val="0"/>
          <w:lang w:val="en-US"/>
        </w:rPr>
        <w:t>Roughness</w:t>
      </w:r>
      <w:r>
        <w:rPr>
          <w:rFonts w:hint="eastAsia" w:ascii="宋体" w:hAnsi="宋体" w:eastAsia="宋体" w:cs="宋体"/>
          <w:b w:val="0"/>
          <w:bCs w:val="0"/>
          <w:i w:val="0"/>
          <w:iCs w:val="0"/>
          <w:sz w:val="21"/>
          <w:szCs w:val="21"/>
          <w:rtl w:val="0"/>
          <w:lang w:val="zh-CN" w:eastAsia="zh-CN"/>
        </w:rPr>
        <w:t>软件。</w:t>
      </w:r>
    </w:p>
    <w:p w14:paraId="4B6855F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关闭粗糙度仪。</w:t>
      </w:r>
    </w:p>
    <w:p w14:paraId="04B433BE">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关闭电脑。</w:t>
      </w:r>
    </w:p>
    <w:p w14:paraId="530237CC">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取下试样并按样品管理要求保存。</w:t>
      </w:r>
    </w:p>
    <w:p w14:paraId="4F2076A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清洁夹具和测量平台。</w:t>
      </w:r>
    </w:p>
    <w:p w14:paraId="44D5D4C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安装测针保护装置。</w:t>
      </w:r>
    </w:p>
    <w:p w14:paraId="2B1F41C4">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填写设备使用记录。</w:t>
      </w:r>
    </w:p>
    <w:p w14:paraId="5B64CA89">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60" w:lineRule="auto"/>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12 </w:t>
      </w:r>
      <w:r>
        <w:rPr>
          <w:rFonts w:hint="eastAsia" w:ascii="宋体" w:hAnsi="宋体" w:eastAsia="宋体" w:cs="宋体"/>
          <w:b w:val="0"/>
          <w:bCs w:val="0"/>
          <w:i w:val="0"/>
          <w:iCs w:val="0"/>
          <w:sz w:val="21"/>
          <w:szCs w:val="21"/>
          <w:rtl w:val="0"/>
          <w:lang w:val="zh-CN" w:eastAsia="zh-CN"/>
        </w:rPr>
        <w:t>数据处理</w:t>
      </w:r>
    </w:p>
    <w:p w14:paraId="4C427C41">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60" w:lineRule="auto"/>
        <w:ind w:left="0" w:right="0" w:firstLine="0"/>
        <w:jc w:val="left"/>
        <w:textAlignment w:val="auto"/>
        <w:rPr>
          <w:rFonts w:hint="eastAsia" w:ascii="宋体" w:hAnsi="宋体" w:eastAsia="宋体" w:cs="宋体"/>
          <w:b w:val="0"/>
          <w:bCs w:val="0"/>
          <w:i w:val="0"/>
          <w:iCs w:val="0"/>
          <w:sz w:val="21"/>
          <w:szCs w:val="21"/>
          <w:lang w:val="zh-CN" w:eastAsia="zh-CN"/>
        </w:rPr>
      </w:pPr>
      <w:r>
        <w:rPr>
          <w:rFonts w:hint="eastAsia" w:ascii="宋体" w:hAnsi="宋体" w:eastAsia="宋体" w:cs="宋体"/>
          <w:b w:val="0"/>
          <w:bCs w:val="0"/>
          <w:i w:val="0"/>
          <w:iCs w:val="0"/>
          <w:sz w:val="21"/>
          <w:szCs w:val="21"/>
          <w:rtl w:val="0"/>
          <w:lang w:val="zh-CN" w:eastAsia="zh-CN"/>
        </w:rPr>
        <w:t>每个试样的平均表面粗糙度按下式计算：</w:t>
      </w:r>
      <w:r>
        <w:rPr>
          <w:rFonts w:hint="eastAsia" w:ascii="宋体" w:hAnsi="宋体" w:eastAsia="宋体" w:cs="宋体"/>
          <w:b w:val="0"/>
          <w:bCs w:val="0"/>
          <w:i w:val="0"/>
          <w:iCs w:val="0"/>
          <w:position w:val="-24"/>
          <w:sz w:val="21"/>
          <w:szCs w:val="21"/>
          <w:lang w:val="zh-CN" w:eastAsia="zh-CN"/>
        </w:rPr>
        <w:object>
          <v:shape id="_x0000_i1025" o:spt="75" type="#_x0000_t75" style="height:31pt;width:107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p>
    <w:p w14:paraId="14769C4E">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60" w:lineRule="auto"/>
        <w:ind w:left="0" w:right="0" w:firstLine="0"/>
        <w:jc w:val="left"/>
        <w:textAlignment w:val="auto"/>
        <w:rPr>
          <w:rFonts w:hint="eastAsia" w:ascii="宋体" w:hAnsi="宋体" w:eastAsia="宋体" w:cs="宋体"/>
          <w:b w:val="0"/>
          <w:bCs w:val="0"/>
          <w:i w:val="0"/>
          <w:iCs w:val="0"/>
          <w:sz w:val="21"/>
          <w:szCs w:val="21"/>
          <w:rtl w:val="0"/>
          <w:lang w:val="zh-CN" w:eastAsia="zh-CN"/>
        </w:rPr>
      </w:pPr>
    </w:p>
    <w:p w14:paraId="51B4BB9A">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应分别计算</w:t>
      </w:r>
      <w:r>
        <w:rPr>
          <w:rFonts w:hint="eastAsia" w:ascii="宋体" w:hAnsi="宋体" w:eastAsia="宋体" w:cs="宋体"/>
          <w:sz w:val="21"/>
          <w:szCs w:val="21"/>
          <w:rtl w:val="0"/>
        </w:rPr>
        <w:t>6</w:t>
      </w:r>
      <w:r>
        <w:rPr>
          <w:rFonts w:hint="eastAsia" w:ascii="宋体" w:hAnsi="宋体" w:eastAsia="宋体" w:cs="宋体"/>
          <w:b w:val="0"/>
          <w:bCs w:val="0"/>
          <w:i w:val="0"/>
          <w:iCs w:val="0"/>
          <w:sz w:val="21"/>
          <w:szCs w:val="21"/>
          <w:rtl w:val="0"/>
          <w:lang w:val="zh-CN" w:eastAsia="zh-CN"/>
        </w:rPr>
        <w:t>个试样的平均</w:t>
      </w:r>
      <w:r>
        <w:rPr>
          <w:rFonts w:hint="eastAsia" w:ascii="宋体" w:hAnsi="宋体" w:eastAsia="宋体" w:cs="宋体"/>
          <w:sz w:val="21"/>
          <w:szCs w:val="21"/>
          <w:rtl w:val="0"/>
        </w:rPr>
        <w:t>Ra</w:t>
      </w:r>
      <w:r>
        <w:rPr>
          <w:rFonts w:hint="eastAsia" w:ascii="宋体" w:hAnsi="宋体" w:eastAsia="宋体" w:cs="宋体"/>
          <w:b w:val="0"/>
          <w:bCs w:val="0"/>
          <w:i w:val="0"/>
          <w:iCs w:val="0"/>
          <w:sz w:val="21"/>
          <w:szCs w:val="21"/>
          <w:rtl w:val="0"/>
          <w:lang w:val="zh-CN" w:eastAsia="zh-CN"/>
        </w:rPr>
        <w:t>，不得仅计算</w:t>
      </w:r>
      <w:r>
        <w:rPr>
          <w:rFonts w:hint="eastAsia" w:ascii="宋体" w:hAnsi="宋体" w:eastAsia="宋体" w:cs="宋体"/>
          <w:sz w:val="21"/>
          <w:szCs w:val="21"/>
          <w:rtl w:val="0"/>
        </w:rPr>
        <w:t>6</w:t>
      </w:r>
      <w:r>
        <w:rPr>
          <w:rFonts w:hint="eastAsia" w:ascii="宋体" w:hAnsi="宋体" w:eastAsia="宋体" w:cs="宋体"/>
          <w:b w:val="0"/>
          <w:bCs w:val="0"/>
          <w:i w:val="0"/>
          <w:iCs w:val="0"/>
          <w:sz w:val="21"/>
          <w:szCs w:val="21"/>
          <w:rtl w:val="0"/>
          <w:lang w:val="zh-CN" w:eastAsia="zh-CN"/>
        </w:rPr>
        <w:t>个试样的总体平均值代替单个试样判定。</w:t>
      </w:r>
    </w:p>
    <w:p w14:paraId="2836903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原始数据应保留软件实际显示位数，报告值按实验室修约规则处理。</w:t>
      </w:r>
    </w:p>
    <w:p w14:paraId="497A9BC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13 </w:t>
      </w:r>
      <w:r>
        <w:rPr>
          <w:rFonts w:hint="eastAsia" w:ascii="宋体" w:hAnsi="宋体" w:eastAsia="宋体" w:cs="宋体"/>
          <w:b w:val="0"/>
          <w:bCs w:val="0"/>
          <w:i w:val="0"/>
          <w:iCs w:val="0"/>
          <w:sz w:val="21"/>
          <w:szCs w:val="21"/>
          <w:rtl w:val="0"/>
          <w:lang w:val="zh-CN" w:eastAsia="zh-CN"/>
        </w:rPr>
        <w:t>结果判定</w:t>
      </w:r>
    </w:p>
    <w:p w14:paraId="24B88032">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val="0"/>
          <w:bCs w:val="0"/>
          <w:sz w:val="21"/>
          <w:szCs w:val="21"/>
          <w:rtl w:val="0"/>
        </w:rPr>
      </w:pPr>
      <w:r>
        <w:rPr>
          <w:rFonts w:hint="eastAsia" w:ascii="宋体" w:hAnsi="宋体" w:eastAsia="宋体" w:cs="宋体"/>
          <w:b w:val="0"/>
          <w:bCs w:val="0"/>
          <w:i w:val="0"/>
          <w:iCs w:val="0"/>
          <w:sz w:val="21"/>
          <w:szCs w:val="21"/>
          <w:rtl w:val="0"/>
          <w:lang w:val="zh-CN" w:eastAsia="zh-CN"/>
        </w:rPr>
        <w:t>依据</w:t>
      </w:r>
      <w:r>
        <w:rPr>
          <w:rFonts w:hint="eastAsia" w:ascii="宋体" w:hAnsi="宋体" w:eastAsia="宋体" w:cs="宋体"/>
          <w:sz w:val="21"/>
          <w:szCs w:val="21"/>
          <w:rtl w:val="0"/>
        </w:rPr>
        <w:t>YY/T 1702</w:t>
      </w:r>
      <w:r>
        <w:rPr>
          <w:rFonts w:hint="eastAsia" w:ascii="宋体" w:hAnsi="宋体" w:eastAsia="宋体" w:cs="宋体"/>
          <w:sz w:val="21"/>
          <w:szCs w:val="21"/>
          <w:rtl w:val="0"/>
          <w:lang w:val="en-US"/>
        </w:rPr>
        <w:t>—</w:t>
      </w:r>
      <w:r>
        <w:rPr>
          <w:rFonts w:hint="eastAsia" w:ascii="宋体" w:hAnsi="宋体" w:eastAsia="宋体" w:cs="宋体"/>
          <w:sz w:val="21"/>
          <w:szCs w:val="21"/>
          <w:rtl w:val="0"/>
        </w:rPr>
        <w:t>2020</w:t>
      </w:r>
      <w:r>
        <w:rPr>
          <w:rFonts w:hint="eastAsia" w:ascii="宋体" w:hAnsi="宋体" w:eastAsia="宋体" w:cs="宋体"/>
          <w:b w:val="0"/>
          <w:bCs w:val="0"/>
          <w:i w:val="0"/>
          <w:iCs w:val="0"/>
          <w:sz w:val="21"/>
          <w:szCs w:val="21"/>
          <w:rtl w:val="0"/>
          <w:lang w:val="zh-CN" w:eastAsia="zh-CN"/>
        </w:rPr>
        <w:t>，表面粗糙度应满足：</w:t>
      </w:r>
      <w:r>
        <w:rPr>
          <w:rFonts w:hint="eastAsia" w:ascii="宋体" w:hAnsi="宋体" w:eastAsia="宋体" w:cs="宋体"/>
          <w:b/>
          <w:bCs/>
          <w:sz w:val="21"/>
          <w:szCs w:val="21"/>
          <w:rtl w:val="0"/>
        </w:rPr>
        <w:t>Ra≤15 μm</w:t>
      </w:r>
      <w:r>
        <w:rPr>
          <w:rFonts w:hint="eastAsia" w:ascii="宋体" w:hAnsi="宋体" w:eastAsia="宋体" w:cs="宋体"/>
          <w:b w:val="0"/>
          <w:bCs w:val="0"/>
          <w:i w:val="0"/>
          <w:iCs w:val="0"/>
          <w:sz w:val="21"/>
          <w:szCs w:val="21"/>
          <w:rtl w:val="0"/>
        </w:rPr>
        <w:t>。</w:t>
      </w:r>
    </w:p>
    <w:p w14:paraId="242663C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判定原则：</w:t>
      </w:r>
    </w:p>
    <w:p w14:paraId="6ED09242">
      <w:pPr>
        <w:pStyle w:val="8"/>
        <w:keepNext w:val="0"/>
        <w:keepLines w:val="0"/>
        <w:pageBreakBefore w:val="0"/>
        <w:framePr w:wrap="auto" w:vAnchor="margin" w:hAnchor="text" w:yAlign="inline"/>
        <w:widowControl/>
        <w:numPr>
          <w:ilvl w:val="0"/>
          <w:numId w:val="19"/>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每个试样分别判定；</w:t>
      </w:r>
    </w:p>
    <w:p w14:paraId="5E030DA5">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rPr>
      </w:pPr>
      <w:r>
        <w:rPr>
          <w:rFonts w:hint="eastAsia" w:ascii="宋体" w:hAnsi="宋体" w:eastAsia="宋体" w:cs="宋体"/>
          <w:sz w:val="21"/>
          <w:szCs w:val="21"/>
          <w:rtl w:val="0"/>
        </w:rPr>
        <w:t>6</w:t>
      </w:r>
      <w:r>
        <w:rPr>
          <w:rFonts w:hint="eastAsia" w:ascii="宋体" w:hAnsi="宋体" w:eastAsia="宋体" w:cs="宋体"/>
          <w:b w:val="0"/>
          <w:bCs w:val="0"/>
          <w:i w:val="0"/>
          <w:iCs w:val="0"/>
          <w:sz w:val="21"/>
          <w:szCs w:val="21"/>
          <w:rtl w:val="0"/>
          <w:lang w:val="zh-CN" w:eastAsia="zh-CN"/>
        </w:rPr>
        <w:t>个试样均符合要求时，该检测项目判定为符合；</w:t>
      </w:r>
    </w:p>
    <w:p w14:paraId="6427C96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任一试样不符合时，应按标准、委托方案和实验室复检规则处理；</w:t>
      </w:r>
    </w:p>
    <w:p w14:paraId="51505B0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不得以</w:t>
      </w:r>
      <w:r>
        <w:rPr>
          <w:rFonts w:hint="eastAsia" w:ascii="宋体" w:hAnsi="宋体" w:eastAsia="宋体" w:cs="宋体"/>
          <w:sz w:val="21"/>
          <w:szCs w:val="21"/>
          <w:rtl w:val="0"/>
        </w:rPr>
        <w:t>6</w:t>
      </w:r>
      <w:r>
        <w:rPr>
          <w:rFonts w:hint="eastAsia" w:ascii="宋体" w:hAnsi="宋体" w:eastAsia="宋体" w:cs="宋体"/>
          <w:b w:val="0"/>
          <w:bCs w:val="0"/>
          <w:i w:val="0"/>
          <w:iCs w:val="0"/>
          <w:sz w:val="21"/>
          <w:szCs w:val="21"/>
          <w:rtl w:val="0"/>
          <w:lang w:val="zh-CN" w:eastAsia="zh-CN"/>
        </w:rPr>
        <w:t>个试样总体平均值小于</w:t>
      </w:r>
      <w:r>
        <w:rPr>
          <w:rFonts w:hint="eastAsia" w:ascii="宋体" w:hAnsi="宋体" w:eastAsia="宋体" w:cs="宋体"/>
          <w:sz w:val="21"/>
          <w:szCs w:val="21"/>
          <w:rtl w:val="0"/>
        </w:rPr>
        <w:t>15 μm</w:t>
      </w:r>
      <w:r>
        <w:rPr>
          <w:rFonts w:hint="eastAsia" w:ascii="宋体" w:hAnsi="宋体" w:eastAsia="宋体" w:cs="宋体"/>
          <w:b w:val="0"/>
          <w:bCs w:val="0"/>
          <w:i w:val="0"/>
          <w:iCs w:val="0"/>
          <w:sz w:val="21"/>
          <w:szCs w:val="21"/>
          <w:rtl w:val="0"/>
          <w:lang w:val="zh-CN" w:eastAsia="zh-CN"/>
        </w:rPr>
        <w:t>掩盖单个试样不符合；</w:t>
      </w:r>
    </w:p>
    <w:p w14:paraId="1EF5B73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产品技术要求或委托协议规定更严格限值时，执行更严格要求。</w:t>
      </w:r>
    </w:p>
    <w:p w14:paraId="11BEE3EA">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14 </w:t>
      </w:r>
      <w:r>
        <w:rPr>
          <w:rFonts w:hint="eastAsia" w:ascii="宋体" w:hAnsi="宋体" w:eastAsia="宋体" w:cs="宋体"/>
          <w:b w:val="0"/>
          <w:bCs w:val="0"/>
          <w:i w:val="0"/>
          <w:iCs w:val="0"/>
          <w:sz w:val="21"/>
          <w:szCs w:val="21"/>
          <w:rtl w:val="0"/>
          <w:lang w:val="zh-CN" w:eastAsia="zh-CN"/>
        </w:rPr>
        <w:t>测量范围调整</w:t>
      </w:r>
    </w:p>
    <w:p w14:paraId="40305064">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默认测量范围为</w:t>
      </w:r>
      <w:r>
        <w:rPr>
          <w:rFonts w:hint="eastAsia" w:ascii="宋体" w:hAnsi="宋体" w:eastAsia="宋体" w:cs="宋体"/>
          <w:sz w:val="21"/>
          <w:szCs w:val="21"/>
          <w:rtl w:val="0"/>
        </w:rPr>
        <w:t>40 μm</w:t>
      </w:r>
      <w:r>
        <w:rPr>
          <w:rFonts w:hint="eastAsia" w:ascii="宋体" w:hAnsi="宋体" w:eastAsia="宋体" w:cs="宋体"/>
          <w:b w:val="0"/>
          <w:bCs w:val="0"/>
          <w:i w:val="0"/>
          <w:iCs w:val="0"/>
          <w:sz w:val="21"/>
          <w:szCs w:val="21"/>
          <w:rtl w:val="0"/>
        </w:rPr>
        <w:t>。</w:t>
      </w:r>
    </w:p>
    <w:p w14:paraId="04D58E38">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出现超量程时：</w:t>
      </w:r>
    </w:p>
    <w:p w14:paraId="69959479">
      <w:pPr>
        <w:pStyle w:val="8"/>
        <w:keepNext w:val="0"/>
        <w:keepLines w:val="0"/>
        <w:pageBreakBefore w:val="0"/>
        <w:framePr w:wrap="auto" w:vAnchor="margin" w:hAnchor="text" w:yAlign="inline"/>
        <w:widowControl/>
        <w:numPr>
          <w:ilvl w:val="0"/>
          <w:numId w:val="20"/>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保存超量程原始记录；</w:t>
      </w:r>
    </w:p>
    <w:p w14:paraId="01D4E11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检查测针位置；</w:t>
      </w:r>
    </w:p>
    <w:p w14:paraId="44169078">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检查是否测到边缘、毛刺或异常颗粒；</w:t>
      </w:r>
    </w:p>
    <w:p w14:paraId="1C7F481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检查试样是否松动；</w:t>
      </w:r>
    </w:p>
    <w:p w14:paraId="2E357DBC">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不得直接删除超量程数据；</w:t>
      </w:r>
    </w:p>
    <w:p w14:paraId="7DEB4763">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确需调整至更大量程时，应经授权人员确认；</w:t>
      </w:r>
    </w:p>
    <w:p w14:paraId="0B720726">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参数调整后应重新进行标准块核查；</w:t>
      </w:r>
    </w:p>
    <w:p w14:paraId="3FD17BB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同组试样原则上应使用一致的受控测量范围；</w:t>
      </w:r>
    </w:p>
    <w:p w14:paraId="01CEA6BF">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在原始记录中注明调整原因、调整前后参数及核查结果。</w:t>
      </w:r>
    </w:p>
    <w:p w14:paraId="65B22C04">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15 </w:t>
      </w:r>
      <w:r>
        <w:rPr>
          <w:rFonts w:hint="eastAsia" w:ascii="宋体" w:hAnsi="宋体" w:eastAsia="宋体" w:cs="宋体"/>
          <w:b w:val="0"/>
          <w:bCs w:val="0"/>
          <w:i w:val="0"/>
          <w:iCs w:val="0"/>
          <w:sz w:val="21"/>
          <w:szCs w:val="21"/>
          <w:rtl w:val="0"/>
          <w:lang w:val="zh-CN" w:eastAsia="zh-CN"/>
        </w:rPr>
        <w:t>异常和不符合工作处理</w:t>
      </w:r>
    </w:p>
    <w:p w14:paraId="49D2C0E8">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出现以下情况</w:t>
      </w:r>
      <w:r>
        <w:rPr>
          <w:rFonts w:hint="eastAsia" w:ascii="宋体" w:hAnsi="宋体" w:eastAsia="宋体" w:cs="宋体"/>
          <w:b w:val="0"/>
          <w:bCs w:val="0"/>
          <w:i w:val="0"/>
          <w:iCs w:val="0"/>
          <w:sz w:val="21"/>
          <w:szCs w:val="21"/>
          <w:rtl w:val="0"/>
          <w:lang w:val="en-US" w:eastAsia="zh-CN"/>
        </w:rPr>
        <w:t>之一时</w:t>
      </w:r>
      <w:r>
        <w:rPr>
          <w:rFonts w:hint="eastAsia" w:ascii="宋体" w:hAnsi="宋体" w:eastAsia="宋体" w:cs="宋体"/>
          <w:b w:val="0"/>
          <w:bCs w:val="0"/>
          <w:i w:val="0"/>
          <w:iCs w:val="0"/>
          <w:sz w:val="21"/>
          <w:szCs w:val="21"/>
          <w:rtl w:val="0"/>
          <w:lang w:val="zh-CN" w:eastAsia="zh-CN"/>
        </w:rPr>
        <w:t>应暂停检测：标准块核查不合格；测针损伤；仪器报警；通讯中断；曲线异常跳变；试样移动；测针越出试样；设备受到碰撞；环境振动明显；参数未经批准被修改；原始数据无法保存。</w:t>
      </w:r>
    </w:p>
    <w:p w14:paraId="173C6661">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sz w:val="21"/>
          <w:szCs w:val="21"/>
          <w:rtl w:val="0"/>
        </w:rPr>
      </w:pPr>
      <w:r>
        <w:rPr>
          <w:rFonts w:hint="eastAsia" w:ascii="宋体" w:hAnsi="宋体" w:eastAsia="宋体" w:cs="宋体"/>
          <w:b w:val="0"/>
          <w:bCs w:val="0"/>
          <w:i w:val="0"/>
          <w:iCs w:val="0"/>
          <w:sz w:val="21"/>
          <w:szCs w:val="21"/>
          <w:rtl w:val="0"/>
          <w:lang w:val="zh-CN" w:eastAsia="zh-CN"/>
        </w:rPr>
        <w:t>检测人员应记录异常发生时间、试样编号、异常现象、影响评估和处理措施。未经技术负责人确认，不得擅自删除、覆盖或修改原始数据。</w:t>
      </w:r>
    </w:p>
    <w:p w14:paraId="5F78B8E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rPr>
        <w:t xml:space="preserve">16 </w:t>
      </w:r>
      <w:r>
        <w:rPr>
          <w:rFonts w:hint="eastAsia" w:ascii="宋体" w:hAnsi="宋体" w:eastAsia="宋体" w:cs="宋体"/>
          <w:b w:val="0"/>
          <w:bCs w:val="0"/>
          <w:i w:val="0"/>
          <w:iCs w:val="0"/>
          <w:sz w:val="21"/>
          <w:szCs w:val="21"/>
          <w:rtl w:val="0"/>
          <w:lang w:val="zh-CN" w:eastAsia="zh-CN"/>
        </w:rPr>
        <w:t>质量控制</w:t>
      </w:r>
    </w:p>
    <w:p w14:paraId="1C4FB7E7">
      <w:pPr>
        <w:pStyle w:val="8"/>
        <w:keepNext w:val="0"/>
        <w:keepLines w:val="0"/>
        <w:pageBreakBefore w:val="0"/>
        <w:framePr w:wrap="auto" w:vAnchor="margin" w:hAnchor="text" w:yAlign="inline"/>
        <w:widowControl/>
        <w:numPr>
          <w:ilvl w:val="0"/>
          <w:numId w:val="2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每次正式检测前使用粗糙度标准块进行核查。</w:t>
      </w:r>
    </w:p>
    <w:p w14:paraId="2AE9360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定期开展期间核查和重复性试验。</w:t>
      </w:r>
    </w:p>
    <w:p w14:paraId="0B112F4D">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必要时采用留样再测、人员比对、设备比对或实验室间比对。</w:t>
      </w:r>
    </w:p>
    <w:p w14:paraId="6845DB49">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对标准块、夹具和测量平台建立台账。</w:t>
      </w:r>
    </w:p>
    <w:p w14:paraId="7F9E153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对软件版本、计算参数和数据存储路径实施受控管理。</w:t>
      </w:r>
    </w:p>
    <w:p w14:paraId="0A626CB7">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应开展测量不确定度评定，并在适用时用于符合性判定。</w:t>
      </w:r>
    </w:p>
    <w:p w14:paraId="123CA930">
      <w:pPr>
        <w:pStyle w:val="8"/>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400" w:lineRule="exact"/>
        <w:ind w:right="0"/>
        <w:jc w:val="left"/>
        <w:textAlignment w:val="auto"/>
        <w:rPr>
          <w:rFonts w:hint="eastAsia" w:ascii="宋体" w:hAnsi="宋体" w:eastAsia="宋体" w:cs="宋体"/>
          <w:sz w:val="21"/>
          <w:szCs w:val="21"/>
          <w:rtl w:val="0"/>
          <w:lang w:val="zh-CN" w:eastAsia="zh-CN"/>
        </w:rPr>
      </w:pPr>
      <w:r>
        <w:rPr>
          <w:rFonts w:hint="eastAsia" w:ascii="宋体" w:hAnsi="宋体" w:eastAsia="宋体" w:cs="宋体"/>
          <w:b w:val="0"/>
          <w:bCs w:val="0"/>
          <w:i w:val="0"/>
          <w:iCs w:val="0"/>
          <w:sz w:val="21"/>
          <w:szCs w:val="21"/>
          <w:rtl w:val="0"/>
          <w:lang w:val="zh-CN" w:eastAsia="zh-CN"/>
        </w:rPr>
        <w:t>参数变更、设备维修或测针更换后，应重新</w:t>
      </w:r>
      <w:r>
        <w:rPr>
          <w:rFonts w:hint="eastAsia" w:ascii="宋体" w:hAnsi="宋体" w:eastAsia="宋体" w:cs="宋体"/>
          <w:b w:val="0"/>
          <w:bCs w:val="0"/>
          <w:i w:val="0"/>
          <w:iCs w:val="0"/>
          <w:sz w:val="21"/>
          <w:szCs w:val="21"/>
          <w:rtl w:val="0"/>
          <w:lang w:val="en-US" w:eastAsia="zh-CN"/>
        </w:rPr>
        <w:t>验证</w:t>
      </w:r>
      <w:r>
        <w:rPr>
          <w:rFonts w:hint="eastAsia" w:ascii="宋体" w:hAnsi="宋体" w:eastAsia="宋体" w:cs="宋体"/>
          <w:b w:val="0"/>
          <w:bCs w:val="0"/>
          <w:i w:val="0"/>
          <w:iCs w:val="0"/>
          <w:sz w:val="21"/>
          <w:szCs w:val="21"/>
          <w:rtl w:val="0"/>
          <w:lang w:val="zh-CN" w:eastAsia="zh-CN"/>
        </w:rPr>
        <w:t>方法适用性。</w:t>
      </w:r>
    </w:p>
    <w:p w14:paraId="299DEA73">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b/>
          <w:bCs/>
          <w:sz w:val="21"/>
          <w:szCs w:val="21"/>
          <w:rtl w:val="0"/>
        </w:rPr>
      </w:pPr>
      <w:r>
        <w:rPr>
          <w:rFonts w:hint="eastAsia" w:ascii="宋体" w:hAnsi="宋体" w:eastAsia="宋体" w:cs="宋体"/>
          <w:b/>
          <w:bCs/>
          <w:sz w:val="21"/>
          <w:szCs w:val="21"/>
          <w:rtl w:val="0"/>
          <w:lang w:val="ru-RU"/>
        </w:rPr>
        <w:t xml:space="preserve">17 </w:t>
      </w:r>
      <w:r>
        <w:rPr>
          <w:rFonts w:hint="eastAsia" w:ascii="宋体" w:hAnsi="宋体" w:eastAsia="宋体" w:cs="宋体"/>
          <w:b w:val="0"/>
          <w:bCs w:val="0"/>
          <w:i w:val="0"/>
          <w:iCs w:val="0"/>
          <w:sz w:val="21"/>
          <w:szCs w:val="21"/>
          <w:rtl w:val="0"/>
          <w:lang w:val="zh-CN" w:eastAsia="zh-CN"/>
        </w:rPr>
        <w:t>原始记录</w:t>
      </w:r>
      <w:r>
        <w:rPr>
          <w:rFonts w:hint="eastAsia" w:ascii="宋体" w:hAnsi="宋体" w:eastAsia="宋体" w:cs="宋体"/>
          <w:b w:val="0"/>
          <w:bCs w:val="0"/>
          <w:i w:val="0"/>
          <w:iCs w:val="0"/>
          <w:sz w:val="21"/>
          <w:szCs w:val="21"/>
          <w:rtl w:val="0"/>
          <w:lang w:val="en-US" w:eastAsia="zh-CN"/>
        </w:rPr>
        <w:t>和报告</w:t>
      </w:r>
      <w:r>
        <w:rPr>
          <w:rFonts w:hint="eastAsia" w:ascii="宋体" w:hAnsi="宋体" w:eastAsia="宋体" w:cs="宋体"/>
          <w:b w:val="0"/>
          <w:bCs w:val="0"/>
          <w:i w:val="0"/>
          <w:iCs w:val="0"/>
          <w:sz w:val="21"/>
          <w:szCs w:val="21"/>
          <w:rtl w:val="0"/>
          <w:lang w:val="zh-CN" w:eastAsia="zh-CN"/>
        </w:rPr>
        <w:t>要求</w:t>
      </w:r>
    </w:p>
    <w:p w14:paraId="50A16702">
      <w:pPr>
        <w:pStyle w:val="11"/>
        <w:pageBreakBefore w:val="0"/>
        <w:framePr w:wrap="auto" w:vAnchor="margin" w:hAnchor="text" w:yAlign="inline"/>
        <w:widowControl w:val="0"/>
        <w:wordWrap/>
        <w:topLinePunct w:val="0"/>
        <w:bidi w:val="0"/>
        <w:adjustRightInd/>
        <w:snapToGrid/>
        <w:spacing w:before="0" w:after="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highlight w:val="none"/>
          <w:rtl w:val="0"/>
          <w:lang w:val="en-US" w:eastAsia="zh-CN"/>
        </w:rPr>
        <w:t>17.1</w:t>
      </w:r>
      <w:r>
        <w:rPr>
          <w:rFonts w:hint="eastAsia" w:ascii="宋体" w:hAnsi="宋体" w:eastAsia="宋体" w:cs="宋体"/>
          <w:color w:val="auto"/>
          <w:sz w:val="21"/>
          <w:szCs w:val="21"/>
          <w:highlight w:val="none"/>
          <w:rtl w:val="0"/>
          <w:lang w:val="en-US"/>
        </w:rPr>
        <w:t>原始记录应</w:t>
      </w:r>
      <w:r>
        <w:rPr>
          <w:rFonts w:hint="eastAsia" w:ascii="宋体" w:hAnsi="宋体" w:eastAsia="宋体" w:cs="宋体"/>
          <w:color w:val="auto"/>
          <w:sz w:val="21"/>
          <w:szCs w:val="21"/>
          <w:rtl w:val="0"/>
          <w:lang w:val="en-US"/>
        </w:rPr>
        <w:t>真实、准确、清晰、完整，不得随意涂改；确需修改时，应保留原始内容并签名注明日期和原因。原始记录至少应包括委托单位、样品名称、样品编号、检测依据、主要设备、试验条件、结果数据、判定依据、结论、检测日期、检测人员、复核人员和授权签字人</w:t>
      </w:r>
      <w:r>
        <w:rPr>
          <w:rFonts w:hint="eastAsia" w:ascii="宋体" w:hAnsi="宋体" w:eastAsia="宋体" w:cs="宋体"/>
          <w:color w:val="auto"/>
          <w:sz w:val="21"/>
          <w:szCs w:val="21"/>
          <w:rtl w:val="0"/>
          <w:lang w:val="en-US" w:eastAsia="zh-CN"/>
        </w:rPr>
        <w:t>等必要信息。原始记录见《</w:t>
      </w:r>
      <w:r>
        <w:rPr>
          <w:rFonts w:hint="eastAsia" w:ascii="宋体" w:hAnsi="宋体" w:eastAsia="宋体" w:cs="宋体"/>
          <w:b w:val="0"/>
          <w:bCs/>
          <w:sz w:val="21"/>
          <w:szCs w:val="21"/>
        </w:rPr>
        <w:t>口腔增材制造金属试样表面粗糙度检测</w:t>
      </w:r>
      <w:r>
        <w:rPr>
          <w:rFonts w:hint="eastAsia" w:ascii="宋体" w:hAnsi="宋体" w:eastAsia="宋体" w:cs="宋体"/>
          <w:b w:val="0"/>
          <w:bCs/>
          <w:sz w:val="21"/>
          <w:szCs w:val="21"/>
          <w:rtl w:val="0"/>
          <w:lang w:val="en-US" w:eastAsia="zh-CN"/>
        </w:rPr>
        <w:t>原始记录</w:t>
      </w:r>
      <w:r>
        <w:rPr>
          <w:rFonts w:hint="eastAsia" w:ascii="宋体" w:hAnsi="宋体" w:eastAsia="宋体" w:cs="宋体"/>
          <w:color w:val="auto"/>
          <w:sz w:val="21"/>
          <w:szCs w:val="21"/>
          <w:rtl w:val="0"/>
          <w:lang w:val="en-US" w:eastAsia="zh-CN"/>
        </w:rPr>
        <w:t>》</w:t>
      </w:r>
    </w:p>
    <w:p w14:paraId="27BF8BAD">
      <w:pPr>
        <w:pStyle w:val="8"/>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400" w:lineRule="exact"/>
        <w:ind w:left="0" w:right="0" w:firstLine="0"/>
        <w:jc w:val="left"/>
        <w:textAlignment w:val="auto"/>
        <w:rPr>
          <w:rFonts w:hint="eastAsia" w:ascii="宋体" w:hAnsi="宋体" w:eastAsia="宋体" w:cs="宋体"/>
          <w:color w:val="auto"/>
          <w:sz w:val="21"/>
          <w:szCs w:val="21"/>
          <w:rtl w:val="0"/>
          <w:lang w:val="en-US" w:eastAsia="zh-CN"/>
        </w:rPr>
      </w:pPr>
      <w:r>
        <w:rPr>
          <w:rFonts w:hint="eastAsia" w:ascii="宋体" w:hAnsi="宋体" w:eastAsia="宋体" w:cs="宋体"/>
          <w:color w:val="auto"/>
          <w:sz w:val="21"/>
          <w:szCs w:val="21"/>
          <w:rtl w:val="0"/>
          <w:lang w:val="en-US" w:eastAsia="zh-CN"/>
        </w:rPr>
        <w:t>17.2</w:t>
      </w:r>
      <w:r>
        <w:rPr>
          <w:rFonts w:hint="eastAsia" w:ascii="宋体" w:hAnsi="宋体" w:eastAsia="宋体" w:cs="宋体"/>
          <w:color w:val="auto"/>
          <w:sz w:val="21"/>
          <w:szCs w:val="21"/>
          <w:rtl w:val="0"/>
          <w:lang w:val="en-US"/>
        </w:rPr>
        <w:t>报告应</w:t>
      </w:r>
      <w:r>
        <w:rPr>
          <w:rFonts w:hint="eastAsia" w:ascii="宋体" w:hAnsi="宋体" w:eastAsia="宋体" w:cs="宋体"/>
          <w:color w:val="auto"/>
          <w:sz w:val="21"/>
          <w:szCs w:val="21"/>
          <w:rtl w:val="0"/>
          <w:lang w:val="en-US" w:eastAsia="zh-CN"/>
        </w:rPr>
        <w:t>与原始记录的信息保持一致</w:t>
      </w:r>
      <w:r>
        <w:rPr>
          <w:rFonts w:hint="eastAsia" w:ascii="宋体" w:hAnsi="宋体" w:eastAsia="宋体" w:cs="宋体"/>
          <w:color w:val="auto"/>
          <w:sz w:val="21"/>
          <w:szCs w:val="21"/>
          <w:rtl w:val="0"/>
          <w:lang w:val="en-US"/>
        </w:rPr>
        <w:t>。</w:t>
      </w:r>
      <w:r>
        <w:rPr>
          <w:rFonts w:hint="eastAsia" w:ascii="宋体" w:hAnsi="宋体" w:eastAsia="宋体" w:cs="宋体"/>
          <w:color w:val="auto"/>
          <w:sz w:val="21"/>
          <w:szCs w:val="21"/>
          <w:rtl w:val="0"/>
          <w:lang w:val="en-US" w:eastAsia="zh-CN"/>
        </w:rPr>
        <w:t>报告格式见DLBP-CX-P08-R03 检验报告。</w:t>
      </w:r>
    </w:p>
    <w:sectPr>
      <w:headerReference r:id="rId5" w:type="default"/>
      <w:footerReference r:id="rId6" w:type="default"/>
      <w:pgSz w:w="11906" w:h="16838"/>
      <w:pgMar w:top="1020" w:right="1020" w:bottom="850" w:left="1020" w:header="709" w:footer="85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PingFang SC Regular">
    <w:altName w:val="FFont-Family"/>
    <w:panose1 w:val="00000000000000000000"/>
    <w:charset w:val="00"/>
    <w:family w:val="roman"/>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Aptos">
    <w:altName w:val="Segoe U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imes Roman">
    <w:altName w:val="FFont-Family"/>
    <w:panose1 w:val="00000000000000000000"/>
    <w:charset w:val="00"/>
    <w:family w:val="roman"/>
    <w:pitch w:val="default"/>
    <w:sig w:usb0="00000000" w:usb1="00000000" w:usb2="00000000" w:usb3="00000000" w:csb0="00000000" w:csb1="00000000"/>
  </w:font>
  <w:font w:name="Aptos Display">
    <w:altName w:val="Segoe UI Variable Display"/>
    <w:panose1 w:val="00000000000000000000"/>
    <w:charset w:val="00"/>
    <w:family w:val="roman"/>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E2ACE">
    <w:pPr>
      <w:pStyle w:val="10"/>
      <w:framePr w:wrap="auto" w:vAnchor="margin" w:hAnchor="text" w:yAlign="inline"/>
      <w:pBdr>
        <w:top w:val="none" w:color="auto" w:sz="0" w:space="0"/>
        <w:left w:val="none" w:color="auto" w:sz="0" w:space="0"/>
        <w:bottom w:val="none" w:color="auto" w:sz="0" w:space="0"/>
        <w:right w:val="none" w:color="auto" w:sz="0" w:space="0"/>
      </w:pBdr>
      <w:bidi w:val="0"/>
      <w:jc w:val="righ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0EC13049">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0EC13049">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rFonts w:hint="eastAsia" w:ascii="黑体" w:hAnsi="黑体" w:eastAsia="黑体" w:cs="黑体"/>
        <w:sz w:val="24"/>
        <w:szCs w:val="24"/>
        <w:lang w:val="en-US" w:eastAsia="zh-CN"/>
      </w:rPr>
      <w:t>DLBP-SOP-001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2F546">
    <w:pPr>
      <w:pStyle w:val="10"/>
      <w:framePr w:wrap="auto" w:vAnchor="margin" w:hAnchor="text" w:yAlign="inline"/>
      <w:pBdr>
        <w:top w:val="none" w:color="auto" w:sz="0" w:space="0"/>
        <w:left w:val="none" w:color="auto" w:sz="0" w:space="0"/>
        <w:bottom w:val="none" w:color="auto" w:sz="0" w:space="0"/>
        <w:right w:val="none" w:color="auto" w:sz="0" w:space="0"/>
      </w:pBdr>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ind w:left="9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entative="0">
      <w:start w:val="1"/>
      <w:numFmt w:val="bullet"/>
      <w:lvlText w:val="•"/>
      <w:lvlJc w:val="left"/>
      <w:pPr>
        <w:ind w:left="11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entative="0">
      <w:start w:val="1"/>
      <w:numFmt w:val="bullet"/>
      <w:lvlText w:val="•"/>
      <w:lvlJc w:val="left"/>
      <w:pPr>
        <w:ind w:left="13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entative="0">
      <w:start w:val="1"/>
      <w:numFmt w:val="bullet"/>
      <w:lvlText w:val="•"/>
      <w:lvlJc w:val="left"/>
      <w:pPr>
        <w:ind w:left="160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entative="0">
      <w:start w:val="1"/>
      <w:numFmt w:val="bullet"/>
      <w:lvlText w:val="•"/>
      <w:lvlJc w:val="left"/>
      <w:pPr>
        <w:ind w:left="18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entative="0">
      <w:start w:val="1"/>
      <w:numFmt w:val="bullet"/>
      <w:lvlText w:val="•"/>
      <w:lvlJc w:val="left"/>
      <w:pPr>
        <w:ind w:left="20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entative="0">
      <w:start w:val="1"/>
      <w:numFmt w:val="bullet"/>
      <w:lvlText w:val="•"/>
      <w:lvlJc w:val="left"/>
      <w:pPr>
        <w:ind w:left="22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entative="0">
      <w:start w:val="1"/>
      <w:numFmt w:val="bullet"/>
      <w:lvlText w:val="•"/>
      <w:lvlJc w:val="left"/>
      <w:pPr>
        <w:ind w:left="24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nsid w:val="0053208E"/>
    <w:multiLevelType w:val="multilevel"/>
    <w:tmpl w:val="0053208E"/>
    <w:lvl w:ilvl="0" w:tentative="0">
      <w:start w:val="1"/>
      <w:numFmt w:val="decimal"/>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9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11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13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ind w:left="160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ind w:left="18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20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ind w:left="22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ind w:left="24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2A8F537B"/>
    <w:multiLevelType w:val="multilevel"/>
    <w:tmpl w:val="2A8F537B"/>
    <w:lvl w:ilvl="0" w:tentative="0">
      <w:start w:val="1"/>
      <w:numFmt w:val="decimal"/>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tentative="0">
      <w:start w:val="1"/>
      <w:numFmt w:val="decimal"/>
      <w:lvlText w:val="%2."/>
      <w:lvlJc w:val="left"/>
      <w:pPr>
        <w:ind w:left="12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entative="0">
      <w:start w:val="1"/>
      <w:numFmt w:val="decimal"/>
      <w:lvlText w:val="%3."/>
      <w:lvlJc w:val="left"/>
      <w:pPr>
        <w:ind w:left="19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entative="0">
      <w:start w:val="1"/>
      <w:numFmt w:val="decimal"/>
      <w:lvlText w:val="%4."/>
      <w:lvlJc w:val="left"/>
      <w:pPr>
        <w:ind w:left="26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entative="0">
      <w:start w:val="1"/>
      <w:numFmt w:val="decimal"/>
      <w:lvlText w:val="%5."/>
      <w:lvlJc w:val="left"/>
      <w:pPr>
        <w:ind w:left="33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entative="0">
      <w:start w:val="1"/>
      <w:numFmt w:val="decimal"/>
      <w:lvlText w:val="%6."/>
      <w:lvlJc w:val="left"/>
      <w:pPr>
        <w:ind w:left="410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entative="0">
      <w:start w:val="1"/>
      <w:numFmt w:val="decimal"/>
      <w:lvlText w:val="%7."/>
      <w:lvlJc w:val="left"/>
      <w:pPr>
        <w:ind w:left="48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entative="0">
      <w:start w:val="1"/>
      <w:numFmt w:val="decimal"/>
      <w:lvlText w:val="%8."/>
      <w:lvlJc w:val="left"/>
      <w:pPr>
        <w:ind w:left="55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entative="0">
      <w:start w:val="1"/>
      <w:numFmt w:val="decimal"/>
      <w:lvlText w:val="%9."/>
      <w:lvlJc w:val="left"/>
      <w:pPr>
        <w:ind w:left="62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1"/>
    </w:lvlOverride>
  </w:num>
  <w:num w:numId="11">
    <w:abstractNumId w:val="2"/>
  </w:num>
  <w:num w:numId="12">
    <w:abstractNumId w:val="2"/>
    <w:lvlOverride w:ilvl="0">
      <w:startOverride w:val="7"/>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4"/>
    </w:lvlOverride>
  </w:num>
  <w:num w:numId="16">
    <w:abstractNumId w:val="2"/>
    <w:lvlOverride w:ilvl="0">
      <w:startOverride w:val="1"/>
    </w:lvlOverride>
  </w:num>
  <w:num w:numId="17">
    <w:abstractNumId w:val="2"/>
    <w:lvlOverride w:ilvl="0">
      <w:startOverride w:val="3"/>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1DCD471E"/>
    <w:rsid w:val="2606737E"/>
    <w:rsid w:val="301945DF"/>
    <w:rsid w:val="306C0172"/>
    <w:rsid w:val="32430FFB"/>
    <w:rsid w:val="38B13162"/>
    <w:rsid w:val="5CFA4BF5"/>
    <w:rsid w:val="5F571ABE"/>
    <w:rsid w:val="78370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5">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qFormat/>
    <w:uiPriority w:val="0"/>
    <w:rPr>
      <w:u w:val="single"/>
    </w:rPr>
  </w:style>
  <w:style w:type="table" w:customStyle="1" w:styleId="7">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8">
    <w:name w:val="默认"/>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4"/>
      <w:szCs w:val="24"/>
      <w:u w:val="none" w:color="auto"/>
      <w:shd w:val="clear" w:color="auto" w:fill="auto"/>
      <w:vertAlign w:val="baseline"/>
      <w:lang w:val="zh-CN" w:eastAsia="zh-CN"/>
    </w:rPr>
  </w:style>
  <w:style w:type="paragraph" w:customStyle="1" w:styleId="9">
    <w:name w:val="表格样式 2"/>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0"/>
      <w:szCs w:val="20"/>
      <w:u w:val="none" w:color="auto"/>
      <w:shd w:val="clear" w:color="auto" w:fill="auto"/>
      <w:vertAlign w:val="baseline"/>
    </w:rPr>
  </w:style>
  <w:style w:type="paragraph" w:customStyle="1" w:styleId="10">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1">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40" w:lineRule="auto"/>
      <w:ind w:left="0" w:right="0" w:firstLine="0"/>
      <w:jc w:val="left"/>
      <w:outlineLvl w:val="9"/>
    </w:pPr>
    <w:rPr>
      <w:rFonts w:ascii="Aptos" w:hAnsi="Aptos" w:eastAsia="Aptos" w:cs="Aptos"/>
      <w:color w:val="000000"/>
      <w:spacing w:val="0"/>
      <w:w w:val="100"/>
      <w:kern w:val="0"/>
      <w:position w:val="0"/>
      <w:sz w:val="24"/>
      <w:szCs w:val="24"/>
      <w:u w:val="none" w:color="000000"/>
      <w:shd w:val="clear" w:color="auto" w:fill="auto"/>
      <w:vertAlign w:val="baseline"/>
    </w:rPr>
  </w:style>
  <w:style w:type="paragraph" w:customStyle="1" w:styleId="12">
    <w:name w:val="小标题"/>
    <w:next w:val="11"/>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60" w:beforeAutospacing="0" w:after="80" w:afterAutospacing="0" w:line="240" w:lineRule="auto"/>
      <w:ind w:left="0" w:right="0" w:firstLine="0"/>
      <w:jc w:val="left"/>
      <w:outlineLvl w:val="0"/>
    </w:pPr>
    <w:rPr>
      <w:rFonts w:ascii="Aptos Display" w:hAnsi="Aptos Display" w:eastAsia="Aptos Display" w:cs="Aptos Display"/>
      <w:color w:val="0F4761"/>
      <w:spacing w:val="0"/>
      <w:w w:val="100"/>
      <w:kern w:val="0"/>
      <w:position w:val="0"/>
      <w:sz w:val="40"/>
      <w:szCs w:val="40"/>
      <w:u w:val="none" w:color="0F4761"/>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4107</Words>
  <Characters>4374</Characters>
  <TotalTime>1</TotalTime>
  <ScaleCrop>false</ScaleCrop>
  <LinksUpToDate>false</LinksUpToDate>
  <CharactersWithSpaces>4429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2026-07-23T02:40:00Z</dcterms:created>
  <dc:creator>LIU</dc:creator>
  <cp:lastModifiedBy>WPS_1686482671</cp:lastModifiedBy>
  <dcterms:modified xsi:type="dcterms:W3CDTF">2026-07-23T03:26:42Z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eyJoZGlkIjoiOWUyMmE4ZTI4YTczZDk0MDc5MmYwODc2MDkyNDkzZTYiLCJ1c2VySWQiOiIxNDk5MTc3ODQ1In0=</vt:lpwstr>
  </property>
  <property fmtid="{D5CDD505-2E9C-101B-9397-08002B2CF9AE}" pid="3" name="KSOProductBuildVer">
    <vt:lpwstr>2052-12.1.0.26895</vt:lpwstr>
  </property>
  <property fmtid="{D5CDD505-2E9C-101B-9397-08002B2CF9AE}" pid="4" name="ICV">
    <vt:lpwstr>FEB951BD68984AF7ACE1F63BA6C7B7C3_12</vt:lpwstr>
  </property>
</Properties>
</file>