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EB73A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jc w:val="center"/>
        <w:textAlignment w:val="auto"/>
        <w:rPr>
          <w:rFonts w:hint="eastAsia" w:ascii="黑体" w:hAnsi="黑体" w:eastAsia="黑体" w:cs="黑体"/>
          <w:b/>
          <w:bCs/>
          <w:sz w:val="44"/>
          <w:szCs w:val="44"/>
          <w:rtl w:val="0"/>
          <w:lang w:val="en-US" w:eastAsia="zh-CN"/>
        </w:rPr>
      </w:pPr>
      <w:r>
        <w:rPr>
          <w:rFonts w:ascii="黑体" w:hAnsi="黑体" w:eastAsia="黑体" w:cs="黑体"/>
          <w:b/>
          <w:bCs/>
          <w:sz w:val="44"/>
          <w:szCs w:val="44"/>
          <w:rtl w:val="0"/>
          <w:lang w:val="en-US"/>
        </w:rPr>
        <w:t>热膨胀系数测试</w:t>
      </w:r>
      <w:r>
        <w:rPr>
          <w:rFonts w:hint="eastAsia" w:ascii="黑体" w:hAnsi="黑体" w:eastAsia="黑体" w:cs="黑体"/>
          <w:b/>
          <w:bCs/>
          <w:sz w:val="44"/>
          <w:szCs w:val="44"/>
          <w:rtl w:val="0"/>
          <w:lang w:val="en-US" w:eastAsia="zh-CN"/>
        </w:rPr>
        <w:t>作业指导书</w:t>
      </w:r>
    </w:p>
    <w:p w14:paraId="5EDB2FD6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文件审批信息</w:t>
      </w:r>
    </w:p>
    <w:tbl>
      <w:tblPr>
        <w:tblStyle w:val="4"/>
        <w:tblW w:w="974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6"/>
        <w:gridCol w:w="2746"/>
        <w:gridCol w:w="2436"/>
        <w:gridCol w:w="2436"/>
      </w:tblGrid>
      <w:tr w14:paraId="1EA160DA">
        <w:trPr>
          <w:trHeight w:val="19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0360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  <w:t>职责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F181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岗位/部门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0A7A5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签名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11AE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日期</w:t>
            </w:r>
          </w:p>
        </w:tc>
      </w:tr>
      <w:tr w14:paraId="2DC60F81">
        <w:trPr>
          <w:trHeight w:val="21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2449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编制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3ACA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检测人员/方法负责人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F129B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57EE0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014330A1">
        <w:trPr>
          <w:trHeight w:val="21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9775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审核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47517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技术负责人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6F0F4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B26E3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7688999F">
        <w:trPr>
          <w:trHeight w:val="21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1D886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批准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AEA9C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质量负责人/授权签字人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E3F42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29B42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</w:tr>
    </w:tbl>
    <w:p w14:paraId="4C76E683">
      <w:pPr>
        <w:pStyle w:val="8"/>
        <w:keepNext w:val="0"/>
        <w:keepLines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after="0" w:line="240" w:lineRule="auto"/>
        <w:jc w:val="center"/>
        <w:textAlignment w:val="auto"/>
        <w:rPr>
          <w:b w:val="0"/>
          <w:bCs w:val="0"/>
        </w:rPr>
      </w:pPr>
    </w:p>
    <w:p w14:paraId="1F9796D9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after="0"/>
        <w:textAlignment w:val="auto"/>
        <w:rPr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文件修订记录</w:t>
      </w:r>
    </w:p>
    <w:tbl>
      <w:tblPr>
        <w:tblStyle w:val="4"/>
        <w:tblW w:w="10425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5"/>
        <w:gridCol w:w="2085"/>
        <w:gridCol w:w="2085"/>
        <w:gridCol w:w="2085"/>
        <w:gridCol w:w="2085"/>
      </w:tblGrid>
      <w:tr w14:paraId="66D9EDBD">
        <w:trPr>
          <w:trHeight w:val="200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772B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shd w:val="clear" w:color="auto" w:fill="auto"/>
                <w:rtl w:val="0"/>
                <w:lang w:val="en-US"/>
              </w:rPr>
              <w:t>版本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FE97C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修订内容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5B5D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修订原因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9253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生效日期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C8205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修订人</w:t>
            </w:r>
          </w:p>
        </w:tc>
      </w:tr>
      <w:tr w14:paraId="3DADA84E">
        <w:trPr>
          <w:trHeight w:val="1494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866D9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V1.0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65D1A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首次建立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93FF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rtl w:val="0"/>
                <w:lang w:val="en-US" w:eastAsia="zh-CN"/>
              </w:rPr>
            </w:pPr>
            <w:r>
              <w:rPr>
                <w:sz w:val="19"/>
                <w:szCs w:val="19"/>
                <w:shd w:val="clear" w:color="auto" w:fill="auto"/>
                <w:rtl w:val="0"/>
                <w:lang w:val="en-US"/>
              </w:rPr>
              <w:t>建立热膨胀系数测试</w:t>
            </w:r>
            <w:r>
              <w:rPr>
                <w:rFonts w:hint="eastAsia"/>
                <w:sz w:val="19"/>
                <w:szCs w:val="19"/>
                <w:shd w:val="clear" w:color="auto" w:fill="auto"/>
                <w:rtl w:val="0"/>
                <w:lang w:val="en-US" w:eastAsia="zh-CN"/>
              </w:rPr>
              <w:t>作业指导书</w:t>
            </w:r>
            <w:r>
              <w:rPr>
                <w:sz w:val="19"/>
                <w:szCs w:val="19"/>
                <w:shd w:val="clear" w:color="auto" w:fill="auto"/>
                <w:rtl w:val="0"/>
                <w:lang w:val="en-US"/>
              </w:rPr>
              <w:t>，覆盖试验准备、软件设置、试样安装、</w:t>
            </w:r>
            <w:r>
              <w:rPr>
                <w:rFonts w:ascii="宋体" w:hAnsi="宋体"/>
                <w:sz w:val="19"/>
                <w:szCs w:val="19"/>
                <w:shd w:val="clear" w:color="auto" w:fill="auto"/>
                <w:rtl w:val="0"/>
                <w:lang w:val="en-US"/>
              </w:rPr>
              <w:t>PV</w:t>
            </w:r>
            <w:r>
              <w:rPr>
                <w:sz w:val="19"/>
                <w:szCs w:val="19"/>
                <w:shd w:val="clear" w:color="auto" w:fill="auto"/>
                <w:rtl w:val="0"/>
                <w:lang w:val="en-US"/>
              </w:rPr>
              <w:t>值调整、</w:t>
            </w:r>
            <w:r>
              <w:rPr>
                <w:rFonts w:ascii="宋体" w:hAnsi="宋体"/>
                <w:sz w:val="19"/>
                <w:szCs w:val="19"/>
                <w:shd w:val="clear" w:color="auto" w:fill="auto"/>
                <w:rtl w:val="0"/>
                <w:lang w:val="en-US"/>
              </w:rPr>
              <w:t>550</w:t>
            </w:r>
            <w:r>
              <w:rPr>
                <w:rFonts w:hint="default" w:ascii="宋体" w:hAnsi="宋体"/>
                <w:sz w:val="19"/>
                <w:szCs w:val="19"/>
                <w:shd w:val="clear" w:color="auto" w:fill="auto"/>
                <w:rtl w:val="0"/>
                <w:lang w:val="en-US"/>
              </w:rPr>
              <w:t>℃</w:t>
            </w:r>
            <w:r>
              <w:rPr>
                <w:sz w:val="19"/>
                <w:szCs w:val="19"/>
                <w:shd w:val="clear" w:color="auto" w:fill="auto"/>
                <w:rtl w:val="0"/>
                <w:lang w:val="en-US"/>
              </w:rPr>
              <w:t>终止温度、数据输出、记录归档和质量控制要求。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F7575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302D5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692E2E45">
        <w:trPr>
          <w:trHeight w:val="715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4ABFC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0CD22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5167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157EB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CA6CC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0CBD7FC5">
        <w:trPr>
          <w:trHeight w:val="564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1AC23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9BF9D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EACC1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8D3E7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62731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2BF74E72">
        <w:trPr>
          <w:trHeight w:val="564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8D8F4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  <w:p w14:paraId="545D0F9B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3E6B0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11D23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88113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2C4A6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</w:tbl>
    <w:p w14:paraId="743A14FE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</w:pPr>
    </w:p>
    <w:p w14:paraId="441F7985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</w:pPr>
    </w:p>
    <w:p w14:paraId="1FC5155C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</w:pPr>
    </w:p>
    <w:p w14:paraId="1ED11671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</w:pPr>
    </w:p>
    <w:p w14:paraId="4C7CE1F3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</w:pPr>
    </w:p>
    <w:p w14:paraId="5BFA970F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</w:pPr>
    </w:p>
    <w:p w14:paraId="519CA198">
      <w:pPr>
        <w:pStyle w:val="9"/>
        <w:keepNext w:val="0"/>
        <w:keepLines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  <w:rtl w:val="0"/>
          <w:lang w:val="ru-RU"/>
        </w:rPr>
      </w:pPr>
    </w:p>
    <w:p w14:paraId="5B1B3699">
      <w:pPr>
        <w:pStyle w:val="9"/>
        <w:keepNext w:val="0"/>
        <w:keepLines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  <w:rtl w:val="0"/>
          <w:lang w:val="ru-RU"/>
        </w:rPr>
      </w:pPr>
    </w:p>
    <w:p w14:paraId="622D5B03">
      <w:pPr>
        <w:pStyle w:val="9"/>
        <w:keepNext w:val="0"/>
        <w:keepLines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  <w:rtl w:val="0"/>
          <w:lang w:val="ru-RU"/>
        </w:rPr>
      </w:pPr>
    </w:p>
    <w:p w14:paraId="58A192E5">
      <w:pPr>
        <w:pStyle w:val="9"/>
        <w:keepNext w:val="0"/>
        <w:keepLines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  <w:rtl w:val="0"/>
          <w:lang w:val="ru-RU"/>
        </w:rPr>
      </w:pPr>
    </w:p>
    <w:p w14:paraId="52F54DB8">
      <w:pPr>
        <w:pStyle w:val="9"/>
        <w:keepNext w:val="0"/>
        <w:keepLines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  <w:rtl w:val="0"/>
          <w:lang w:val="ru-RU"/>
        </w:rPr>
      </w:pPr>
    </w:p>
    <w:p w14:paraId="26DB1448">
      <w:pPr>
        <w:pStyle w:val="9"/>
        <w:keepNext w:val="0"/>
        <w:keepLines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  <w:rtl w:val="0"/>
          <w:lang w:val="ru-RU"/>
        </w:rPr>
      </w:pPr>
    </w:p>
    <w:p w14:paraId="06089CBA">
      <w:pPr>
        <w:pStyle w:val="9"/>
        <w:keepNext w:val="0"/>
        <w:keepLines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  <w:rtl w:val="0"/>
          <w:lang w:val="ru-RU"/>
        </w:rPr>
      </w:pPr>
    </w:p>
    <w:p w14:paraId="1C6C9266">
      <w:pPr>
        <w:pStyle w:val="9"/>
        <w:keepNext w:val="0"/>
        <w:keepLines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  <w:rtl w:val="0"/>
          <w:lang w:val="ru-RU"/>
        </w:rPr>
      </w:pPr>
    </w:p>
    <w:p w14:paraId="7802878C">
      <w:pPr>
        <w:pStyle w:val="9"/>
        <w:keepNext w:val="0"/>
        <w:keepLines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  <w:lang w:val="ru-RU"/>
        </w:rPr>
        <w:t xml:space="preserve">1 </w:t>
      </w:r>
      <w:r>
        <w:rPr>
          <w:color w:val="auto"/>
          <w:rtl w:val="0"/>
          <w:lang w:val="en-US"/>
        </w:rPr>
        <w:t>目的</w:t>
      </w:r>
    </w:p>
    <w:p w14:paraId="1E189A49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  <w:lang w:val="en-US"/>
        </w:rPr>
        <w:t>规范热膨胀系数测试实验操作流程，明确试验准备、设备开机、软件参数设置、试样安装、</w:t>
      </w:r>
      <w:r>
        <w:rPr>
          <w:rFonts w:ascii="宋体" w:hAnsi="宋体"/>
          <w:color w:val="auto"/>
          <w:rtl w:val="0"/>
          <w:lang w:val="nl-NL"/>
        </w:rPr>
        <w:t>PV</w:t>
      </w:r>
      <w:r>
        <w:rPr>
          <w:color w:val="auto"/>
          <w:rtl w:val="0"/>
          <w:lang w:val="en-US"/>
        </w:rPr>
        <w:t>值调整、升温运行、数据输出、报告打印、设备关闭、原始记录和异常处理要求，确保检测过程受控，数据真实、准确、完整、可追溯，满足</w:t>
      </w:r>
      <w:r>
        <w:rPr>
          <w:rFonts w:hint="eastAsia" w:ascii="宋体" w:hAnsi="宋体"/>
          <w:color w:val="auto"/>
          <w:rtl w:val="0"/>
          <w:lang w:val="en-US" w:eastAsia="zh-CN"/>
        </w:rPr>
        <w:t>实验室</w:t>
      </w:r>
      <w:r>
        <w:rPr>
          <w:color w:val="auto"/>
          <w:rtl w:val="0"/>
          <w:lang w:val="en-US"/>
        </w:rPr>
        <w:t>对人员、设备、环境、方法、记录和报告的管理要求。</w:t>
      </w:r>
    </w:p>
    <w:p w14:paraId="3BA6ADEB">
      <w:pPr>
        <w:pStyle w:val="9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</w:rPr>
        <w:t xml:space="preserve">2 </w:t>
      </w:r>
      <w:r>
        <w:rPr>
          <w:color w:val="auto"/>
          <w:rtl w:val="0"/>
          <w:lang w:val="en-US"/>
        </w:rPr>
        <w:t>适用范围</w:t>
      </w:r>
    </w:p>
    <w:p w14:paraId="2065A334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  <w:lang w:val="en-US"/>
        </w:rPr>
        <w:t>本</w:t>
      </w:r>
      <w:r>
        <w:rPr>
          <w:rFonts w:hint="eastAsia"/>
          <w:color w:val="auto"/>
          <w:rtl w:val="0"/>
          <w:lang w:val="en-US" w:eastAsia="zh-CN"/>
        </w:rPr>
        <w:t>文件</w:t>
      </w:r>
      <w:r>
        <w:rPr>
          <w:color w:val="auto"/>
          <w:rtl w:val="0"/>
          <w:lang w:val="en-US"/>
        </w:rPr>
        <w:t>适用于本实验室使用热膨胀测试仪、控制电脑及材料膨胀系数测试系统软件，对金属、陶瓷、树脂或其他适用材料试样在加热过程中的热膨胀行为进行检测，并由软件自动计算热膨胀测试数据及生成报告的检测活动。</w:t>
      </w:r>
    </w:p>
    <w:p w14:paraId="73868649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rFonts w:hint="eastAsia"/>
          <w:color w:val="auto"/>
          <w:rtl w:val="0"/>
          <w:lang w:val="en-US" w:eastAsia="zh-CN"/>
        </w:rPr>
        <w:t>实施检测活动时</w:t>
      </w:r>
      <w:r>
        <w:rPr>
          <w:color w:val="auto"/>
          <w:rtl w:val="0"/>
          <w:lang w:val="en-US"/>
        </w:rPr>
        <w:t>应确认检测项目、人员授权、设备状态、方法</w:t>
      </w:r>
      <w:r>
        <w:rPr>
          <w:rFonts w:hint="eastAsia"/>
          <w:color w:val="auto"/>
          <w:rtl w:val="0"/>
          <w:lang w:val="en-US" w:eastAsia="zh-CN"/>
        </w:rPr>
        <w:t>验证</w:t>
      </w:r>
      <w:r>
        <w:rPr>
          <w:color w:val="auto"/>
          <w:rtl w:val="0"/>
          <w:lang w:val="en-US"/>
        </w:rPr>
        <w:t>和报告签发均符合实验室质量体系</w:t>
      </w:r>
      <w:r>
        <w:rPr>
          <w:rFonts w:hint="eastAsia"/>
          <w:color w:val="auto"/>
          <w:rtl w:val="0"/>
          <w:lang w:val="en-US" w:eastAsia="zh-CN"/>
        </w:rPr>
        <w:t>等</w:t>
      </w:r>
      <w:r>
        <w:rPr>
          <w:color w:val="auto"/>
          <w:rtl w:val="0"/>
          <w:lang w:val="en-US"/>
        </w:rPr>
        <w:t>要求。</w:t>
      </w:r>
    </w:p>
    <w:p w14:paraId="26C20F0F">
      <w:pPr>
        <w:pStyle w:val="9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rFonts w:hint="default" w:eastAsia="宋体"/>
          <w:lang w:val="en-US" w:eastAsia="zh-CN"/>
        </w:rPr>
      </w:pPr>
      <w:r>
        <w:rPr>
          <w:color w:val="auto"/>
          <w:rtl w:val="0"/>
        </w:rPr>
        <w:t xml:space="preserve">3 </w:t>
      </w:r>
      <w:r>
        <w:rPr>
          <w:color w:val="auto"/>
          <w:rtl w:val="0"/>
          <w:lang w:val="en-US"/>
        </w:rPr>
        <w:t>依据文件</w:t>
      </w:r>
    </w:p>
    <w:p w14:paraId="0F0B7F96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  <w:rtl w:val="0"/>
          <w:lang w:val="en-US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热膨胀测试仪设备使用说明书；</w:t>
      </w:r>
    </w:p>
    <w:p w14:paraId="6DE0B3FC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rFonts w:hint="eastAsia" w:ascii="宋体" w:hAnsi="宋体" w:cs="宋体"/>
          <w:color w:val="auto"/>
          <w:rtl w:val="0"/>
          <w:lang w:val="en-US" w:eastAsia="zh-CN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rFonts w:hint="eastAsia" w:ascii="宋体" w:hAnsi="宋体" w:eastAsia="宋体" w:cs="宋体"/>
          <w:color w:val="auto"/>
          <w:rtl w:val="0"/>
        </w:rPr>
        <w:t>YY</w:t>
      </w:r>
      <w:r>
        <w:rPr>
          <w:rFonts w:hint="eastAsia" w:ascii="宋体" w:hAnsi="宋体" w:eastAsia="宋体" w:cs="宋体"/>
          <w:color w:val="auto"/>
          <w:highlight w:val="none"/>
          <w:rtl w:val="0"/>
        </w:rPr>
        <w:t>/T 1702-2020</w:t>
      </w:r>
      <w:r>
        <w:rPr>
          <w:rFonts w:hint="eastAsia" w:ascii="宋体" w:hAnsi="宋体" w:eastAsia="宋体" w:cs="宋体"/>
          <w:color w:val="auto"/>
          <w:highlight w:val="none"/>
          <w:rtl w:val="0"/>
          <w:lang w:val="en-US"/>
        </w:rPr>
        <w:t>《牙科学 增材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制造 口腔固定和活动修复用激光选区熔化金属材料》</w:t>
      </w:r>
      <w:r>
        <w:rPr>
          <w:rFonts w:hint="eastAsia" w:ascii="宋体" w:hAnsi="宋体" w:cs="宋体"/>
          <w:color w:val="auto"/>
          <w:rtl w:val="0"/>
          <w:lang w:val="en-US" w:eastAsia="zh-CN"/>
        </w:rPr>
        <w:t>、ISO22674：2022《牙科学 固定和活动修复体和矫治器用金属材料》、 GB 30367-2013 《牙科学 陶瓷材料 》、GB 17168-2013《牙科学 固定和活动修复用金属材料</w:t>
      </w:r>
      <w:r>
        <w:rPr>
          <w:rFonts w:hint="eastAsia"/>
          <w:color w:val="auto"/>
          <w:rtl w:val="0"/>
          <w:lang w:val="en-US" w:eastAsia="zh-CN"/>
        </w:rPr>
        <w:t>》</w:t>
      </w:r>
      <w:r>
        <w:rPr>
          <w:rFonts w:hint="eastAsia" w:ascii="宋体" w:hAnsi="宋体" w:cs="宋体"/>
          <w:color w:val="auto"/>
          <w:rtl w:val="0"/>
          <w:lang w:val="en-US" w:eastAsia="zh-CN"/>
        </w:rPr>
        <w:t xml:space="preserve"> ；</w:t>
      </w:r>
      <w:bookmarkStart w:id="0" w:name="_GoBack"/>
      <w:bookmarkEnd w:id="0"/>
    </w:p>
    <w:p w14:paraId="2F371E82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材料膨胀系数测试系统软件操作说明；</w:t>
      </w:r>
    </w:p>
    <w:p w14:paraId="32DCA5AA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实验室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质量手册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》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设备管理程序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记录控制程序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/>
        </w:rPr>
        <w:t>报告控制程序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》</w:t>
      </w:r>
      <w:r>
        <w:rPr>
          <w:color w:val="auto"/>
          <w:rtl w:val="0"/>
          <w:lang w:val="en-US"/>
        </w:rPr>
        <w:t>；</w:t>
      </w:r>
    </w:p>
    <w:p w14:paraId="145B5B68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委托协议、产品技术要求或实验室经确认的检测方案。</w:t>
      </w:r>
    </w:p>
    <w:p w14:paraId="58E3D726">
      <w:pPr>
        <w:pStyle w:val="9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</w:rPr>
        <w:t xml:space="preserve">4 </w:t>
      </w:r>
      <w:r>
        <w:rPr>
          <w:color w:val="auto"/>
          <w:rtl w:val="0"/>
          <w:lang w:val="en-US"/>
        </w:rPr>
        <w:t>术语和定义</w:t>
      </w:r>
    </w:p>
    <w:tbl>
      <w:tblPr>
        <w:tblStyle w:val="4"/>
        <w:tblW w:w="986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0"/>
        <w:gridCol w:w="7996"/>
      </w:tblGrid>
      <w:tr w14:paraId="00FAA262">
        <w:trPr>
          <w:trHeight w:val="215" w:hRule="atLeast"/>
          <w:jc w:val="center"/>
        </w:trPr>
        <w:tc>
          <w:tcPr>
            <w:tcW w:w="1870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102C8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术语</w:t>
            </w:r>
          </w:p>
        </w:tc>
        <w:tc>
          <w:tcPr>
            <w:tcW w:w="7996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08A63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定义</w:t>
            </w:r>
            <w:r>
              <w:rPr>
                <w:rFonts w:ascii="SimSong Bold" w:hAnsi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说明</w:t>
            </w:r>
          </w:p>
        </w:tc>
      </w:tr>
      <w:tr w14:paraId="6FE0C8EE">
        <w:trPr>
          <w:trHeight w:val="445" w:hRule="atLeast"/>
          <w:jc w:val="center"/>
        </w:trPr>
        <w:tc>
          <w:tcPr>
            <w:tcW w:w="1870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5DF36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热膨胀系数</w:t>
            </w:r>
          </w:p>
        </w:tc>
        <w:tc>
          <w:tcPr>
            <w:tcW w:w="7996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7D1DC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材料随温度升高发生尺寸变化时，单位温度变化引起的相对长度变化，用于评价材料热稳定性及配伍性。</w:t>
            </w:r>
          </w:p>
        </w:tc>
      </w:tr>
      <w:tr w14:paraId="26D5E862">
        <w:trPr>
          <w:trHeight w:val="445" w:hRule="atLeast"/>
          <w:jc w:val="center"/>
        </w:trPr>
        <w:tc>
          <w:tcPr>
            <w:tcW w:w="1870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DE20C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color w:val="auto"/>
              </w:rPr>
            </w:pPr>
            <w:r>
              <w:rPr>
                <w:rFonts w:ascii="SimSong Bold" w:hAnsi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PV</w:t>
            </w:r>
            <w:r>
              <w:rPr>
                <w:rFonts w:hint="eastAsia" w:eastAsia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值</w:t>
            </w:r>
          </w:p>
        </w:tc>
        <w:tc>
          <w:tcPr>
            <w:tcW w:w="7996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C6FB5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设备位移机构</w:t>
            </w:r>
            <w:r>
              <w:rPr>
                <w:rFonts w:ascii="宋体" w:hAnsi="宋体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/</w:t>
            </w:r>
            <w:r>
              <w:rPr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检测系统显示的过程值，本规程要求试验启动前调整至</w:t>
            </w:r>
            <w:r>
              <w:rPr>
                <w:rFonts w:ascii="宋体" w:hAnsi="宋体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50</w:t>
            </w:r>
            <w:r>
              <w:rPr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～</w:t>
            </w:r>
            <w:r>
              <w:rPr>
                <w:rFonts w:ascii="宋体" w:hAnsi="宋体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60</w:t>
            </w:r>
            <w:r>
              <w:rPr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之间。</w:t>
            </w:r>
          </w:p>
        </w:tc>
      </w:tr>
      <w:tr w14:paraId="189FBC8E">
        <w:trPr>
          <w:trHeight w:val="215" w:hRule="atLeast"/>
          <w:jc w:val="center"/>
        </w:trPr>
        <w:tc>
          <w:tcPr>
            <w:tcW w:w="1870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8155F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终止温度</w:t>
            </w:r>
          </w:p>
        </w:tc>
        <w:tc>
          <w:tcPr>
            <w:tcW w:w="7996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49ADF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本规程试验控制终点温度，设定为</w:t>
            </w:r>
            <w:r>
              <w:rPr>
                <w:rFonts w:ascii="宋体" w:hAnsi="宋体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550</w:t>
            </w:r>
            <w:r>
              <w:rPr>
                <w:rFonts w:hint="default" w:ascii="宋体" w:hAnsi="宋体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℃</w:t>
            </w:r>
            <w:r>
              <w:rPr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。</w:t>
            </w:r>
          </w:p>
        </w:tc>
      </w:tr>
    </w:tbl>
    <w:p w14:paraId="4745AA91">
      <w:pPr>
        <w:pStyle w:val="9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</w:rPr>
        <w:t xml:space="preserve">5 </w:t>
      </w:r>
      <w:r>
        <w:rPr>
          <w:color w:val="auto"/>
          <w:rtl w:val="0"/>
          <w:lang w:val="en-US"/>
        </w:rPr>
        <w:t>职责</w:t>
      </w:r>
    </w:p>
    <w:tbl>
      <w:tblPr>
        <w:tblStyle w:val="4"/>
        <w:tblW w:w="986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4"/>
        <w:gridCol w:w="7512"/>
      </w:tblGrid>
      <w:tr w14:paraId="0C192339">
        <w:trPr>
          <w:trHeight w:val="215" w:hRule="atLeast"/>
          <w:jc w:val="center"/>
        </w:trPr>
        <w:tc>
          <w:tcPr>
            <w:tcW w:w="2354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B143F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岗位</w:t>
            </w:r>
            <w:r>
              <w:rPr>
                <w:rFonts w:ascii="SimSong Bold" w:hAnsi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角色</w:t>
            </w:r>
          </w:p>
        </w:tc>
        <w:tc>
          <w:tcPr>
            <w:tcW w:w="7512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CD90A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职责</w:t>
            </w:r>
          </w:p>
        </w:tc>
      </w:tr>
      <w:tr w14:paraId="54B70802">
        <w:trPr>
          <w:trHeight w:val="675" w:hRule="atLeast"/>
          <w:jc w:val="center"/>
        </w:trPr>
        <w:tc>
          <w:tcPr>
            <w:tcW w:w="2354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4AD31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检测人员</w:t>
            </w:r>
          </w:p>
        </w:tc>
        <w:tc>
          <w:tcPr>
            <w:tcW w:w="7512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5BE1A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负责样品接收核对、设备开机、软件设置、试样安装、</w:t>
            </w:r>
            <w:r>
              <w:rPr>
                <w:rFonts w:ascii="宋体" w:hAnsi="宋体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PV</w:t>
            </w:r>
            <w:r>
              <w:rPr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值调整、试验运行、报告打印、原始记录填写及数据归档。</w:t>
            </w:r>
          </w:p>
        </w:tc>
      </w:tr>
      <w:tr w14:paraId="76399ABF">
        <w:trPr>
          <w:trHeight w:val="445" w:hRule="atLeast"/>
          <w:jc w:val="center"/>
        </w:trPr>
        <w:tc>
          <w:tcPr>
            <w:tcW w:w="2354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B1CA0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sz w:val="20"/>
                <w:szCs w:val="20"/>
                <w:shd w:val="clear" w:color="auto" w:fill="auto"/>
                <w:rtl w:val="0"/>
                <w:lang w:val="en-US" w:eastAsia="zh-CN"/>
              </w:rPr>
              <w:t>核验人员</w:t>
            </w:r>
          </w:p>
        </w:tc>
        <w:tc>
          <w:tcPr>
            <w:tcW w:w="7512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F3C10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负责复核样品编号、试样长度、终止温度、</w:t>
            </w:r>
            <w:r>
              <w:rPr>
                <w:rFonts w:ascii="宋体" w:hAnsi="宋体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PV</w:t>
            </w:r>
            <w:r>
              <w:rPr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值、原始数据、软件报告、计算结果和记录完整性。</w:t>
            </w:r>
          </w:p>
        </w:tc>
      </w:tr>
      <w:tr w14:paraId="4B58A77D">
        <w:trPr>
          <w:trHeight w:val="445" w:hRule="atLeast"/>
          <w:jc w:val="center"/>
        </w:trPr>
        <w:tc>
          <w:tcPr>
            <w:tcW w:w="2354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A5F0F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设备管理员</w:t>
            </w:r>
          </w:p>
        </w:tc>
        <w:tc>
          <w:tcPr>
            <w:tcW w:w="7512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273BE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负责热膨胀测试仪、控制电脑、软件、内六角扳手及相关夹具的维护、核查、状态标识和故障处理。</w:t>
            </w:r>
          </w:p>
        </w:tc>
      </w:tr>
      <w:tr w14:paraId="36A729C0">
        <w:trPr>
          <w:trHeight w:val="445" w:hRule="atLeast"/>
          <w:jc w:val="center"/>
        </w:trPr>
        <w:tc>
          <w:tcPr>
            <w:tcW w:w="2354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39A3E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技术负责人</w:t>
            </w:r>
          </w:p>
        </w:tc>
        <w:tc>
          <w:tcPr>
            <w:tcW w:w="7512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85E9D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负责方法确认、人员授权、技术问题处理、偏离评估和异常结果技术评审。</w:t>
            </w:r>
          </w:p>
        </w:tc>
      </w:tr>
      <w:tr w14:paraId="2E2DAA6F">
        <w:trPr>
          <w:trHeight w:val="445" w:hRule="atLeast"/>
          <w:jc w:val="center"/>
        </w:trPr>
        <w:tc>
          <w:tcPr>
            <w:tcW w:w="2354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92A31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质量负责人</w:t>
            </w:r>
            <w:r>
              <w:rPr>
                <w:rFonts w:ascii="SimSong Bold" w:hAnsi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授权签字人</w:t>
            </w:r>
          </w:p>
        </w:tc>
        <w:tc>
          <w:tcPr>
            <w:tcW w:w="7512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0507E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负责监督记录和报告符合</w:t>
            </w:r>
            <w:r>
              <w:rPr>
                <w:rFonts w:ascii="宋体" w:hAnsi="宋体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CMA</w:t>
            </w:r>
            <w:r>
              <w:rPr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要求，审核并批准对外出具报告。</w:t>
            </w:r>
          </w:p>
        </w:tc>
      </w:tr>
    </w:tbl>
    <w:p w14:paraId="27527767">
      <w:pPr>
        <w:pStyle w:val="9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</w:rPr>
        <w:t xml:space="preserve">6 </w:t>
      </w:r>
      <w:r>
        <w:rPr>
          <w:color w:val="auto"/>
          <w:rtl w:val="0"/>
          <w:lang w:val="en-US"/>
        </w:rPr>
        <w:t>环境与安全要求</w:t>
      </w:r>
    </w:p>
    <w:p w14:paraId="38FB444A">
      <w:pPr>
        <w:pStyle w:val="10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</w:rPr>
        <w:t xml:space="preserve">6.1 </w:t>
      </w:r>
      <w:r>
        <w:rPr>
          <w:color w:val="auto"/>
          <w:rtl w:val="0"/>
          <w:lang w:val="en-US"/>
        </w:rPr>
        <w:t>环境要求</w:t>
      </w:r>
    </w:p>
    <w:p w14:paraId="282FBC11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实验室应保持清洁、干燥，无明显粉尘、振动及强气流影响。</w:t>
      </w:r>
    </w:p>
    <w:p w14:paraId="6B5E4090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每次试验应记录环境温度和相对湿度；如检测方案规定环境范围，应按规定执行。</w:t>
      </w:r>
    </w:p>
    <w:p w14:paraId="0EA3FEAF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设备周围不得堆放与试验无关的物品，控制电脑、软件和数据线连接应处于正常状态。</w:t>
      </w:r>
    </w:p>
    <w:p w14:paraId="1968663D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试样、夹具和导向棒应保持清洁，不得有油污、粉尘或影响安装的异物。</w:t>
      </w:r>
    </w:p>
    <w:p w14:paraId="3743145B">
      <w:pPr>
        <w:pStyle w:val="10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</w:rPr>
        <w:t xml:space="preserve">6.2 </w:t>
      </w:r>
      <w:r>
        <w:rPr>
          <w:color w:val="auto"/>
          <w:rtl w:val="0"/>
          <w:lang w:val="en-US"/>
        </w:rPr>
        <w:t>安全要求</w:t>
      </w:r>
    </w:p>
    <w:p w14:paraId="69DD17C5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加热过程中禁止触碰加热仓、加热棒、试样和夹具高温部位。</w:t>
      </w:r>
    </w:p>
    <w:p w14:paraId="76DAB287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试验运行期间不得随意打开加热仓或调整夹具。</w:t>
      </w:r>
    </w:p>
    <w:p w14:paraId="68EE3206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试样安装、取出和夹具调整应在设备安全状态下进行，必要时使用防烫手套和专用工具。</w:t>
      </w:r>
    </w:p>
    <w:p w14:paraId="2E51F82D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发生异响、异味、软件报警、温度失控、位移异常或设备故障时，应立即停止试验并报告。</w:t>
      </w:r>
    </w:p>
    <w:p w14:paraId="143CC98B">
      <w:pPr>
        <w:pStyle w:val="9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  <w:lang w:val="ru-RU"/>
        </w:rPr>
        <w:t xml:space="preserve">7 </w:t>
      </w:r>
      <w:r>
        <w:rPr>
          <w:color w:val="auto"/>
          <w:rtl w:val="0"/>
          <w:lang w:val="en-US"/>
        </w:rPr>
        <w:t>仪器设备、软件与工具</w:t>
      </w:r>
    </w:p>
    <w:tbl>
      <w:tblPr>
        <w:tblStyle w:val="4"/>
        <w:tblW w:w="986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9"/>
        <w:gridCol w:w="3923"/>
        <w:gridCol w:w="3678"/>
      </w:tblGrid>
      <w:tr w14:paraId="4F23FFF1">
        <w:trPr>
          <w:trHeight w:val="215" w:hRule="atLeast"/>
          <w:jc w:val="center"/>
        </w:trPr>
        <w:tc>
          <w:tcPr>
            <w:tcW w:w="225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D774E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名称</w:t>
            </w:r>
          </w:p>
        </w:tc>
        <w:tc>
          <w:tcPr>
            <w:tcW w:w="3923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00702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用途</w:t>
            </w:r>
          </w:p>
        </w:tc>
        <w:tc>
          <w:tcPr>
            <w:tcW w:w="3678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C3560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管理要求</w:t>
            </w:r>
          </w:p>
        </w:tc>
      </w:tr>
      <w:tr w14:paraId="074DDEC7">
        <w:trPr>
          <w:trHeight w:val="402" w:hRule="atLeast"/>
          <w:jc w:val="center"/>
        </w:trPr>
        <w:tc>
          <w:tcPr>
            <w:tcW w:w="225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A0F6D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热膨胀测试仪</w:t>
            </w:r>
          </w:p>
        </w:tc>
        <w:tc>
          <w:tcPr>
            <w:tcW w:w="3923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7A06E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试样加热、位移检测和热膨胀测试</w:t>
            </w:r>
          </w:p>
        </w:tc>
        <w:tc>
          <w:tcPr>
            <w:tcW w:w="3678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59C07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设备状态正常，按设备管理程序维护或核查。</w:t>
            </w:r>
          </w:p>
        </w:tc>
      </w:tr>
      <w:tr w14:paraId="21FF61AE">
        <w:trPr>
          <w:trHeight w:val="402" w:hRule="atLeast"/>
          <w:jc w:val="center"/>
        </w:trPr>
        <w:tc>
          <w:tcPr>
            <w:tcW w:w="225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C542E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控制电脑</w:t>
            </w:r>
          </w:p>
        </w:tc>
        <w:tc>
          <w:tcPr>
            <w:tcW w:w="3923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456C3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运行测试软件、保存数据</w:t>
            </w:r>
          </w:p>
        </w:tc>
        <w:tc>
          <w:tcPr>
            <w:tcW w:w="3678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BAB60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运行稳定，文件保存路径可追溯。</w:t>
            </w:r>
          </w:p>
        </w:tc>
      </w:tr>
      <w:tr w14:paraId="0BEF5930">
        <w:trPr>
          <w:trHeight w:val="402" w:hRule="atLeast"/>
          <w:jc w:val="center"/>
        </w:trPr>
        <w:tc>
          <w:tcPr>
            <w:tcW w:w="225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9A294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材料膨胀系数测试系统软件</w:t>
            </w:r>
          </w:p>
        </w:tc>
        <w:tc>
          <w:tcPr>
            <w:tcW w:w="3923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43C13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试样长度输入、试验控制、数据计算和报告输出</w:t>
            </w:r>
          </w:p>
        </w:tc>
        <w:tc>
          <w:tcPr>
            <w:tcW w:w="3678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ADC9E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软件版本受控，参数设置和报告输出功能正常。</w:t>
            </w:r>
          </w:p>
        </w:tc>
      </w:tr>
      <w:tr w14:paraId="29AAC03F">
        <w:trPr>
          <w:trHeight w:val="402" w:hRule="atLeast"/>
          <w:jc w:val="center"/>
        </w:trPr>
        <w:tc>
          <w:tcPr>
            <w:tcW w:w="225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1A408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内六角扳手</w:t>
            </w:r>
          </w:p>
        </w:tc>
        <w:tc>
          <w:tcPr>
            <w:tcW w:w="3923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7AEDA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调整固定机构、位移机构和加热棒位置</w:t>
            </w:r>
          </w:p>
        </w:tc>
        <w:tc>
          <w:tcPr>
            <w:tcW w:w="3678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19017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规格匹配，表面完好。</w:t>
            </w:r>
          </w:p>
        </w:tc>
      </w:tr>
      <w:tr w14:paraId="7B75A34B">
        <w:trPr>
          <w:trHeight w:val="402" w:hRule="atLeast"/>
          <w:jc w:val="center"/>
        </w:trPr>
        <w:tc>
          <w:tcPr>
            <w:tcW w:w="225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A69DE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试样夹具</w:t>
            </w:r>
            <w:r>
              <w:rPr>
                <w:rFonts w:ascii="宋体" w:hAnsi="宋体"/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/</w:t>
            </w: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导向棒</w:t>
            </w:r>
          </w:p>
        </w:tc>
        <w:tc>
          <w:tcPr>
            <w:tcW w:w="3923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E259B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试样安装和定位</w:t>
            </w:r>
          </w:p>
        </w:tc>
        <w:tc>
          <w:tcPr>
            <w:tcW w:w="3678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4066A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清洁、无损伤，能稳定夹持试样。</w:t>
            </w:r>
          </w:p>
        </w:tc>
      </w:tr>
    </w:tbl>
    <w:p w14:paraId="4617F292">
      <w:pPr>
        <w:pStyle w:val="9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</w:rPr>
        <w:t xml:space="preserve">8 </w:t>
      </w:r>
      <w:r>
        <w:rPr>
          <w:color w:val="auto"/>
          <w:rtl w:val="0"/>
          <w:lang w:val="en-US"/>
        </w:rPr>
        <w:t>样品与试样要求</w:t>
      </w:r>
    </w:p>
    <w:p w14:paraId="539D776C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试样应具有唯一编号，并与委托单、原始记录、软件报告和最终报告保持一致。</w:t>
      </w:r>
    </w:p>
    <w:p w14:paraId="71862BE0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试样尺寸应满足设备和检测方案要求，试样实际长度应在试验前测量并录入软件。</w:t>
      </w:r>
    </w:p>
    <w:p w14:paraId="69203665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试样表面应清洁、完整，无明显裂纹、缺口、污染、松散附着物或影响夹持和测量的缺陷。</w:t>
      </w:r>
    </w:p>
    <w:p w14:paraId="713B9700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试样材料名称应准确填写，例如钛合金、钴铬合金、陶瓷材料等；材料名称应与委托信息或样品标识一致。</w:t>
      </w:r>
    </w:p>
    <w:p w14:paraId="3A82F771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如试样存在异常，应在原始记录中说明，并由技术负责人确认是否可以继续检测。</w:t>
      </w:r>
    </w:p>
    <w:p w14:paraId="7A2CB766">
      <w:pPr>
        <w:pStyle w:val="9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</w:rPr>
        <w:t xml:space="preserve">9 </w:t>
      </w:r>
      <w:r>
        <w:rPr>
          <w:color w:val="auto"/>
          <w:rtl w:val="0"/>
          <w:lang w:val="en-US"/>
        </w:rPr>
        <w:t>操作程序</w:t>
      </w:r>
    </w:p>
    <w:p w14:paraId="4A4DFBC8">
      <w:pPr>
        <w:pStyle w:val="10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</w:rPr>
        <w:t xml:space="preserve">9.1 </w:t>
      </w:r>
      <w:r>
        <w:rPr>
          <w:color w:val="auto"/>
          <w:rtl w:val="0"/>
          <w:lang w:val="en-US"/>
        </w:rPr>
        <w:t>实验准备</w:t>
      </w:r>
    </w:p>
    <w:p w14:paraId="1B353ACA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1. </w:t>
      </w:r>
      <w:r>
        <w:rPr>
          <w:color w:val="auto"/>
          <w:rtl w:val="0"/>
          <w:lang w:val="en-US"/>
        </w:rPr>
        <w:t>打开热膨胀测试仪电源。</w:t>
      </w:r>
    </w:p>
    <w:p w14:paraId="00AB1827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2. </w:t>
      </w:r>
      <w:r>
        <w:rPr>
          <w:color w:val="auto"/>
          <w:rtl w:val="0"/>
          <w:lang w:val="en-US"/>
        </w:rPr>
        <w:t>打开控制电脑。</w:t>
      </w:r>
    </w:p>
    <w:p w14:paraId="40AD165C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3. </w:t>
      </w:r>
      <w:r>
        <w:rPr>
          <w:color w:val="auto"/>
          <w:rtl w:val="0"/>
          <w:lang w:val="en-US"/>
        </w:rPr>
        <w:t>检查设备连接、软件运行环境、加热仓位置、夹具、导向棒和内六角扳手是否齐全。</w:t>
      </w:r>
    </w:p>
    <w:p w14:paraId="3BF0E98B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4. </w:t>
      </w:r>
      <w:r>
        <w:rPr>
          <w:color w:val="auto"/>
          <w:rtl w:val="0"/>
          <w:lang w:val="en-US"/>
        </w:rPr>
        <w:t>检查设备周围无杂物，确认操作区域安全。</w:t>
      </w:r>
    </w:p>
    <w:p w14:paraId="4E59C353">
      <w:pPr>
        <w:pStyle w:val="10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</w:rPr>
        <w:t xml:space="preserve">9.2 </w:t>
      </w:r>
      <w:r>
        <w:rPr>
          <w:color w:val="auto"/>
          <w:rtl w:val="0"/>
          <w:lang w:val="en-US"/>
        </w:rPr>
        <w:t>软件启动</w:t>
      </w:r>
    </w:p>
    <w:p w14:paraId="5090A588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1. </w:t>
      </w:r>
      <w:r>
        <w:rPr>
          <w:color w:val="auto"/>
          <w:rtl w:val="0"/>
          <w:lang w:val="en-US"/>
        </w:rPr>
        <w:t>打开</w:t>
      </w:r>
      <w:r>
        <w:rPr>
          <w:rFonts w:hint="default" w:ascii="宋体" w:hAnsi="宋体"/>
          <w:color w:val="auto"/>
          <w:rtl/>
          <w:lang w:val="ar-SA" w:bidi="ar-SA"/>
        </w:rPr>
        <w:t>“</w:t>
      </w:r>
      <w:r>
        <w:rPr>
          <w:color w:val="auto"/>
          <w:rtl w:val="0"/>
          <w:lang w:val="en-US"/>
        </w:rPr>
        <w:t>材料膨胀系数测试系统</w:t>
      </w:r>
      <w:r>
        <w:rPr>
          <w:rFonts w:hint="default" w:ascii="宋体" w:hAnsi="宋体"/>
          <w:color w:val="auto"/>
          <w:rtl w:val="0"/>
        </w:rPr>
        <w:t>”</w:t>
      </w:r>
      <w:r>
        <w:rPr>
          <w:color w:val="auto"/>
          <w:rtl w:val="0"/>
          <w:lang w:val="en-US"/>
        </w:rPr>
        <w:t>软件。</w:t>
      </w:r>
    </w:p>
    <w:p w14:paraId="74E104A3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2. </w:t>
      </w:r>
      <w:r>
        <w:rPr>
          <w:color w:val="auto"/>
          <w:rtl w:val="0"/>
          <w:lang w:val="en-US"/>
        </w:rPr>
        <w:t>确认软件界面、数据显示、试样控制和报告输出功能正常。</w:t>
      </w:r>
    </w:p>
    <w:p w14:paraId="469091DA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3. </w:t>
      </w:r>
      <w:r>
        <w:rPr>
          <w:color w:val="auto"/>
          <w:rtl w:val="0"/>
          <w:lang w:val="en-US"/>
        </w:rPr>
        <w:t>确认数据保存路径正确，并在原始记录中记录软件名称、版本和数据保存路径。</w:t>
      </w:r>
    </w:p>
    <w:p w14:paraId="089C256D">
      <w:pPr>
        <w:pStyle w:val="10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</w:rPr>
        <w:t xml:space="preserve">9.3 </w:t>
      </w:r>
      <w:r>
        <w:rPr>
          <w:color w:val="auto"/>
          <w:rtl w:val="0"/>
          <w:lang w:val="en-US"/>
        </w:rPr>
        <w:t>参数设置</w:t>
      </w:r>
    </w:p>
    <w:p w14:paraId="2FAB8279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1. </w:t>
      </w:r>
      <w:r>
        <w:rPr>
          <w:color w:val="auto"/>
          <w:rtl w:val="0"/>
          <w:lang w:val="en-US"/>
        </w:rPr>
        <w:t>在</w:t>
      </w:r>
      <w:r>
        <w:rPr>
          <w:rFonts w:hint="default" w:ascii="宋体" w:hAnsi="宋体"/>
          <w:color w:val="auto"/>
          <w:rtl/>
          <w:lang w:val="ar-SA" w:bidi="ar-SA"/>
        </w:rPr>
        <w:t>“</w:t>
      </w:r>
      <w:r>
        <w:rPr>
          <w:color w:val="auto"/>
          <w:rtl w:val="0"/>
          <w:lang w:val="en-US"/>
        </w:rPr>
        <w:t>数据显示</w:t>
      </w:r>
      <w:r>
        <w:rPr>
          <w:rFonts w:hint="default" w:ascii="宋体" w:hAnsi="宋体"/>
          <w:color w:val="auto"/>
          <w:rtl w:val="0"/>
        </w:rPr>
        <w:t>”</w:t>
      </w:r>
      <w:r>
        <w:rPr>
          <w:color w:val="auto"/>
          <w:rtl w:val="0"/>
          <w:lang w:val="en-US"/>
        </w:rPr>
        <w:t>界面，测量试样实际长度，并将试样实际长度输入</w:t>
      </w:r>
      <w:r>
        <w:rPr>
          <w:rFonts w:hint="default" w:ascii="宋体" w:hAnsi="宋体"/>
          <w:color w:val="auto"/>
          <w:rtl/>
          <w:lang w:val="ar-SA" w:bidi="ar-SA"/>
        </w:rPr>
        <w:t>“</w:t>
      </w:r>
      <w:r>
        <w:rPr>
          <w:color w:val="auto"/>
          <w:rtl w:val="0"/>
          <w:lang w:val="en-US"/>
        </w:rPr>
        <w:t>试样长度</w:t>
      </w:r>
      <w:r>
        <w:rPr>
          <w:rFonts w:hint="default" w:ascii="宋体" w:hAnsi="宋体"/>
          <w:color w:val="auto"/>
          <w:rtl w:val="0"/>
        </w:rPr>
        <w:t>”</w:t>
      </w:r>
      <w:r>
        <w:rPr>
          <w:color w:val="auto"/>
          <w:rtl w:val="0"/>
          <w:lang w:val="en-US"/>
        </w:rPr>
        <w:t>栏。</w:t>
      </w:r>
    </w:p>
    <w:p w14:paraId="32E1F51E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2. </w:t>
      </w:r>
      <w:r>
        <w:rPr>
          <w:color w:val="auto"/>
          <w:rtl w:val="0"/>
          <w:lang w:val="en-US"/>
        </w:rPr>
        <w:t>在</w:t>
      </w:r>
      <w:r>
        <w:rPr>
          <w:rFonts w:hint="default" w:ascii="宋体" w:hAnsi="宋体"/>
          <w:color w:val="auto"/>
          <w:rtl/>
          <w:lang w:val="ar-SA" w:bidi="ar-SA"/>
        </w:rPr>
        <w:t>“</w:t>
      </w:r>
      <w:r>
        <w:rPr>
          <w:color w:val="auto"/>
          <w:rtl w:val="0"/>
          <w:lang w:val="en-US"/>
        </w:rPr>
        <w:t>试样控制</w:t>
      </w:r>
      <w:r>
        <w:rPr>
          <w:rFonts w:hint="default" w:ascii="宋体" w:hAnsi="宋体"/>
          <w:color w:val="auto"/>
          <w:rtl w:val="0"/>
        </w:rPr>
        <w:t>”</w:t>
      </w:r>
      <w:r>
        <w:rPr>
          <w:color w:val="auto"/>
          <w:rtl w:val="0"/>
          <w:lang w:val="en-US"/>
        </w:rPr>
        <w:t>界面输入试验终止温度：</w:t>
      </w:r>
      <w:r>
        <w:rPr>
          <w:rFonts w:ascii="宋体" w:hAnsi="宋体"/>
          <w:color w:val="auto"/>
          <w:rtl w:val="0"/>
        </w:rPr>
        <w:t>550</w:t>
      </w:r>
      <w:r>
        <w:rPr>
          <w:rFonts w:hint="default" w:ascii="宋体" w:hAnsi="宋体"/>
          <w:color w:val="auto"/>
          <w:rtl w:val="0"/>
        </w:rPr>
        <w:t>℃</w:t>
      </w:r>
      <w:r>
        <w:rPr>
          <w:color w:val="auto"/>
          <w:rtl w:val="0"/>
          <w:lang w:val="en-US"/>
        </w:rPr>
        <w:t>。</w:t>
      </w:r>
    </w:p>
    <w:p w14:paraId="0B614409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3. </w:t>
      </w:r>
      <w:r>
        <w:rPr>
          <w:color w:val="auto"/>
          <w:rtl w:val="0"/>
          <w:lang w:val="en-US"/>
        </w:rPr>
        <w:t>在</w:t>
      </w:r>
      <w:r>
        <w:rPr>
          <w:rFonts w:hint="default" w:ascii="宋体" w:hAnsi="宋体"/>
          <w:color w:val="auto"/>
          <w:rtl/>
          <w:lang w:val="ar-SA" w:bidi="ar-SA"/>
        </w:rPr>
        <w:t>“</w:t>
      </w:r>
      <w:r>
        <w:rPr>
          <w:color w:val="auto"/>
          <w:rtl w:val="0"/>
          <w:lang w:val="en-US"/>
        </w:rPr>
        <w:t>试样控制</w:t>
      </w:r>
      <w:r>
        <w:rPr>
          <w:rFonts w:hint="default" w:ascii="宋体" w:hAnsi="宋体"/>
          <w:color w:val="auto"/>
          <w:rtl w:val="0"/>
        </w:rPr>
        <w:t>”</w:t>
      </w:r>
      <w:r>
        <w:rPr>
          <w:color w:val="auto"/>
          <w:rtl w:val="0"/>
          <w:lang w:val="en-US"/>
        </w:rPr>
        <w:t>界面输入试样材料名称，如钛合金。</w:t>
      </w:r>
    </w:p>
    <w:p w14:paraId="5A92E53C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4. </w:t>
      </w:r>
      <w:r>
        <w:rPr>
          <w:color w:val="auto"/>
          <w:rtl w:val="0"/>
          <w:lang w:val="en-US"/>
        </w:rPr>
        <w:t>确认试样编号、材料名称、试样长度和终止温度无误后方可进入试样安装步骤。</w:t>
      </w:r>
    </w:p>
    <w:p w14:paraId="014E42A0">
      <w:pPr>
        <w:pStyle w:val="10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</w:rPr>
        <w:t xml:space="preserve">9.4 </w:t>
      </w:r>
      <w:r>
        <w:rPr>
          <w:color w:val="auto"/>
          <w:rtl w:val="0"/>
          <w:lang w:val="en-US"/>
        </w:rPr>
        <w:t>试样安装</w:t>
      </w:r>
    </w:p>
    <w:p w14:paraId="288D23C0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1. </w:t>
      </w:r>
      <w:r>
        <w:rPr>
          <w:color w:val="auto"/>
          <w:rtl w:val="0"/>
          <w:lang w:val="en-US"/>
        </w:rPr>
        <w:t>将待测样品安装到热膨胀测试仪中。</w:t>
      </w:r>
    </w:p>
    <w:p w14:paraId="636A967C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2. </w:t>
      </w:r>
      <w:r>
        <w:rPr>
          <w:color w:val="auto"/>
          <w:rtl w:val="0"/>
          <w:lang w:val="en-US"/>
        </w:rPr>
        <w:t>使用内六角扳手插入设备右侧孔位，按设备当前位置顺时针或逆时针旋转固定机构，使夹持机构处于适合安装状态。</w:t>
      </w:r>
    </w:p>
    <w:p w14:paraId="5621E5BC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3. </w:t>
      </w:r>
      <w:r>
        <w:rPr>
          <w:color w:val="auto"/>
          <w:rtl w:val="0"/>
          <w:lang w:val="en-US"/>
        </w:rPr>
        <w:t>将试样通过导向棒放入夹具中，确保试样安装牢固、方向正确，不得歪斜或松动。</w:t>
      </w:r>
    </w:p>
    <w:p w14:paraId="5B29C37D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4. </w:t>
      </w:r>
      <w:r>
        <w:rPr>
          <w:color w:val="auto"/>
          <w:rtl w:val="0"/>
          <w:lang w:val="en-US"/>
        </w:rPr>
        <w:t>不得用外力敲击试样或夹具；如试样安装困难，应停止操作并检查夹具和试样尺寸。</w:t>
      </w:r>
    </w:p>
    <w:p w14:paraId="27E905E6">
      <w:pPr>
        <w:pStyle w:val="10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</w:rPr>
        <w:t xml:space="preserve">9.5 </w:t>
      </w:r>
      <w:r>
        <w:rPr>
          <w:color w:val="auto"/>
          <w:rtl w:val="0"/>
          <w:lang w:val="en-US"/>
        </w:rPr>
        <w:t>加热仓调整</w:t>
      </w:r>
    </w:p>
    <w:p w14:paraId="6C013298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1. </w:t>
      </w:r>
      <w:r>
        <w:rPr>
          <w:color w:val="auto"/>
          <w:rtl w:val="0"/>
          <w:lang w:val="en-US"/>
        </w:rPr>
        <w:t>将加热仓推至最右侧位置。</w:t>
      </w:r>
    </w:p>
    <w:p w14:paraId="7BCF6755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2. </w:t>
      </w:r>
      <w:r>
        <w:rPr>
          <w:color w:val="auto"/>
          <w:rtl w:val="0"/>
          <w:lang w:val="en-US"/>
        </w:rPr>
        <w:t>固定加热仓下方旋钮，确认加热仓固定可靠。</w:t>
      </w:r>
    </w:p>
    <w:p w14:paraId="5DE5DF27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3. </w:t>
      </w:r>
      <w:r>
        <w:rPr>
          <w:color w:val="auto"/>
          <w:rtl w:val="0"/>
          <w:lang w:val="en-US"/>
        </w:rPr>
        <w:t>检查加热仓、加热棒、试样和夹具之间无异常干涉。</w:t>
      </w:r>
    </w:p>
    <w:p w14:paraId="78D3A9F6">
      <w:pPr>
        <w:pStyle w:val="10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</w:rPr>
        <w:t xml:space="preserve">9.6 </w:t>
      </w:r>
      <w:r>
        <w:rPr>
          <w:color w:val="auto"/>
          <w:rtl w:val="0"/>
          <w:lang w:val="en-US"/>
        </w:rPr>
        <w:t>位置校准与</w:t>
      </w:r>
      <w:r>
        <w:rPr>
          <w:color w:val="auto"/>
          <w:rtl w:val="0"/>
          <w:lang w:val="nl-NL"/>
        </w:rPr>
        <w:t>PV</w:t>
      </w:r>
      <w:r>
        <w:rPr>
          <w:color w:val="auto"/>
          <w:rtl w:val="0"/>
          <w:lang w:val="en-US"/>
        </w:rPr>
        <w:t>值调整</w:t>
      </w:r>
    </w:p>
    <w:p w14:paraId="612EDDCB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1. </w:t>
      </w:r>
      <w:r>
        <w:rPr>
          <w:color w:val="auto"/>
          <w:rtl w:val="0"/>
          <w:lang w:val="en-US"/>
        </w:rPr>
        <w:t>使用内六角扳手调整位移机构。</w:t>
      </w:r>
    </w:p>
    <w:p w14:paraId="4025440A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2. </w:t>
      </w:r>
      <w:r>
        <w:rPr>
          <w:color w:val="auto"/>
          <w:rtl w:val="0"/>
          <w:lang w:val="en-US"/>
        </w:rPr>
        <w:t>调整加热棒位置，观察左侧显示屏</w:t>
      </w:r>
      <w:r>
        <w:rPr>
          <w:rFonts w:ascii="宋体" w:hAnsi="宋体"/>
          <w:color w:val="auto"/>
          <w:rtl w:val="0"/>
          <w:lang w:val="nl-NL"/>
        </w:rPr>
        <w:t>PV</w:t>
      </w:r>
      <w:r>
        <w:rPr>
          <w:color w:val="auto"/>
          <w:rtl w:val="0"/>
          <w:lang w:val="en-US"/>
        </w:rPr>
        <w:t>值。</w:t>
      </w:r>
    </w:p>
    <w:p w14:paraId="2CB68B00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3. </w:t>
      </w:r>
      <w:r>
        <w:rPr>
          <w:color w:val="auto"/>
          <w:rtl w:val="0"/>
          <w:lang w:val="en-US"/>
        </w:rPr>
        <w:t>将</w:t>
      </w:r>
      <w:r>
        <w:rPr>
          <w:rFonts w:ascii="宋体" w:hAnsi="宋体"/>
          <w:color w:val="auto"/>
          <w:rtl w:val="0"/>
          <w:lang w:val="nl-NL"/>
        </w:rPr>
        <w:t>PV</w:t>
      </w:r>
      <w:r>
        <w:rPr>
          <w:color w:val="auto"/>
          <w:rtl w:val="0"/>
          <w:lang w:val="en-US"/>
        </w:rPr>
        <w:t>值调整至</w:t>
      </w:r>
      <w:r>
        <w:rPr>
          <w:rFonts w:ascii="宋体" w:hAnsi="宋体"/>
          <w:color w:val="auto"/>
          <w:rtl w:val="0"/>
        </w:rPr>
        <w:t>50</w:t>
      </w:r>
      <w:r>
        <w:rPr>
          <w:color w:val="auto"/>
          <w:rtl w:val="0"/>
          <w:lang w:val="en-US"/>
        </w:rPr>
        <w:t>～</w:t>
      </w:r>
      <w:r>
        <w:rPr>
          <w:rFonts w:ascii="宋体" w:hAnsi="宋体"/>
          <w:color w:val="auto"/>
          <w:rtl w:val="0"/>
        </w:rPr>
        <w:t>60</w:t>
      </w:r>
      <w:r>
        <w:rPr>
          <w:color w:val="auto"/>
          <w:rtl w:val="0"/>
          <w:lang w:val="en-US"/>
        </w:rPr>
        <w:t>之间，并等待数值稳定。</w:t>
      </w:r>
    </w:p>
    <w:p w14:paraId="1EFABCE7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>4. PV</w:t>
      </w:r>
      <w:r>
        <w:rPr>
          <w:color w:val="auto"/>
          <w:rtl w:val="0"/>
          <w:lang w:val="en-US"/>
        </w:rPr>
        <w:t>值未稳定在</w:t>
      </w:r>
      <w:r>
        <w:rPr>
          <w:rFonts w:ascii="宋体" w:hAnsi="宋体"/>
          <w:color w:val="auto"/>
          <w:rtl w:val="0"/>
        </w:rPr>
        <w:t>50</w:t>
      </w:r>
      <w:r>
        <w:rPr>
          <w:color w:val="auto"/>
          <w:rtl w:val="0"/>
          <w:lang w:val="en-US"/>
        </w:rPr>
        <w:t>～</w:t>
      </w:r>
      <w:r>
        <w:rPr>
          <w:rFonts w:ascii="宋体" w:hAnsi="宋体"/>
          <w:color w:val="auto"/>
          <w:rtl w:val="0"/>
        </w:rPr>
        <w:t>60</w:t>
      </w:r>
      <w:r>
        <w:rPr>
          <w:color w:val="auto"/>
          <w:rtl w:val="0"/>
          <w:lang w:val="en-US"/>
        </w:rPr>
        <w:t>之间时，不得启动试验。</w:t>
      </w:r>
    </w:p>
    <w:p w14:paraId="5AC5042D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5. </w:t>
      </w:r>
      <w:r>
        <w:rPr>
          <w:color w:val="auto"/>
          <w:rtl w:val="0"/>
          <w:lang w:val="en-US"/>
        </w:rPr>
        <w:t>将</w:t>
      </w:r>
      <w:r>
        <w:rPr>
          <w:rFonts w:ascii="宋体" w:hAnsi="宋体"/>
          <w:color w:val="auto"/>
          <w:rtl w:val="0"/>
          <w:lang w:val="nl-NL"/>
        </w:rPr>
        <w:t>PV</w:t>
      </w:r>
      <w:r>
        <w:rPr>
          <w:color w:val="auto"/>
          <w:rtl w:val="0"/>
          <w:lang w:val="en-US"/>
        </w:rPr>
        <w:t>值、调整人员和调整结果记录在原始记录中。</w:t>
      </w:r>
    </w:p>
    <w:p w14:paraId="675F6D2E">
      <w:pPr>
        <w:pStyle w:val="10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</w:rPr>
        <w:t xml:space="preserve">9.7 </w:t>
      </w:r>
      <w:r>
        <w:rPr>
          <w:color w:val="auto"/>
          <w:rtl w:val="0"/>
          <w:lang w:val="en-US"/>
        </w:rPr>
        <w:t>启动实验</w:t>
      </w:r>
    </w:p>
    <w:p w14:paraId="1B28E2C7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1. </w:t>
      </w:r>
      <w:r>
        <w:rPr>
          <w:color w:val="auto"/>
          <w:rtl w:val="0"/>
          <w:lang w:val="en-US"/>
        </w:rPr>
        <w:t>确认试样安装牢固、试样长度输入正确、终止温度为</w:t>
      </w:r>
      <w:r>
        <w:rPr>
          <w:rFonts w:ascii="宋体" w:hAnsi="宋体"/>
          <w:color w:val="auto"/>
          <w:rtl w:val="0"/>
        </w:rPr>
        <w:t>550</w:t>
      </w:r>
      <w:r>
        <w:rPr>
          <w:rFonts w:hint="default" w:ascii="宋体" w:hAnsi="宋体"/>
          <w:color w:val="auto"/>
          <w:rtl w:val="0"/>
        </w:rPr>
        <w:t>℃</w:t>
      </w:r>
      <w:r>
        <w:rPr>
          <w:color w:val="auto"/>
          <w:rtl w:val="0"/>
          <w:lang w:val="en-US"/>
        </w:rPr>
        <w:t>、</w:t>
      </w:r>
      <w:r>
        <w:rPr>
          <w:rFonts w:ascii="宋体" w:hAnsi="宋体"/>
          <w:color w:val="auto"/>
          <w:rtl w:val="0"/>
          <w:lang w:val="nl-NL"/>
        </w:rPr>
        <w:t>PV</w:t>
      </w:r>
      <w:r>
        <w:rPr>
          <w:color w:val="auto"/>
          <w:rtl w:val="0"/>
          <w:lang w:val="en-US"/>
        </w:rPr>
        <w:t>值稳定在</w:t>
      </w:r>
      <w:r>
        <w:rPr>
          <w:rFonts w:ascii="宋体" w:hAnsi="宋体"/>
          <w:color w:val="auto"/>
          <w:rtl w:val="0"/>
        </w:rPr>
        <w:t>50</w:t>
      </w:r>
      <w:r>
        <w:rPr>
          <w:color w:val="auto"/>
          <w:rtl w:val="0"/>
          <w:lang w:val="en-US"/>
        </w:rPr>
        <w:t>～</w:t>
      </w:r>
      <w:r>
        <w:rPr>
          <w:rFonts w:ascii="宋体" w:hAnsi="宋体"/>
          <w:color w:val="auto"/>
          <w:rtl w:val="0"/>
        </w:rPr>
        <w:t>60</w:t>
      </w:r>
      <w:r>
        <w:rPr>
          <w:color w:val="auto"/>
          <w:rtl w:val="0"/>
          <w:lang w:val="en-US"/>
        </w:rPr>
        <w:t>之间。</w:t>
      </w:r>
    </w:p>
    <w:p w14:paraId="2B96E868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2. </w:t>
      </w:r>
      <w:r>
        <w:rPr>
          <w:color w:val="auto"/>
          <w:rtl w:val="0"/>
          <w:lang w:val="en-US"/>
        </w:rPr>
        <w:t>点击软件</w:t>
      </w:r>
      <w:r>
        <w:rPr>
          <w:rFonts w:hint="default" w:ascii="宋体" w:hAnsi="宋体"/>
          <w:color w:val="auto"/>
          <w:rtl/>
          <w:lang w:val="ar-SA" w:bidi="ar-SA"/>
        </w:rPr>
        <w:t>“</w:t>
      </w:r>
      <w:r>
        <w:rPr>
          <w:color w:val="auto"/>
          <w:rtl w:val="0"/>
          <w:lang w:val="en-US"/>
        </w:rPr>
        <w:t>试验开始</w:t>
      </w:r>
      <w:r>
        <w:rPr>
          <w:rFonts w:hint="default" w:ascii="宋体" w:hAnsi="宋体"/>
          <w:color w:val="auto"/>
          <w:rtl w:val="0"/>
        </w:rPr>
        <w:t>”</w:t>
      </w:r>
      <w:r>
        <w:rPr>
          <w:color w:val="auto"/>
          <w:rtl w:val="0"/>
          <w:lang w:val="en-US"/>
        </w:rPr>
        <w:t>。</w:t>
      </w:r>
    </w:p>
    <w:p w14:paraId="19A7B293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3. </w:t>
      </w:r>
      <w:r>
        <w:rPr>
          <w:color w:val="auto"/>
          <w:rtl w:val="0"/>
          <w:lang w:val="en-US"/>
        </w:rPr>
        <w:t>设备开始缓慢升温，软件实时记录温度与膨胀变化。</w:t>
      </w:r>
    </w:p>
    <w:p w14:paraId="67FC0563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4. </w:t>
      </w:r>
      <w:r>
        <w:rPr>
          <w:color w:val="auto"/>
          <w:rtl w:val="0"/>
          <w:lang w:val="en-US"/>
        </w:rPr>
        <w:t>试验过程中不得触碰设备高温部位，不得随意调整夹具、加热仓或软件参数。</w:t>
      </w:r>
    </w:p>
    <w:p w14:paraId="64D235AC">
      <w:pPr>
        <w:pStyle w:val="10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</w:rPr>
        <w:t xml:space="preserve">9.8 </w:t>
      </w:r>
      <w:r>
        <w:rPr>
          <w:color w:val="auto"/>
          <w:rtl w:val="0"/>
          <w:lang w:val="en-US"/>
        </w:rPr>
        <w:t>升温过程监控与终止</w:t>
      </w:r>
    </w:p>
    <w:p w14:paraId="5469948D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1. </w:t>
      </w:r>
      <w:r>
        <w:rPr>
          <w:color w:val="auto"/>
          <w:rtl w:val="0"/>
          <w:lang w:val="en-US"/>
        </w:rPr>
        <w:t>试验持续运行至设定终止温度。</w:t>
      </w:r>
    </w:p>
    <w:p w14:paraId="15EFA8AE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2. </w:t>
      </w:r>
      <w:r>
        <w:rPr>
          <w:color w:val="auto"/>
          <w:rtl w:val="0"/>
          <w:lang w:val="en-US"/>
        </w:rPr>
        <w:t>当温度升至</w:t>
      </w:r>
      <w:r>
        <w:rPr>
          <w:rFonts w:ascii="宋体" w:hAnsi="宋体"/>
          <w:color w:val="auto"/>
          <w:rtl w:val="0"/>
        </w:rPr>
        <w:t>550</w:t>
      </w:r>
      <w:r>
        <w:rPr>
          <w:rFonts w:hint="default" w:ascii="宋体" w:hAnsi="宋体"/>
          <w:color w:val="auto"/>
          <w:rtl w:val="0"/>
        </w:rPr>
        <w:t>℃</w:t>
      </w:r>
      <w:r>
        <w:rPr>
          <w:color w:val="auto"/>
          <w:rtl w:val="0"/>
          <w:lang w:val="en-US"/>
        </w:rPr>
        <w:t>时，系统自动结束实验或自动停止；如设备未自动停止，应按设备说明书和软件提示处理。</w:t>
      </w:r>
    </w:p>
    <w:p w14:paraId="195CA7F7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3. </w:t>
      </w:r>
      <w:r>
        <w:rPr>
          <w:color w:val="auto"/>
          <w:rtl w:val="0"/>
          <w:lang w:val="en-US"/>
        </w:rPr>
        <w:t>检测人员应关注温度、位移、膨胀曲线和软件状态，发现异常应及时停止试验并记录。</w:t>
      </w:r>
    </w:p>
    <w:p w14:paraId="45B08DEE">
      <w:pPr>
        <w:pStyle w:val="10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</w:rPr>
        <w:t xml:space="preserve">9.9 </w:t>
      </w:r>
      <w:r>
        <w:rPr>
          <w:color w:val="auto"/>
          <w:rtl w:val="0"/>
          <w:lang w:val="en-US"/>
        </w:rPr>
        <w:t>数据输出与报告打印</w:t>
      </w:r>
    </w:p>
    <w:p w14:paraId="6CD65A64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1. </w:t>
      </w:r>
      <w:r>
        <w:rPr>
          <w:color w:val="auto"/>
          <w:rtl w:val="0"/>
          <w:lang w:val="en-US"/>
        </w:rPr>
        <w:t>试验结束后，在软件中查看自动生成的测试数据和热膨胀曲线。</w:t>
      </w:r>
    </w:p>
    <w:p w14:paraId="0A4DB781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2. </w:t>
      </w:r>
      <w:r>
        <w:rPr>
          <w:color w:val="auto"/>
          <w:rtl w:val="0"/>
          <w:lang w:val="en-US"/>
        </w:rPr>
        <w:t>核对样品编号、材料名称、试样长度、终止温度和测试结果是否一致。</w:t>
      </w:r>
    </w:p>
    <w:p w14:paraId="284CE9DB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3. </w:t>
      </w:r>
      <w:r>
        <w:rPr>
          <w:color w:val="auto"/>
          <w:rtl w:val="0"/>
          <w:lang w:val="en-US"/>
        </w:rPr>
        <w:t>点击</w:t>
      </w:r>
      <w:r>
        <w:rPr>
          <w:rFonts w:hint="default" w:ascii="宋体" w:hAnsi="宋体"/>
          <w:color w:val="auto"/>
          <w:rtl/>
          <w:lang w:val="ar-SA" w:bidi="ar-SA"/>
        </w:rPr>
        <w:t>“</w:t>
      </w:r>
      <w:r>
        <w:rPr>
          <w:color w:val="auto"/>
          <w:rtl w:val="0"/>
          <w:lang w:val="en-US"/>
        </w:rPr>
        <w:t>打印报告</w:t>
      </w:r>
      <w:r>
        <w:rPr>
          <w:rFonts w:hint="default" w:ascii="宋体" w:hAnsi="宋体"/>
          <w:color w:val="auto"/>
          <w:rtl w:val="0"/>
        </w:rPr>
        <w:t>”</w:t>
      </w:r>
      <w:r>
        <w:rPr>
          <w:color w:val="auto"/>
          <w:rtl w:val="0"/>
          <w:lang w:val="en-US"/>
        </w:rPr>
        <w:t>输出实验结果文件。</w:t>
      </w:r>
    </w:p>
    <w:p w14:paraId="1B2FD4F9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4. </w:t>
      </w:r>
      <w:r>
        <w:rPr>
          <w:color w:val="auto"/>
          <w:rtl w:val="0"/>
          <w:lang w:val="en-US"/>
        </w:rPr>
        <w:t>保存原始数据文件、软件报告、曲线图和打印报告，并记录文件名和保存路径。</w:t>
      </w:r>
    </w:p>
    <w:p w14:paraId="35510C88">
      <w:pPr>
        <w:pStyle w:val="10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</w:rPr>
        <w:t xml:space="preserve">9.10 </w:t>
      </w:r>
      <w:r>
        <w:rPr>
          <w:color w:val="auto"/>
          <w:rtl w:val="0"/>
          <w:lang w:val="en-US"/>
        </w:rPr>
        <w:t>实验结束与清理</w:t>
      </w:r>
    </w:p>
    <w:p w14:paraId="64A54E20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1. </w:t>
      </w:r>
      <w:r>
        <w:rPr>
          <w:color w:val="auto"/>
          <w:rtl w:val="0"/>
          <w:lang w:val="en-US"/>
        </w:rPr>
        <w:t>关闭实验程序。</w:t>
      </w:r>
    </w:p>
    <w:p w14:paraId="0B19E989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2. </w:t>
      </w:r>
      <w:r>
        <w:rPr>
          <w:color w:val="auto"/>
          <w:rtl w:val="0"/>
          <w:lang w:val="en-US"/>
        </w:rPr>
        <w:t>关闭热膨胀测试仪电源。</w:t>
      </w:r>
    </w:p>
    <w:p w14:paraId="6CB54BA4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3. </w:t>
      </w:r>
      <w:r>
        <w:rPr>
          <w:color w:val="auto"/>
          <w:rtl w:val="0"/>
          <w:lang w:val="en-US"/>
        </w:rPr>
        <w:t>关闭控制电脑。</w:t>
      </w:r>
    </w:p>
    <w:p w14:paraId="7D4023D0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4. </w:t>
      </w:r>
      <w:r>
        <w:rPr>
          <w:color w:val="auto"/>
          <w:rtl w:val="0"/>
          <w:lang w:val="en-US"/>
        </w:rPr>
        <w:t>待设备降温至安全状态后，取出试样并清理样品与夹具。</w:t>
      </w:r>
    </w:p>
    <w:p w14:paraId="5CCB5104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227"/>
        <w:textAlignment w:val="auto"/>
        <w:rPr>
          <w:color w:val="auto"/>
        </w:rPr>
      </w:pPr>
      <w:r>
        <w:rPr>
          <w:rFonts w:ascii="宋体" w:hAnsi="宋体"/>
          <w:color w:val="auto"/>
          <w:rtl w:val="0"/>
        </w:rPr>
        <w:t xml:space="preserve">5. </w:t>
      </w:r>
      <w:r>
        <w:rPr>
          <w:color w:val="auto"/>
          <w:rtl w:val="0"/>
          <w:lang w:val="en-US"/>
        </w:rPr>
        <w:t>填写原始记录，完成检测人员和</w:t>
      </w:r>
      <w:r>
        <w:rPr>
          <w:rFonts w:hint="eastAsia"/>
          <w:color w:val="auto"/>
          <w:rtl w:val="0"/>
          <w:lang w:val="en-US" w:eastAsia="zh-CN"/>
        </w:rPr>
        <w:t>核验人员</w:t>
      </w:r>
      <w:r>
        <w:rPr>
          <w:color w:val="auto"/>
          <w:rtl w:val="0"/>
          <w:lang w:val="en-US"/>
        </w:rPr>
        <w:t>签字。</w:t>
      </w:r>
    </w:p>
    <w:p w14:paraId="33C2DCB1">
      <w:pPr>
        <w:pStyle w:val="9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</w:rPr>
        <w:t xml:space="preserve">10 </w:t>
      </w:r>
      <w:r>
        <w:rPr>
          <w:color w:val="auto"/>
          <w:rtl w:val="0"/>
          <w:lang w:val="en-US"/>
        </w:rPr>
        <w:t>关键控制点</w:t>
      </w:r>
    </w:p>
    <w:tbl>
      <w:tblPr>
        <w:tblStyle w:val="4"/>
        <w:tblW w:w="9867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89"/>
        <w:gridCol w:w="3289"/>
        <w:gridCol w:w="3289"/>
      </w:tblGrid>
      <w:tr w14:paraId="3E947055">
        <w:trPr>
          <w:trHeight w:val="215" w:hRule="atLeast"/>
          <w:jc w:val="center"/>
        </w:trPr>
        <w:tc>
          <w:tcPr>
            <w:tcW w:w="328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6810C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控制项目</w:t>
            </w:r>
          </w:p>
        </w:tc>
        <w:tc>
          <w:tcPr>
            <w:tcW w:w="328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C5FD9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控制要求</w:t>
            </w:r>
          </w:p>
        </w:tc>
        <w:tc>
          <w:tcPr>
            <w:tcW w:w="328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EEB9B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记录要求</w:t>
            </w:r>
          </w:p>
        </w:tc>
      </w:tr>
      <w:tr w14:paraId="5B5153FD">
        <w:trPr>
          <w:trHeight w:val="195" w:hRule="atLeast"/>
          <w:jc w:val="center"/>
        </w:trPr>
        <w:tc>
          <w:tcPr>
            <w:tcW w:w="328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D5A73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试样长度</w:t>
            </w:r>
          </w:p>
        </w:tc>
        <w:tc>
          <w:tcPr>
            <w:tcW w:w="328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D84D4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试验前测量实际长度并录入软件</w:t>
            </w:r>
          </w:p>
        </w:tc>
        <w:tc>
          <w:tcPr>
            <w:tcW w:w="328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BCF86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记录长度值、量具编号或测量方式</w:t>
            </w:r>
          </w:p>
        </w:tc>
      </w:tr>
      <w:tr w14:paraId="5CCEC4AE">
        <w:trPr>
          <w:trHeight w:val="195" w:hRule="atLeast"/>
          <w:jc w:val="center"/>
        </w:trPr>
        <w:tc>
          <w:tcPr>
            <w:tcW w:w="328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DD74D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终止温度</w:t>
            </w:r>
          </w:p>
        </w:tc>
        <w:tc>
          <w:tcPr>
            <w:tcW w:w="328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8FD27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必须设定为</w:t>
            </w:r>
            <w:r>
              <w:rPr>
                <w:rFonts w:ascii="宋体" w:hAnsi="宋体"/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550</w:t>
            </w:r>
            <w:r>
              <w:rPr>
                <w:rFonts w:hint="default" w:ascii="宋体" w:hAnsi="宋体"/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℃</w:t>
            </w:r>
          </w:p>
        </w:tc>
        <w:tc>
          <w:tcPr>
            <w:tcW w:w="328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AA5D6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记录设定温度和确认人</w:t>
            </w:r>
          </w:p>
        </w:tc>
      </w:tr>
      <w:tr w14:paraId="18B8DAC6">
        <w:trPr>
          <w:trHeight w:val="195" w:hRule="atLeast"/>
          <w:jc w:val="center"/>
        </w:trPr>
        <w:tc>
          <w:tcPr>
            <w:tcW w:w="328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4FCD4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rFonts w:ascii="宋体" w:hAnsi="宋体"/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PV</w:t>
            </w: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值</w:t>
            </w:r>
          </w:p>
        </w:tc>
        <w:tc>
          <w:tcPr>
            <w:tcW w:w="328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27428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启动前稳定在</w:t>
            </w:r>
            <w:r>
              <w:rPr>
                <w:rFonts w:ascii="宋体" w:hAnsi="宋体"/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50</w:t>
            </w: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～</w:t>
            </w:r>
            <w:r>
              <w:rPr>
                <w:rFonts w:ascii="宋体" w:hAnsi="宋体"/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60</w:t>
            </w: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之间</w:t>
            </w:r>
          </w:p>
        </w:tc>
        <w:tc>
          <w:tcPr>
            <w:tcW w:w="328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3529E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记录调整后</w:t>
            </w:r>
            <w:r>
              <w:rPr>
                <w:rFonts w:ascii="宋体" w:hAnsi="宋体"/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PV</w:t>
            </w: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值</w:t>
            </w:r>
          </w:p>
        </w:tc>
      </w:tr>
      <w:tr w14:paraId="1F2A96E2">
        <w:trPr>
          <w:trHeight w:val="195" w:hRule="atLeast"/>
          <w:jc w:val="center"/>
        </w:trPr>
        <w:tc>
          <w:tcPr>
            <w:tcW w:w="328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F1126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试样安装</w:t>
            </w:r>
          </w:p>
        </w:tc>
        <w:tc>
          <w:tcPr>
            <w:tcW w:w="328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11A37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牢固、方向正确、无松动、无歪斜</w:t>
            </w:r>
          </w:p>
        </w:tc>
        <w:tc>
          <w:tcPr>
            <w:tcW w:w="328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FE34A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记录安装确认</w:t>
            </w:r>
          </w:p>
        </w:tc>
      </w:tr>
      <w:tr w14:paraId="65A5DE38">
        <w:trPr>
          <w:trHeight w:val="195" w:hRule="atLeast"/>
          <w:jc w:val="center"/>
        </w:trPr>
        <w:tc>
          <w:tcPr>
            <w:tcW w:w="328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AB95A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加热仓位置</w:t>
            </w:r>
          </w:p>
        </w:tc>
        <w:tc>
          <w:tcPr>
            <w:tcW w:w="328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44B7F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推至最右侧并固定下方旋钮</w:t>
            </w:r>
          </w:p>
        </w:tc>
        <w:tc>
          <w:tcPr>
            <w:tcW w:w="328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3B7B1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记录确认结果</w:t>
            </w:r>
          </w:p>
        </w:tc>
      </w:tr>
      <w:tr w14:paraId="2911D31C">
        <w:trPr>
          <w:trHeight w:val="195" w:hRule="atLeast"/>
          <w:jc w:val="center"/>
        </w:trPr>
        <w:tc>
          <w:tcPr>
            <w:tcW w:w="328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9F6C1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数据输出</w:t>
            </w:r>
          </w:p>
        </w:tc>
        <w:tc>
          <w:tcPr>
            <w:tcW w:w="328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50718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原始数据和报告均应保存</w:t>
            </w:r>
          </w:p>
        </w:tc>
        <w:tc>
          <w:tcPr>
            <w:tcW w:w="3289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97314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记录文件名、路径、报告编号</w:t>
            </w:r>
          </w:p>
        </w:tc>
      </w:tr>
    </w:tbl>
    <w:p w14:paraId="60EBDE6D">
      <w:pPr>
        <w:pStyle w:val="9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</w:rPr>
        <w:t xml:space="preserve">11 </w:t>
      </w:r>
      <w:r>
        <w:rPr>
          <w:color w:val="auto"/>
          <w:rtl w:val="0"/>
          <w:lang w:val="en-US"/>
        </w:rPr>
        <w:t>结果记录与数据处理</w:t>
      </w:r>
    </w:p>
    <w:p w14:paraId="2A56E44C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软件自动记录温度、位移或膨胀变化数据，并生成热膨胀测试结果。</w:t>
      </w:r>
    </w:p>
    <w:p w14:paraId="67E19390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检测人员应核对软件报告中的样品编号、试样长度、材料名称、终止温度、测试曲线和结果数据。</w:t>
      </w:r>
    </w:p>
    <w:p w14:paraId="27AD5C6B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如软件自动计算热膨胀系数，应保留原始数据和计算报告；不得仅抄录最终结果而不保存原始数据。</w:t>
      </w:r>
    </w:p>
    <w:p w14:paraId="46DA88DD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若报告结果需要修约，应按实验室数值修约规则执行，并保留未修约原始结果。</w:t>
      </w:r>
    </w:p>
    <w:p w14:paraId="492181D5">
      <w:pPr>
        <w:pStyle w:val="9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</w:rPr>
        <w:t xml:space="preserve">12 </w:t>
      </w:r>
      <w:r>
        <w:rPr>
          <w:color w:val="auto"/>
          <w:rtl w:val="0"/>
          <w:lang w:val="en-US"/>
        </w:rPr>
        <w:t>质量控制要求</w:t>
      </w:r>
    </w:p>
    <w:p w14:paraId="11B12BFD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检测人员应经设备操作、软件使用和记录要求培训授权后方可独立操作。</w:t>
      </w:r>
    </w:p>
    <w:p w14:paraId="5796A8E7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热膨胀测试仪应处于有效维护、校准或核查状态；设备状态异常时不得使用。</w:t>
      </w:r>
    </w:p>
    <w:p w14:paraId="2B23FEC7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首次用于检测或方法发生变化时，应进行方法</w:t>
      </w:r>
      <w:r>
        <w:rPr>
          <w:rFonts w:hint="eastAsia"/>
          <w:color w:val="auto"/>
          <w:rtl w:val="0"/>
          <w:lang w:val="en-US" w:eastAsia="zh-CN"/>
        </w:rPr>
        <w:t>验证</w:t>
      </w:r>
      <w:r>
        <w:rPr>
          <w:color w:val="auto"/>
          <w:rtl w:val="0"/>
          <w:lang w:val="en-US"/>
        </w:rPr>
        <w:t>，</w:t>
      </w:r>
      <w:r>
        <w:rPr>
          <w:rFonts w:hint="eastAsia"/>
          <w:color w:val="auto"/>
          <w:rtl w:val="0"/>
          <w:lang w:val="en-US" w:eastAsia="zh-CN"/>
        </w:rPr>
        <w:t>验证</w:t>
      </w:r>
      <w:r>
        <w:rPr>
          <w:color w:val="auto"/>
          <w:rtl w:val="0"/>
          <w:lang w:val="en-US"/>
        </w:rPr>
        <w:t>内容包括重复性、软件输出一致性、温度控制、</w:t>
      </w:r>
      <w:r>
        <w:rPr>
          <w:rFonts w:ascii="宋体" w:hAnsi="宋体"/>
          <w:color w:val="auto"/>
          <w:rtl w:val="0"/>
          <w:lang w:val="nl-NL"/>
        </w:rPr>
        <w:t>PV</w:t>
      </w:r>
      <w:r>
        <w:rPr>
          <w:color w:val="auto"/>
          <w:rtl w:val="0"/>
          <w:lang w:val="en-US"/>
        </w:rPr>
        <w:t>调整、试样安装和记录完整性。</w:t>
      </w:r>
    </w:p>
    <w:p w14:paraId="5187518C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同一检测批次应尽量采用一致的试样安装方式、终止温度和数据处理规则。</w:t>
      </w:r>
    </w:p>
    <w:p w14:paraId="3A24A748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rFonts w:hint="eastAsia"/>
          <w:color w:val="auto"/>
          <w:rtl w:val="0"/>
          <w:lang w:val="en-US" w:eastAsia="zh-CN"/>
        </w:rPr>
        <w:t>核验人员</w:t>
      </w:r>
      <w:r>
        <w:rPr>
          <w:color w:val="auto"/>
          <w:rtl w:val="0"/>
          <w:lang w:val="en-US"/>
        </w:rPr>
        <w:t>应复核试样长度、终止温度、</w:t>
      </w:r>
      <w:r>
        <w:rPr>
          <w:rFonts w:ascii="宋体" w:hAnsi="宋体"/>
          <w:color w:val="auto"/>
          <w:rtl w:val="0"/>
          <w:lang w:val="nl-NL"/>
        </w:rPr>
        <w:t>PV</w:t>
      </w:r>
      <w:r>
        <w:rPr>
          <w:color w:val="auto"/>
          <w:rtl w:val="0"/>
          <w:lang w:val="en-US"/>
        </w:rPr>
        <w:t>值、原始数据、报告编号、结果和结论。</w:t>
      </w:r>
    </w:p>
    <w:p w14:paraId="357DDF91">
      <w:pPr>
        <w:pStyle w:val="9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</w:rPr>
        <w:t xml:space="preserve">13 </w:t>
      </w:r>
      <w:r>
        <w:rPr>
          <w:color w:val="auto"/>
          <w:rtl w:val="0"/>
          <w:lang w:val="en-US"/>
        </w:rPr>
        <w:t>异常、偏离与不符合工作处理</w:t>
      </w:r>
    </w:p>
    <w:tbl>
      <w:tblPr>
        <w:tblStyle w:val="4"/>
        <w:tblW w:w="986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31"/>
        <w:gridCol w:w="7235"/>
      </w:tblGrid>
      <w:tr w14:paraId="64916EE2">
        <w:trPr>
          <w:trHeight w:val="215" w:hRule="atLeast"/>
          <w:jc w:val="center"/>
        </w:trPr>
        <w:tc>
          <w:tcPr>
            <w:tcW w:w="2631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A069F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异常</w:t>
            </w:r>
            <w:r>
              <w:rPr>
                <w:rFonts w:ascii="SimSong Bold" w:hAnsi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偏离情形</w:t>
            </w:r>
          </w:p>
        </w:tc>
        <w:tc>
          <w:tcPr>
            <w:tcW w:w="7235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59CBE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20"/>
                <w:szCs w:val="20"/>
                <w:shd w:val="clear" w:color="auto" w:fill="auto"/>
                <w:rtl w:val="0"/>
                <w:lang w:val="en-US"/>
              </w:rPr>
              <w:t>处理要求</w:t>
            </w:r>
          </w:p>
        </w:tc>
      </w:tr>
      <w:tr w14:paraId="31D1A47A">
        <w:trPr>
          <w:trHeight w:val="402" w:hRule="atLeast"/>
          <w:jc w:val="center"/>
        </w:trPr>
        <w:tc>
          <w:tcPr>
            <w:tcW w:w="2631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84F89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rFonts w:ascii="宋体" w:hAnsi="宋体"/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PV</w:t>
            </w: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值无法稳定在</w:t>
            </w:r>
            <w:r>
              <w:rPr>
                <w:rFonts w:ascii="宋体" w:hAnsi="宋体"/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50</w:t>
            </w: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～</w:t>
            </w:r>
            <w:r>
              <w:rPr>
                <w:rFonts w:ascii="宋体" w:hAnsi="宋体"/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60</w:t>
            </w: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之间</w:t>
            </w:r>
          </w:p>
        </w:tc>
        <w:tc>
          <w:tcPr>
            <w:tcW w:w="7235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E6E8A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不得启动试验，检查试样安装、位移机构和加热棒位置，必要时通知设备管理员。</w:t>
            </w:r>
          </w:p>
        </w:tc>
      </w:tr>
      <w:tr w14:paraId="4052876A">
        <w:trPr>
          <w:trHeight w:val="402" w:hRule="atLeast"/>
          <w:jc w:val="center"/>
        </w:trPr>
        <w:tc>
          <w:tcPr>
            <w:tcW w:w="2631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29CED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终止温度设置错误</w:t>
            </w:r>
          </w:p>
        </w:tc>
        <w:tc>
          <w:tcPr>
            <w:tcW w:w="7235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1BF69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停止试验或作废数据，重新设置为</w:t>
            </w:r>
            <w:r>
              <w:rPr>
                <w:rFonts w:ascii="宋体" w:hAnsi="宋体"/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550</w:t>
            </w:r>
            <w:r>
              <w:rPr>
                <w:rFonts w:hint="default" w:ascii="宋体" w:hAnsi="宋体"/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℃</w:t>
            </w: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后按规定重新试验。</w:t>
            </w:r>
          </w:p>
        </w:tc>
      </w:tr>
      <w:tr w14:paraId="2900ED29">
        <w:trPr>
          <w:trHeight w:val="195" w:hRule="atLeast"/>
          <w:jc w:val="center"/>
        </w:trPr>
        <w:tc>
          <w:tcPr>
            <w:tcW w:w="2631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B0024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试样松动、歪斜或掉落</w:t>
            </w:r>
          </w:p>
        </w:tc>
        <w:tc>
          <w:tcPr>
            <w:tcW w:w="7235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23011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停止试验，重新安装试样，必要时更换试样。</w:t>
            </w:r>
          </w:p>
        </w:tc>
      </w:tr>
      <w:tr w14:paraId="59E71EAE">
        <w:trPr>
          <w:trHeight w:val="402" w:hRule="atLeast"/>
          <w:jc w:val="center"/>
        </w:trPr>
        <w:tc>
          <w:tcPr>
            <w:tcW w:w="2631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89A61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温度、位移或曲线异常</w:t>
            </w:r>
          </w:p>
        </w:tc>
        <w:tc>
          <w:tcPr>
            <w:tcW w:w="7235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17332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保存异常数据，停止试验，报告技术负责人进行影响评估。</w:t>
            </w:r>
          </w:p>
        </w:tc>
      </w:tr>
      <w:tr w14:paraId="470A8C1C">
        <w:trPr>
          <w:trHeight w:val="402" w:hRule="atLeast"/>
          <w:jc w:val="center"/>
        </w:trPr>
        <w:tc>
          <w:tcPr>
            <w:tcW w:w="2631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3448A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软件故障或报告无法输出</w:t>
            </w:r>
          </w:p>
        </w:tc>
        <w:tc>
          <w:tcPr>
            <w:tcW w:w="7235" w:type="dxa"/>
            <w:tcBorders>
              <w:top w:val="single" w:color="4F4F4F" w:sz="6" w:space="0"/>
              <w:left w:val="single" w:color="4F4F4F" w:sz="6" w:space="0"/>
              <w:bottom w:val="single" w:color="4F4F4F" w:sz="6" w:space="0"/>
              <w:right w:val="single" w:color="4F4F4F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B7235">
            <w:pPr>
              <w:pStyle w:val="8"/>
              <w:pageBreakBefore w:val="0"/>
              <w:framePr w:wrap="auto" w:vAnchor="margin" w:hAnchor="text" w:yAlign="inline"/>
              <w:widowControl w:val="0"/>
              <w:wordWrap/>
              <w:topLinePunct w:val="0"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不得手工编造数据，应保留异常截图并按设备</w:t>
            </w:r>
            <w:r>
              <w:rPr>
                <w:rFonts w:ascii="宋体" w:hAnsi="宋体"/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/</w:t>
            </w:r>
            <w:r>
              <w:rPr>
                <w:color w:val="auto"/>
                <w:sz w:val="19"/>
                <w:szCs w:val="19"/>
                <w:shd w:val="clear" w:color="auto" w:fill="auto"/>
                <w:rtl w:val="0"/>
                <w:lang w:val="en-US"/>
              </w:rPr>
              <w:t>软件异常处理。</w:t>
            </w:r>
          </w:p>
        </w:tc>
      </w:tr>
    </w:tbl>
    <w:p w14:paraId="4C3C2722">
      <w:pPr>
        <w:pStyle w:val="9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</w:rPr>
        <w:t xml:space="preserve">14 </w:t>
      </w:r>
      <w:r>
        <w:rPr>
          <w:color w:val="auto"/>
          <w:rtl w:val="0"/>
          <w:lang w:val="en-US"/>
        </w:rPr>
        <w:t>原始记录与报告要求</w:t>
      </w:r>
    </w:p>
    <w:p w14:paraId="6DCB9007">
      <w:pPr>
        <w:pStyle w:val="10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</w:rPr>
        <w:t xml:space="preserve">14.1 </w:t>
      </w:r>
      <w:r>
        <w:rPr>
          <w:color w:val="auto"/>
          <w:rtl w:val="0"/>
          <w:lang w:val="en-US"/>
        </w:rPr>
        <w:t>原始记录要求</w:t>
      </w:r>
    </w:p>
    <w:p w14:paraId="5A8C153F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highlight w:val="none"/>
          <w:rtl w:val="0"/>
          <w:lang w:val="en-US"/>
        </w:rPr>
        <w:t>原始记录应</w:t>
      </w:r>
      <w:r>
        <w:rPr>
          <w:color w:val="auto"/>
          <w:rtl w:val="0"/>
          <w:lang w:val="en-US"/>
        </w:rPr>
        <w:t>真实、准确、清晰、完整，不得随意涂改；确需修改时，应保留原始内容并签名注明日期和原因。</w:t>
      </w:r>
    </w:p>
    <w:p w14:paraId="128256FA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原始记录至少包括样品编号、材料名称、试样长度、设备编号、软件版本、环境条件、终止温度、</w:t>
      </w:r>
      <w:r>
        <w:rPr>
          <w:rFonts w:ascii="宋体" w:hAnsi="宋体"/>
          <w:color w:val="auto"/>
          <w:rtl w:val="0"/>
          <w:lang w:val="nl-NL"/>
        </w:rPr>
        <w:t>PV</w:t>
      </w:r>
      <w:r>
        <w:rPr>
          <w:color w:val="auto"/>
          <w:rtl w:val="0"/>
          <w:lang w:val="en-US"/>
        </w:rPr>
        <w:t>值、试验开始</w:t>
      </w:r>
      <w:r>
        <w:rPr>
          <w:rFonts w:ascii="宋体" w:hAnsi="宋体"/>
          <w:color w:val="auto"/>
          <w:rtl w:val="0"/>
        </w:rPr>
        <w:t>/</w:t>
      </w:r>
      <w:r>
        <w:rPr>
          <w:color w:val="auto"/>
          <w:rtl w:val="0"/>
          <w:lang w:val="en-US"/>
        </w:rPr>
        <w:t>结束时间、原始数据文件名、报告编号、检测人员和</w:t>
      </w:r>
      <w:r>
        <w:rPr>
          <w:rFonts w:hint="eastAsia"/>
          <w:color w:val="auto"/>
          <w:rtl w:val="0"/>
          <w:lang w:val="en-US" w:eastAsia="zh-CN"/>
        </w:rPr>
        <w:t>核验人员</w:t>
      </w:r>
      <w:r>
        <w:rPr>
          <w:color w:val="auto"/>
          <w:rtl w:val="0"/>
          <w:lang w:val="en-US"/>
        </w:rPr>
        <w:t>。</w:t>
      </w:r>
    </w:p>
    <w:p w14:paraId="329C992B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color w:val="auto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软件原始数据、曲线图、打印报告和截图应作为原始记录附件保存。</w:t>
      </w:r>
    </w:p>
    <w:p w14:paraId="076917D5">
      <w:pPr>
        <w:pStyle w:val="10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</w:rPr>
        <w:t xml:space="preserve">14.2 </w:t>
      </w:r>
      <w:r>
        <w:rPr>
          <w:color w:val="auto"/>
          <w:rtl w:val="0"/>
          <w:lang w:val="en-US"/>
        </w:rPr>
        <w:t>报告要求</w:t>
      </w:r>
    </w:p>
    <w:p w14:paraId="3A10A6B2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ind w:left="340" w:hanging="170"/>
        <w:textAlignment w:val="auto"/>
        <w:rPr>
          <w:rFonts w:hint="eastAsia" w:ascii="宋体" w:hAnsi="宋体" w:cs="宋体"/>
          <w:color w:val="auto"/>
          <w:rtl w:val="0"/>
          <w:lang w:val="en-US" w:eastAsia="zh-CN"/>
        </w:rPr>
      </w:pPr>
      <w:r>
        <w:rPr>
          <w:rFonts w:hint="default" w:ascii="宋体" w:hAnsi="宋体"/>
          <w:color w:val="auto"/>
          <w:rtl w:val="0"/>
        </w:rPr>
        <w:t xml:space="preserve">• </w:t>
      </w:r>
      <w:r>
        <w:rPr>
          <w:color w:val="auto"/>
          <w:rtl w:val="0"/>
          <w:lang w:val="en-US"/>
        </w:rPr>
        <w:t>检测报告应包含报告编号、委托单位、样品名称、样品编号、检测依据、主要设备、终止温度、试样长度、检测结果、检测日期、检测人员、</w:t>
      </w:r>
      <w:r>
        <w:rPr>
          <w:rFonts w:hint="eastAsia"/>
          <w:color w:val="auto"/>
          <w:rtl w:val="0"/>
          <w:lang w:val="en-US" w:eastAsia="zh-CN"/>
        </w:rPr>
        <w:t>核验人员</w:t>
      </w:r>
      <w:r>
        <w:rPr>
          <w:color w:val="auto"/>
          <w:rtl w:val="0"/>
          <w:lang w:val="en-US"/>
        </w:rPr>
        <w:t>和批准</w:t>
      </w:r>
      <w:r>
        <w:rPr>
          <w:rFonts w:ascii="宋体" w:hAnsi="宋体"/>
          <w:color w:val="auto"/>
          <w:rtl w:val="0"/>
        </w:rPr>
        <w:t>/</w:t>
      </w:r>
      <w:r>
        <w:rPr>
          <w:color w:val="auto"/>
          <w:rtl w:val="0"/>
          <w:lang w:val="en-US"/>
        </w:rPr>
        <w:t>授权签字人</w:t>
      </w:r>
      <w:r>
        <w:rPr>
          <w:rFonts w:hint="eastAsia"/>
          <w:color w:val="auto"/>
          <w:rtl w:val="0"/>
          <w:lang w:val="en-US" w:eastAsia="zh-CN"/>
        </w:rPr>
        <w:t>等信息，并与原始记录信息保持一致</w:t>
      </w:r>
      <w:r>
        <w:rPr>
          <w:color w:val="auto"/>
          <w:rtl w:val="0"/>
          <w:lang w:val="en-US"/>
        </w:rPr>
        <w:t>。</w:t>
      </w:r>
      <w:r>
        <w:rPr>
          <w:rFonts w:hint="eastAsia" w:ascii="宋体" w:hAnsi="宋体" w:cs="宋体"/>
          <w:color w:val="auto"/>
          <w:rtl w:val="0"/>
          <w:lang w:val="en-US" w:eastAsia="zh-CN"/>
        </w:rPr>
        <w:t>报告格式见DLBP-CX-P08-R03 检验报告。</w:t>
      </w:r>
    </w:p>
    <w:p w14:paraId="236DAD65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</w:rPr>
        <w:t xml:space="preserve">15 </w:t>
      </w: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rtl w:val="0"/>
          <w:lang w:val="en-US"/>
        </w:rPr>
        <w:t>记录保存与样品处置</w:t>
      </w:r>
    </w:p>
    <w:p w14:paraId="1B3FE915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rtl w:val="0"/>
          <w:lang w:val="en-US"/>
        </w:rPr>
        <w:t>原始记录、电子数据、软件报告、曲线图、设备核查记录、异常处理记录和最终检测报告应按实验室记录控制程序保存。试验后的样品应按委托协议、样品管理程序或实验室规定进行留存、返还或处置。</w:t>
      </w:r>
    </w:p>
    <w:p w14:paraId="093939D6">
      <w:pPr>
        <w:pStyle w:val="8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 w:line="240" w:lineRule="auto"/>
        <w:jc w:val="center"/>
        <w:textAlignment w:val="auto"/>
        <w:rPr>
          <w:color w:val="auto"/>
        </w:rPr>
      </w:pPr>
    </w:p>
    <w:sectPr>
      <w:headerReference r:id="rId5" w:type="default"/>
      <w:footerReference r:id="rId6" w:type="default"/>
      <w:pgSz w:w="11900" w:h="16840"/>
      <w:pgMar w:top="1020" w:right="1020" w:bottom="850" w:left="1020" w:header="454" w:footer="39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SimSong Bold">
    <w:panose1 w:val="02020300000000000000"/>
    <w:charset w:val="86"/>
    <w:family w:val="roman"/>
    <w:pitch w:val="default"/>
    <w:sig w:usb0="800002BF" w:usb1="38CF7CFA" w:usb2="00000016" w:usb3="00000000" w:csb0="0004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4AE59">
    <w:pPr>
      <w:pStyle w:val="2"/>
      <w:framePr w:wrap="auto" w:vAnchor="margin" w:hAnchor="text" w:yAlign="inline"/>
      <w:jc w:val="right"/>
      <w:rPr>
        <w:rFonts w:hint="default"/>
        <w:lang w:val="en-US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3F0A31CF">
                          <w:pPr>
                            <w:pStyle w:val="2"/>
                            <w:framePr w:wrap="auto" w:vAnchor="margin" w:hAnchor="text" w:yAlign="inline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3F0A31CF">
                    <w:pPr>
                      <w:pStyle w:val="2"/>
                      <w:framePr w:wrap="auto" w:vAnchor="margin" w:hAnchor="text" w:yAlign="inline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黑体" w:hAnsi="黑体" w:eastAsia="黑体" w:cs="黑体"/>
        <w:sz w:val="24"/>
        <w:szCs w:val="24"/>
        <w:lang w:val="en-US" w:eastAsia="zh-CN"/>
      </w:rPr>
      <w:t>DLBP-SOP-009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87C7D">
    <w:pPr>
      <w:pStyle w:val="3"/>
      <w:framePr w:wrap="auto" w:vAnchor="margin" w:hAnchor="text" w:yAlign="inline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44A0B61"/>
    <w:rsid w:val="08EB6C4F"/>
    <w:rsid w:val="14F52C04"/>
    <w:rsid w:val="1B1D2225"/>
    <w:rsid w:val="1CDB6B83"/>
    <w:rsid w:val="24857B00"/>
    <w:rsid w:val="2DED4667"/>
    <w:rsid w:val="319E0453"/>
    <w:rsid w:val="37057832"/>
    <w:rsid w:val="38DC11D1"/>
    <w:rsid w:val="3D12166F"/>
    <w:rsid w:val="3D8A5562"/>
    <w:rsid w:val="54E12281"/>
    <w:rsid w:val="5C367357"/>
    <w:rsid w:val="5CC04E72"/>
    <w:rsid w:val="63352116"/>
    <w:rsid w:val="677761C9"/>
    <w:rsid w:val="7A3C6503"/>
    <w:rsid w:val="7E73665D"/>
    <w:rsid w:val="7F77A813"/>
    <w:rsid w:val="7FFE18E8"/>
    <w:rsid w:val="9E524420"/>
    <w:rsid w:val="F77797C8"/>
    <w:rsid w:val="F9EE3043"/>
    <w:rsid w:val="FDF906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character" w:styleId="6">
    <w:name w:val="Hyperlink"/>
    <w:qFormat/>
    <w:uiPriority w:val="0"/>
    <w:rPr>
      <w:u w:val="single"/>
    </w:rPr>
  </w:style>
  <w:style w:type="table" w:customStyle="1" w:styleId="7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8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customStyle="1" w:styleId="9">
    <w:name w:val="小标题"/>
    <w:next w:val="8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480" w:beforeAutospacing="0" w:after="0" w:afterAutospacing="0" w:line="276" w:lineRule="auto"/>
      <w:ind w:left="0" w:right="0" w:firstLine="0"/>
      <w:jc w:val="left"/>
      <w:outlineLvl w:val="0"/>
    </w:pPr>
    <w:rPr>
      <w:rFonts w:ascii="黑体" w:hAnsi="黑体" w:eastAsia="黑体" w:cs="黑体"/>
      <w:b/>
      <w:bCs/>
      <w:color w:val="365F91"/>
      <w:spacing w:val="0"/>
      <w:w w:val="100"/>
      <w:kern w:val="0"/>
      <w:position w:val="0"/>
      <w:sz w:val="30"/>
      <w:szCs w:val="30"/>
      <w:u w:val="none" w:color="365F91"/>
      <w:shd w:val="clear" w:color="auto" w:fill="auto"/>
      <w:vertAlign w:val="baseline"/>
      <w:lang w:val="ru-RU"/>
    </w:rPr>
  </w:style>
  <w:style w:type="paragraph" w:customStyle="1" w:styleId="10">
    <w:name w:val="小标题 2"/>
    <w:next w:val="8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200" w:beforeAutospacing="0" w:after="0" w:afterAutospacing="0" w:line="276" w:lineRule="auto"/>
      <w:ind w:left="0" w:right="0" w:firstLine="0"/>
      <w:jc w:val="left"/>
      <w:outlineLvl w:val="1"/>
    </w:pPr>
    <w:rPr>
      <w:rFonts w:ascii="黑体" w:hAnsi="黑体" w:eastAsia="黑体" w:cs="黑体"/>
      <w:b/>
      <w:bCs/>
      <w:color w:val="4F81BD"/>
      <w:spacing w:val="0"/>
      <w:w w:val="100"/>
      <w:kern w:val="0"/>
      <w:position w:val="0"/>
      <w:sz w:val="25"/>
      <w:szCs w:val="25"/>
      <w:u w:val="none" w:color="4F81BD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3782</Words>
  <Characters>3922</Characters>
  <TotalTime>0</TotalTime>
  <ScaleCrop>false</ScaleCrop>
  <LinksUpToDate>false</LinksUpToDate>
  <CharactersWithSpaces>4021</CharactersWithSpaces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2026-07-13T13:38:00Z</dcterms:created>
  <dc:creator>Administrator</dc:creator>
  <cp:lastModifiedBy>WPS_1686482671</cp:lastModifiedBy>
  <dcterms:modified xsi:type="dcterms:W3CDTF">2026-07-22T16:40:13Z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290739DCD4994B2BA0C11E97754F16D6_13</vt:lpwstr>
  </property>
  <property fmtid="{D5CDD505-2E9C-101B-9397-08002B2CF9AE}" pid="4" name="KSOTemplateDocerSaveRecord">
    <vt:lpwstr>eyJoZGlkIjoiZjBmNWVmY2ZjYTc5NWVjZDFhYmYzOTFiM2UwZTJmZDIiLCJ1c2VySWQiOiIxNDk5MTc3ODQ1In0=</vt:lpwstr>
  </property>
</Properties>
</file>