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7AD02">
      <w:pPr>
        <w:pStyle w:val="9"/>
        <w:framePr w:wrap="auto" w:vAnchor="margin" w:hAnchor="text" w:yAlign="inline"/>
        <w:spacing w:after="240"/>
        <w:jc w:val="center"/>
        <w:rPr>
          <w:rFonts w:hint="eastAsia" w:eastAsia="宋体"/>
          <w:sz w:val="44"/>
          <w:szCs w:val="44"/>
          <w:rtl w:val="0"/>
          <w:lang w:val="en-US" w:eastAsia="zh-CN"/>
        </w:rPr>
      </w:pPr>
      <w:r>
        <w:rPr>
          <w:rFonts w:hint="eastAsia" w:eastAsia="SimSong Bold"/>
          <w:sz w:val="44"/>
          <w:szCs w:val="44"/>
          <w:rtl w:val="0"/>
          <w:lang w:val="en-US"/>
        </w:rPr>
        <w:t>金属材料维氏硬度试验</w:t>
      </w:r>
      <w:r>
        <w:rPr>
          <w:rFonts w:hint="eastAsia" w:eastAsia="宋体"/>
          <w:sz w:val="44"/>
          <w:szCs w:val="44"/>
          <w:rtl w:val="0"/>
          <w:lang w:val="en-US" w:eastAsia="zh-CN"/>
        </w:rPr>
        <w:t>作业指导书</w:t>
      </w:r>
    </w:p>
    <w:p w14:paraId="5EDB2FD6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b w:val="0"/>
          <w:bCs w:val="0"/>
          <w:color w:val="auto"/>
        </w:rPr>
      </w:pP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en-US"/>
        </w:rPr>
        <w:t>文件审批信息</w:t>
      </w:r>
    </w:p>
    <w:tbl>
      <w:tblPr>
        <w:tblStyle w:val="5"/>
        <w:tblW w:w="974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26"/>
        <w:gridCol w:w="2746"/>
        <w:gridCol w:w="2436"/>
        <w:gridCol w:w="2436"/>
      </w:tblGrid>
      <w:tr w14:paraId="1EA160DA">
        <w:trPr>
          <w:trHeight w:val="190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03601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 w:eastAsia="zh-CN"/>
              </w:rPr>
              <w:t>职责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4F1814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岗位/部门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90A7A5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签名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411AED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日期</w:t>
            </w:r>
          </w:p>
        </w:tc>
      </w:tr>
      <w:tr w14:paraId="2DC60F81">
        <w:trPr>
          <w:trHeight w:val="90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24490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编制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3ACAD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检测人员/方法负责人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F129B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57EE0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</w:p>
        </w:tc>
      </w:tr>
      <w:tr w14:paraId="014330A1">
        <w:trPr>
          <w:trHeight w:val="210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9775B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审核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47517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技术负责人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D6F0F4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B26E3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</w:p>
        </w:tc>
      </w:tr>
      <w:tr w14:paraId="7688999F">
        <w:trPr>
          <w:trHeight w:val="210" w:hRule="atLeast"/>
          <w:jc w:val="center"/>
        </w:trPr>
        <w:tc>
          <w:tcPr>
            <w:tcW w:w="21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71D886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批准</w:t>
            </w:r>
          </w:p>
        </w:tc>
        <w:tc>
          <w:tcPr>
            <w:tcW w:w="27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FAEA9C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质量负责人/授权签字人</w:t>
            </w: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E3F42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</w:p>
        </w:tc>
        <w:tc>
          <w:tcPr>
            <w:tcW w:w="2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329B42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</w:rPr>
            </w:pPr>
          </w:p>
        </w:tc>
      </w:tr>
    </w:tbl>
    <w:p w14:paraId="4C76E683">
      <w:pPr>
        <w:pStyle w:val="10"/>
        <w:keepNext w:val="0"/>
        <w:keepLines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0" w:after="0" w:line="240" w:lineRule="auto"/>
        <w:jc w:val="center"/>
        <w:textAlignment w:val="auto"/>
        <w:rPr>
          <w:b w:val="0"/>
          <w:bCs w:val="0"/>
        </w:rPr>
      </w:pPr>
    </w:p>
    <w:p w14:paraId="1F9796D9">
      <w:pPr>
        <w:pStyle w:val="13"/>
        <w:keepNext w:val="0"/>
        <w:keepLines w:val="0"/>
        <w:pageBreakBefore w:val="0"/>
        <w:framePr w:wrap="auto" w:vAnchor="margin" w:hAnchor="text" w:yAlign="inline"/>
        <w:widowControl w:val="0"/>
        <w:kinsoku w:val="0"/>
        <w:wordWrap/>
        <w:overflowPunct w:val="0"/>
        <w:topLinePunct w:val="0"/>
        <w:autoSpaceDE w:val="0"/>
        <w:autoSpaceDN w:val="0"/>
        <w:bidi w:val="0"/>
        <w:adjustRightInd/>
        <w:snapToGrid/>
        <w:spacing w:before="0" w:after="0"/>
        <w:textAlignment w:val="auto"/>
        <w:rPr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  <w:color w:val="auto"/>
          <w:rtl w:val="0"/>
          <w:lang w:val="en-US"/>
        </w:rPr>
        <w:t>文件修订记录</w:t>
      </w:r>
    </w:p>
    <w:tbl>
      <w:tblPr>
        <w:tblStyle w:val="5"/>
        <w:tblW w:w="10425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CED7E7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5"/>
        <w:gridCol w:w="2085"/>
        <w:gridCol w:w="2085"/>
        <w:gridCol w:w="2085"/>
        <w:gridCol w:w="2085"/>
      </w:tblGrid>
      <w:tr w14:paraId="66D9EDBD">
        <w:trPr>
          <w:trHeight w:val="200" w:hRule="atLeast"/>
          <w:jc w:val="center"/>
        </w:trPr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D772BB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shd w:val="clear" w:color="auto" w:fill="auto"/>
                <w:rtl w:val="0"/>
                <w:lang w:val="en-US"/>
              </w:rPr>
              <w:t>版本</w:t>
            </w: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FE97C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修订内容</w:t>
            </w: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85B5DD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修订原因</w:t>
            </w: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79253A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生效日期</w:t>
            </w: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6C8205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bCs w:val="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  <w:t>修订人</w:t>
            </w:r>
          </w:p>
        </w:tc>
      </w:tr>
      <w:tr w14:paraId="3DADA84E">
        <w:trPr>
          <w:trHeight w:val="1494" w:hRule="atLeast"/>
          <w:jc w:val="center"/>
        </w:trPr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0866D9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1"/>
                <w:szCs w:val="21"/>
                <w:shd w:val="clear" w:color="auto" w:fill="auto"/>
                <w:rtl w:val="0"/>
                <w:lang w:val="en-US" w:eastAsia="zh-CN"/>
              </w:rPr>
              <w:t>V1.0</w:t>
            </w: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F65D1A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shd w:val="clear" w:color="auto" w:fill="auto"/>
                <w:rtl w:val="0"/>
                <w:lang w:val="en-US"/>
              </w:rPr>
              <w:t>首次建立</w:t>
            </w: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E93FF5">
            <w:pPr>
              <w:pStyle w:val="10"/>
              <w:keepNext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bidi w:val="0"/>
              <w:adjustRightInd/>
              <w:snapToGrid/>
              <w:spacing w:before="0" w:after="0"/>
              <w:jc w:val="left"/>
              <w:textAlignment w:val="auto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rtl w:val="0"/>
                <w:lang w:val="en-US" w:eastAsia="zh-CN"/>
              </w:rPr>
            </w:pPr>
            <w:r>
              <w:rPr>
                <w:rFonts w:hint="eastAsia" w:eastAsia="宋体"/>
                <w:sz w:val="21"/>
                <w:szCs w:val="21"/>
                <w:shd w:val="clear" w:color="auto" w:fill="auto"/>
                <w:rtl w:val="0"/>
                <w:lang w:val="zh-CN" w:eastAsia="zh-CN"/>
              </w:rPr>
              <w:t>依据维氏硬度试验操作流程建立 ，纳入设备校准、样品表面状态、双面压痕测量、数据计算、报告导出及记录追溯要求。</w:t>
            </w: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EF7575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302D5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</w:tr>
      <w:tr w14:paraId="692E2E45">
        <w:trPr>
          <w:trHeight w:val="715" w:hRule="atLeast"/>
          <w:jc w:val="center"/>
        </w:trPr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54ABFC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0CD22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B5167B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9157EB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CCA6CC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</w:tr>
      <w:tr w14:paraId="3652F919">
        <w:trPr>
          <w:trHeight w:val="715" w:hRule="atLeast"/>
          <w:jc w:val="center"/>
        </w:trPr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4BFB6A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776C98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15FA5C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EE75FA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7AC4F1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</w:tr>
      <w:tr w14:paraId="46303679">
        <w:trPr>
          <w:trHeight w:val="715" w:hRule="atLeast"/>
          <w:jc w:val="center"/>
        </w:trPr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5F0E01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ADB8B6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262628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B7E27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1655C0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</w:tr>
      <w:tr w14:paraId="5B7BADB3">
        <w:trPr>
          <w:trHeight w:val="715" w:hRule="atLeast"/>
          <w:jc w:val="center"/>
        </w:trPr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1C6CB3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D76743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824D95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295B73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2B676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</w:tr>
      <w:tr w14:paraId="7145983E">
        <w:trPr>
          <w:trHeight w:val="715" w:hRule="atLeast"/>
          <w:jc w:val="center"/>
        </w:trPr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3ED333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69D7EC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color w:val="auto"/>
                <w:sz w:val="24"/>
                <w:szCs w:val="24"/>
                <w:shd w:val="clear" w:color="auto" w:fill="auto"/>
                <w:rtl w:val="0"/>
                <w:lang w:val="en-US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3F2E7C">
            <w:pPr>
              <w:pStyle w:val="10"/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rFonts w:hint="eastAsia"/>
                <w:b w:val="0"/>
                <w:bCs w:val="0"/>
                <w:lang w:val="en-US" w:eastAsia="zh-CN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DBA0C9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  <w:tc>
          <w:tcPr>
            <w:tcW w:w="2085" w:type="dxa"/>
            <w:tcBorders>
              <w:top w:val="single" w:color="777777" w:sz="8" w:space="0"/>
              <w:left w:val="single" w:color="777777" w:sz="8" w:space="0"/>
              <w:bottom w:val="single" w:color="777777" w:sz="8" w:space="0"/>
              <w:right w:val="single" w:color="777777" w:sz="8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D65610">
            <w:pPr>
              <w:keepNext w:val="0"/>
              <w:keepLines w:val="0"/>
              <w:pageBreakBefore w:val="0"/>
              <w:framePr w:wrap="auto" w:vAnchor="margin" w:hAnchor="text" w:yAlign="inline"/>
              <w:widowControl w:val="0"/>
              <w:kinsoku w:val="0"/>
              <w:wordWrap/>
              <w:overflowPunct w:val="0"/>
              <w:topLinePunct w:val="0"/>
              <w:autoSpaceDE w:val="0"/>
              <w:autoSpaceDN w:val="0"/>
              <w:bidi w:val="0"/>
              <w:adjustRightInd/>
              <w:snapToGrid/>
              <w:spacing w:before="0" w:after="0"/>
              <w:textAlignment w:val="auto"/>
              <w:rPr>
                <w:b w:val="0"/>
                <w:bCs w:val="0"/>
              </w:rPr>
            </w:pPr>
          </w:p>
        </w:tc>
      </w:tr>
    </w:tbl>
    <w:p w14:paraId="2258D581">
      <w:pPr>
        <w:pStyle w:val="14"/>
        <w:framePr w:wrap="auto" w:vAnchor="margin" w:hAnchor="text" w:yAlign="inline"/>
        <w:widowControl w:val="0"/>
        <w:rPr>
          <w:rFonts w:hint="eastAsia" w:ascii="宋体" w:hAnsi="宋体" w:eastAsia="宋体" w:cs="宋体"/>
          <w:color w:val="auto"/>
          <w:sz w:val="21"/>
          <w:szCs w:val="21"/>
        </w:rPr>
      </w:pPr>
    </w:p>
    <w:p w14:paraId="676F8597">
      <w:pPr>
        <w:pStyle w:val="9"/>
        <w:framePr w:wrap="auto" w:vAnchor="margin" w:hAnchor="text" w:yAlign="inline"/>
        <w:widowControl w:val="0"/>
        <w:spacing w:line="240" w:lineRule="auto"/>
        <w:ind w:left="108" w:hanging="108"/>
        <w:jc w:val="center"/>
      </w:pPr>
    </w:p>
    <w:p w14:paraId="74521F0E">
      <w:pPr>
        <w:pStyle w:val="9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</w:p>
    <w:p w14:paraId="23936FD5">
      <w:pPr>
        <w:pStyle w:val="9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sz w:val="28"/>
          <w:szCs w:val="28"/>
          <w:rtl w:val="0"/>
          <w:lang w:val="ru-RU"/>
        </w:rPr>
      </w:pPr>
    </w:p>
    <w:p w14:paraId="123A8A86">
      <w:pPr>
        <w:pStyle w:val="9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sz w:val="28"/>
          <w:szCs w:val="28"/>
          <w:rtl w:val="0"/>
          <w:lang w:val="ru-RU"/>
        </w:rPr>
      </w:pPr>
    </w:p>
    <w:p w14:paraId="038FB6B3">
      <w:pPr>
        <w:pStyle w:val="9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8"/>
          <w:szCs w:val="28"/>
          <w:rtl w:val="0"/>
          <w:lang w:val="ru-RU"/>
        </w:rPr>
        <w:t xml:space="preserve">1 </w:t>
      </w:r>
      <w:r>
        <w:rPr>
          <w:rFonts w:hint="eastAsia" w:ascii="宋体" w:hAnsi="宋体" w:eastAsia="宋体" w:cs="宋体"/>
          <w:sz w:val="28"/>
          <w:szCs w:val="28"/>
          <w:rtl w:val="0"/>
          <w:lang w:val="en-US"/>
        </w:rPr>
        <w:t>目的</w:t>
      </w:r>
    </w:p>
    <w:p w14:paraId="000C144E">
      <w:pPr>
        <w:pStyle w:val="9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 xml:space="preserve">规范金属材料维氏硬度试验操作流程，确保设备校准、样品表面状态、试验力和保荷时间设置、压痕测量、数据计算、报告导出和原始记录归档全过程受控，保证检测数据真实、准确、完整、可追溯，满足 GB/T </w:t>
      </w:r>
      <w:r>
        <w:rPr>
          <w:rFonts w:hint="eastAsia" w:ascii="宋体" w:hAnsi="宋体" w:eastAsia="宋体" w:cs="宋体"/>
          <w:rtl w:val="0"/>
          <w:lang w:val="en-US" w:eastAsia="zh-CN"/>
        </w:rPr>
        <w:t>4340.1-2024</w:t>
      </w:r>
      <w:r>
        <w:rPr>
          <w:rFonts w:hint="eastAsia" w:ascii="宋体" w:hAnsi="宋体" w:eastAsia="宋体" w:cs="宋体"/>
          <w:rtl w:val="0"/>
          <w:lang w:val="en-US"/>
        </w:rPr>
        <w:t xml:space="preserve"> 及实验室质量管理要求。</w:t>
      </w:r>
    </w:p>
    <w:p w14:paraId="67E55124">
      <w:pPr>
        <w:pStyle w:val="9"/>
        <w:keepNext w:val="0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8"/>
          <w:szCs w:val="28"/>
          <w:rtl w:val="0"/>
          <w:lang w:val="en-US"/>
        </w:rPr>
        <w:t>2 适用范围</w:t>
      </w:r>
    </w:p>
    <w:p w14:paraId="3F139889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本</w:t>
      </w:r>
      <w:r>
        <w:rPr>
          <w:rFonts w:hint="eastAsia" w:ascii="宋体" w:hAnsi="宋体" w:eastAsia="宋体" w:cs="宋体"/>
          <w:rtl w:val="0"/>
          <w:lang w:val="en-US" w:eastAsia="zh-CN"/>
        </w:rPr>
        <w:t>文件</w:t>
      </w:r>
      <w:r>
        <w:rPr>
          <w:rFonts w:hint="eastAsia" w:ascii="宋体" w:hAnsi="宋体" w:eastAsia="宋体" w:cs="宋体"/>
          <w:rtl w:val="0"/>
          <w:lang w:val="en-US"/>
        </w:rPr>
        <w:t>适用于本实验室采用维氏硬度计，对金属材料样品或增材制造金属试样进行维氏硬度 HV10 检测。推荐试验条件为试验力 98.07 N，保荷时间 15 s。若客户协议、产品标准或检测方案另有规定，应在原始记录和报告中明确。</w:t>
      </w:r>
    </w:p>
    <w:p w14:paraId="2D9EEBBE">
      <w:pPr>
        <w:pStyle w:val="9"/>
        <w:keepNext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8"/>
          <w:szCs w:val="28"/>
          <w:rtl w:val="0"/>
          <w:lang w:val="en-US"/>
        </w:rPr>
        <w:t>3 依据文件</w:t>
      </w:r>
    </w:p>
    <w:p w14:paraId="0B3D4ECE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 xml:space="preserve">1）GB/T </w:t>
      </w:r>
      <w:r>
        <w:rPr>
          <w:rFonts w:hint="eastAsia" w:ascii="宋体" w:hAnsi="宋体" w:eastAsia="宋体" w:cs="宋体"/>
          <w:rtl w:val="0"/>
          <w:lang w:val="en-US" w:eastAsia="zh-CN"/>
        </w:rPr>
        <w:t>4340.1-2024</w:t>
      </w:r>
      <w:r>
        <w:rPr>
          <w:rFonts w:hint="eastAsia" w:ascii="宋体" w:hAnsi="宋体" w:eastAsia="宋体" w:cs="宋体"/>
          <w:rtl w:val="0"/>
          <w:lang w:val="en-US"/>
        </w:rPr>
        <w:t>《金属材料 维氏硬度试验 第1部分：试验方法》；</w:t>
      </w:r>
    </w:p>
    <w:p w14:paraId="33D29F51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2）GB/T 4340.2《金属维氏硬度试验 第2部分：硬度计的检验》；</w:t>
      </w:r>
    </w:p>
    <w:p w14:paraId="313363F9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3）GB/T 4340.3《金属维氏硬度试验 第3部分：标准硬度块的标定》；</w:t>
      </w:r>
    </w:p>
    <w:p w14:paraId="2FC52FB5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4）维氏硬度计及测量软件使用说明书；</w:t>
      </w:r>
    </w:p>
    <w:p w14:paraId="60040F6B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5）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实验室质量手册、程序文件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 w:eastAsia="zh-CN"/>
        </w:rPr>
        <w:t>的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要求</w:t>
      </w:r>
      <w:r>
        <w:rPr>
          <w:rFonts w:hint="eastAsia" w:ascii="宋体" w:hAnsi="宋体" w:eastAsia="宋体" w:cs="宋体"/>
          <w:rtl w:val="0"/>
          <w:lang w:val="en-US"/>
        </w:rPr>
        <w:t>。</w:t>
      </w:r>
    </w:p>
    <w:p w14:paraId="7364D5A3">
      <w:pPr>
        <w:pStyle w:val="9"/>
        <w:keepNext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8"/>
          <w:szCs w:val="28"/>
          <w:rtl w:val="0"/>
          <w:lang w:val="en-US"/>
        </w:rPr>
        <w:t>4 术语、符号和试验原理</w:t>
      </w:r>
    </w:p>
    <w:p w14:paraId="45860EAF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4.1 维氏硬度：用具有正方形基面的金刚石正四棱锥压头，在规定试验力作用下压入试样表面，保持规定时间后卸除试验力，测量压痕两条对角线长度，并按压痕表面积计算硬度值。</w:t>
      </w:r>
    </w:p>
    <w:p w14:paraId="1C50F95A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4.2 HV10：维氏硬度符号，表示试验力为 98.07 N（10 kgf）的维氏硬度试验。</w:t>
      </w:r>
    </w:p>
    <w:p w14:paraId="1FA3555A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 xml:space="preserve">4.3 d：压痕两条对角线长度 </w:t>
      </w:r>
      <w:r>
        <w:rPr>
          <w:rFonts w:hint="eastAsia" w:ascii="宋体" w:hAnsi="宋体" w:eastAsia="宋体" w:cs="宋体"/>
          <w:rtl w:val="0"/>
          <w:lang w:val="ru-RU"/>
        </w:rPr>
        <w:t xml:space="preserve">d1 </w:t>
      </w:r>
      <w:r>
        <w:rPr>
          <w:rFonts w:hint="eastAsia" w:ascii="宋体" w:hAnsi="宋体" w:eastAsia="宋体" w:cs="宋体"/>
          <w:rtl w:val="0"/>
          <w:lang w:val="en-US"/>
        </w:rPr>
        <w:t>和 d2 的算术平均值，单位为 mm。</w:t>
      </w:r>
    </w:p>
    <w:p w14:paraId="005C2083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4.4 HV 计算公式：HV = 0.1891 × F / d²。其中 F 为试验力（N），d 为压痕两条对角线平均值（mm）。采用软件自动计算时，应核对软件报告与试验设置一致。</w:t>
      </w:r>
    </w:p>
    <w:p w14:paraId="074473DE">
      <w:pPr>
        <w:pStyle w:val="9"/>
        <w:keepNext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8"/>
          <w:szCs w:val="28"/>
          <w:rtl w:val="0"/>
          <w:lang w:val="en-US"/>
        </w:rPr>
        <w:t>5 职责</w:t>
      </w:r>
    </w:p>
    <w:p w14:paraId="264EE1F9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检测人员：负责设备开机、校准核查、样品检查、试验实施、数据记录、报告导出、设备清洁和异常报告。</w:t>
      </w:r>
    </w:p>
    <w:p w14:paraId="73C12A21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 w:eastAsia="zh-CN"/>
        </w:rPr>
        <w:t>核验人员</w:t>
      </w:r>
      <w:r>
        <w:rPr>
          <w:rFonts w:hint="eastAsia" w:ascii="宋体" w:hAnsi="宋体" w:eastAsia="宋体" w:cs="宋体"/>
          <w:rtl w:val="0"/>
          <w:lang w:val="en-US"/>
        </w:rPr>
        <w:t>：负责复核样品编号、标准硬度块校准记录、试验参数、原始硬度值、平均值、报告内容和归档</w:t>
      </w:r>
      <w:r>
        <w:rPr>
          <w:rFonts w:hint="eastAsia" w:ascii="宋体" w:hAnsi="宋体" w:eastAsia="宋体" w:cs="宋体"/>
          <w:rtl w:val="0"/>
          <w:lang w:val="en-US" w:eastAsia="zh-CN"/>
        </w:rPr>
        <w:t>的</w:t>
      </w:r>
      <w:r>
        <w:rPr>
          <w:rFonts w:hint="eastAsia" w:ascii="宋体" w:hAnsi="宋体" w:eastAsia="宋体" w:cs="宋体"/>
          <w:rtl w:val="0"/>
          <w:lang w:val="en-US"/>
        </w:rPr>
        <w:t>完整性。</w:t>
      </w:r>
    </w:p>
    <w:p w14:paraId="525EEC75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设备管理员：负责硬度计、标准硬度块、测量镜头和软件的校准、维护、期间核查和故障处理。</w:t>
      </w:r>
    </w:p>
    <w:p w14:paraId="3C240436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技术负责人：负责方法适用性</w:t>
      </w:r>
      <w:r>
        <w:rPr>
          <w:rFonts w:hint="eastAsia" w:ascii="宋体" w:hAnsi="宋体" w:eastAsia="宋体" w:cs="宋体"/>
          <w:rtl w:val="0"/>
          <w:lang w:val="en-US" w:eastAsia="zh-CN"/>
        </w:rPr>
        <w:t>验证</w:t>
      </w:r>
      <w:r>
        <w:rPr>
          <w:rFonts w:hint="eastAsia" w:ascii="宋体" w:hAnsi="宋体" w:eastAsia="宋体" w:cs="宋体"/>
          <w:rtl w:val="0"/>
          <w:lang w:val="en-US"/>
        </w:rPr>
        <w:t>、偏离评估、异常结果技术处理和</w:t>
      </w:r>
      <w:r>
        <w:rPr>
          <w:rFonts w:hint="eastAsia" w:ascii="宋体" w:hAnsi="宋体" w:eastAsia="宋体" w:cs="宋体"/>
          <w:rtl w:val="0"/>
          <w:lang w:val="en-US" w:eastAsia="zh-CN"/>
        </w:rPr>
        <w:t>本文件的</w:t>
      </w:r>
      <w:r>
        <w:rPr>
          <w:rFonts w:hint="eastAsia" w:ascii="宋体" w:hAnsi="宋体" w:eastAsia="宋体" w:cs="宋体"/>
          <w:rtl w:val="0"/>
          <w:lang w:val="en-US"/>
        </w:rPr>
        <w:t>技术变更审核。</w:t>
      </w:r>
    </w:p>
    <w:p w14:paraId="4B4A6769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质量负责人：负责监督检测活动符合</w:t>
      </w:r>
      <w:r>
        <w:rPr>
          <w:rFonts w:hint="eastAsia" w:ascii="宋体" w:hAnsi="宋体" w:eastAsia="宋体" w:cs="宋体"/>
          <w:rtl w:val="0"/>
          <w:lang w:val="en-US" w:eastAsia="zh-CN"/>
        </w:rPr>
        <w:t>实验室</w:t>
      </w:r>
      <w:r>
        <w:rPr>
          <w:rFonts w:hint="eastAsia" w:ascii="宋体" w:hAnsi="宋体" w:eastAsia="宋体" w:cs="宋体"/>
          <w:rtl w:val="0"/>
          <w:lang w:val="en-US"/>
        </w:rPr>
        <w:t>质量管理要求，组织记录审查和不符合工作处理。</w:t>
      </w:r>
    </w:p>
    <w:p w14:paraId="0E27CB30">
      <w:pPr>
        <w:pStyle w:val="9"/>
        <w:keepNext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8"/>
          <w:szCs w:val="28"/>
          <w:rtl w:val="0"/>
          <w:lang w:val="en-US"/>
        </w:rPr>
        <w:t>6 环境与安全要求</w:t>
      </w:r>
    </w:p>
    <w:tbl>
      <w:tblPr>
        <w:tblStyle w:val="5"/>
        <w:tblW w:w="10425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1"/>
        <w:gridCol w:w="7153"/>
        <w:gridCol w:w="2091"/>
      </w:tblGrid>
      <w:tr w14:paraId="3BB42EA8">
        <w:trPr>
          <w:trHeight w:val="200" w:hRule="atLeast"/>
          <w:jc w:val="center"/>
        </w:trPr>
        <w:tc>
          <w:tcPr>
            <w:tcW w:w="1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2B83D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  <w:t>项目</w:t>
            </w:r>
          </w:p>
        </w:tc>
        <w:tc>
          <w:tcPr>
            <w:tcW w:w="7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624A8B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  <w:t>要求</w:t>
            </w:r>
          </w:p>
        </w:tc>
        <w:tc>
          <w:tcPr>
            <w:tcW w:w="2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B38D0B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  <w:t>记录要求</w:t>
            </w:r>
          </w:p>
        </w:tc>
      </w:tr>
      <w:tr w14:paraId="13BE4082">
        <w:trPr>
          <w:trHeight w:val="234" w:hRule="atLeast"/>
          <w:jc w:val="center"/>
        </w:trPr>
        <w:tc>
          <w:tcPr>
            <w:tcW w:w="1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92B26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zh-CN" w:eastAsia="zh-CN"/>
              </w:rPr>
              <w:t>环境温度</w:t>
            </w:r>
          </w:p>
        </w:tc>
        <w:tc>
          <w:tcPr>
            <w:tcW w:w="7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FD45ED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zh-CN" w:eastAsia="zh-CN"/>
              </w:rPr>
              <w:t xml:space="preserve">试验一般在 </w:t>
            </w: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>10 ℃</w:t>
            </w: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</w:rPr>
              <w:t>～</w:t>
            </w: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>35 ℃</w:t>
            </w: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zh-CN" w:eastAsia="zh-CN"/>
              </w:rPr>
              <w:t xml:space="preserve">室温下进行；对温度要求严格的试验，建议控制在 </w:t>
            </w: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/>
              </w:rPr>
              <w:t>23 ℃±5 ℃</w:t>
            </w: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</w:rPr>
              <w:t>。</w:t>
            </w:r>
          </w:p>
        </w:tc>
        <w:tc>
          <w:tcPr>
            <w:tcW w:w="2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3E76EF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zh-CN" w:eastAsia="zh-CN"/>
              </w:rPr>
              <w:t>记录实际温度和湿度。</w:t>
            </w:r>
          </w:p>
        </w:tc>
      </w:tr>
      <w:tr w14:paraId="6DFBBD68">
        <w:trPr>
          <w:trHeight w:val="271" w:hRule="atLeast"/>
          <w:jc w:val="center"/>
        </w:trPr>
        <w:tc>
          <w:tcPr>
            <w:tcW w:w="1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18FC33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zh-CN" w:eastAsia="zh-CN"/>
              </w:rPr>
              <w:t>试验区域</w:t>
            </w:r>
          </w:p>
        </w:tc>
        <w:tc>
          <w:tcPr>
            <w:tcW w:w="7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43778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zh-CN" w:eastAsia="zh-CN"/>
              </w:rPr>
              <w:t>台面清洁、稳定，无明显振动、冲击、强气流和粉尘。</w:t>
            </w:r>
          </w:p>
        </w:tc>
        <w:tc>
          <w:tcPr>
            <w:tcW w:w="2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419931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zh-CN" w:eastAsia="zh-CN"/>
              </w:rPr>
              <w:t>试验前确认。</w:t>
            </w:r>
          </w:p>
        </w:tc>
      </w:tr>
      <w:tr w14:paraId="07B39D00">
        <w:trPr>
          <w:trHeight w:val="202" w:hRule="atLeast"/>
          <w:jc w:val="center"/>
        </w:trPr>
        <w:tc>
          <w:tcPr>
            <w:tcW w:w="1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B9978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zh-CN" w:eastAsia="zh-CN"/>
              </w:rPr>
              <w:t>样品安全</w:t>
            </w:r>
          </w:p>
        </w:tc>
        <w:tc>
          <w:tcPr>
            <w:tcW w:w="7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4FBA8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zh-CN" w:eastAsia="zh-CN"/>
              </w:rPr>
              <w:t>样品</w:t>
            </w: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en-US" w:eastAsia="zh-CN"/>
              </w:rPr>
              <w:t>放置平稳</w:t>
            </w: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zh-CN" w:eastAsia="zh-CN"/>
              </w:rPr>
              <w:t>，试验过程中不得移位；测试面应与压头轴线垂直。</w:t>
            </w:r>
          </w:p>
        </w:tc>
        <w:tc>
          <w:tcPr>
            <w:tcW w:w="2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A3CB8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zh-CN" w:eastAsia="zh-CN"/>
              </w:rPr>
              <w:t>记录装夹状态。</w:t>
            </w:r>
          </w:p>
        </w:tc>
      </w:tr>
      <w:tr w14:paraId="640343B3">
        <w:trPr>
          <w:trHeight w:val="258" w:hRule="atLeast"/>
          <w:jc w:val="center"/>
        </w:trPr>
        <w:tc>
          <w:tcPr>
            <w:tcW w:w="11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A33C2F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zh-CN" w:eastAsia="zh-CN"/>
              </w:rPr>
              <w:t>人员安全</w:t>
            </w:r>
          </w:p>
        </w:tc>
        <w:tc>
          <w:tcPr>
            <w:tcW w:w="7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F5CD8A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zh-CN" w:eastAsia="zh-CN"/>
              </w:rPr>
              <w:t>操作中不得将手置于压头运动区域；设备异常、异响或软件报警时立即停机。</w:t>
            </w:r>
          </w:p>
        </w:tc>
        <w:tc>
          <w:tcPr>
            <w:tcW w:w="20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B49603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17"/>
                <w:szCs w:val="17"/>
                <w:shd w:val="clear" w:color="auto" w:fill="auto"/>
                <w:rtl w:val="0"/>
                <w:lang w:val="zh-CN" w:eastAsia="zh-CN"/>
              </w:rPr>
              <w:t>记录异常和处理。</w:t>
            </w:r>
          </w:p>
        </w:tc>
      </w:tr>
    </w:tbl>
    <w:p w14:paraId="02585164">
      <w:pPr>
        <w:pStyle w:val="9"/>
        <w:keepNext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8"/>
          <w:szCs w:val="28"/>
          <w:rtl w:val="0"/>
          <w:lang w:val="ru-RU"/>
        </w:rPr>
        <w:t xml:space="preserve">7 </w:t>
      </w:r>
      <w:r>
        <w:rPr>
          <w:rFonts w:hint="eastAsia" w:ascii="宋体" w:hAnsi="宋体" w:eastAsia="宋体" w:cs="宋体"/>
          <w:sz w:val="28"/>
          <w:szCs w:val="28"/>
          <w:rtl w:val="0"/>
          <w:lang w:val="en-US"/>
        </w:rPr>
        <w:t>设备、器具与材料</w:t>
      </w:r>
    </w:p>
    <w:tbl>
      <w:tblPr>
        <w:tblStyle w:val="5"/>
        <w:tblW w:w="1042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7"/>
        <w:gridCol w:w="2342"/>
        <w:gridCol w:w="5261"/>
        <w:gridCol w:w="2264"/>
      </w:tblGrid>
      <w:tr w14:paraId="3375D334">
        <w:trPr>
          <w:trHeight w:val="180" w:hRule="atLeast"/>
          <w:jc w:val="center"/>
        </w:trPr>
        <w:tc>
          <w:tcPr>
            <w:tcW w:w="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B18ED8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ja-JP" w:eastAsia="ja-JP"/>
              </w:rPr>
              <w:t>序号</w:t>
            </w:r>
          </w:p>
        </w:tc>
        <w:tc>
          <w:tcPr>
            <w:tcW w:w="2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B5E68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ja-JP" w:eastAsia="ja-JP"/>
              </w:rPr>
              <w:t>名称</w:t>
            </w:r>
          </w:p>
        </w:tc>
        <w:tc>
          <w:tcPr>
            <w:tcW w:w="5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ECEF9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  <w:t>技术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  <w:t>管理要求</w:t>
            </w:r>
          </w:p>
        </w:tc>
        <w:tc>
          <w:tcPr>
            <w:tcW w:w="2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933B9B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</w:rPr>
              <w:t>用途</w:t>
            </w:r>
          </w:p>
        </w:tc>
      </w:tr>
      <w:tr w14:paraId="473D79EB">
        <w:trPr>
          <w:trHeight w:val="443" w:hRule="atLeast"/>
          <w:jc w:val="center"/>
        </w:trPr>
        <w:tc>
          <w:tcPr>
            <w:tcW w:w="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667B71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1</w:t>
            </w:r>
          </w:p>
        </w:tc>
        <w:tc>
          <w:tcPr>
            <w:tcW w:w="2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67DAF6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  <w:t>维氏硬度计</w:t>
            </w:r>
          </w:p>
        </w:tc>
        <w:tc>
          <w:tcPr>
            <w:tcW w:w="5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01E0E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  <w:t>处于校准有效期内，试验力、压头、光学测量系统和软件功能正常。</w:t>
            </w:r>
          </w:p>
        </w:tc>
        <w:tc>
          <w:tcPr>
            <w:tcW w:w="2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3192F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  <w:t>施加载荷、形成并测量压痕</w:t>
            </w:r>
          </w:p>
        </w:tc>
      </w:tr>
      <w:tr w14:paraId="4BE5E08A">
        <w:trPr>
          <w:trHeight w:val="213" w:hRule="atLeast"/>
          <w:jc w:val="center"/>
        </w:trPr>
        <w:tc>
          <w:tcPr>
            <w:tcW w:w="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D67552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2</w:t>
            </w:r>
          </w:p>
        </w:tc>
        <w:tc>
          <w:tcPr>
            <w:tcW w:w="2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D6D899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  <w:t>金刚石正四棱锥压头</w:t>
            </w:r>
          </w:p>
        </w:tc>
        <w:tc>
          <w:tcPr>
            <w:tcW w:w="5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E5AD07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  <w:t>符合维氏硬度计要求，表面完好，无破损或污染。</w:t>
            </w:r>
          </w:p>
        </w:tc>
        <w:tc>
          <w:tcPr>
            <w:tcW w:w="2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A1E09F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  <w:t>形成维氏压痕</w:t>
            </w:r>
          </w:p>
        </w:tc>
      </w:tr>
      <w:tr w14:paraId="21A8E666">
        <w:trPr>
          <w:trHeight w:val="247" w:hRule="atLeast"/>
          <w:jc w:val="center"/>
        </w:trPr>
        <w:tc>
          <w:tcPr>
            <w:tcW w:w="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D826E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3</w:t>
            </w:r>
          </w:p>
        </w:tc>
        <w:tc>
          <w:tcPr>
            <w:tcW w:w="2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A3F541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  <w:t>标准硬度块</w:t>
            </w:r>
          </w:p>
        </w:tc>
        <w:tc>
          <w:tcPr>
            <w:tcW w:w="5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085ED2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  <w:t>在有效期内，硬度水平覆盖或接近试验范围；使用前完成核查。</w:t>
            </w:r>
          </w:p>
        </w:tc>
        <w:tc>
          <w:tcPr>
            <w:tcW w:w="2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EA6057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  <w:t>设备校准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  <w:t>核查</w:t>
            </w:r>
          </w:p>
        </w:tc>
      </w:tr>
      <w:tr w14:paraId="2FB01A86">
        <w:trPr>
          <w:trHeight w:val="454" w:hRule="atLeast"/>
          <w:jc w:val="center"/>
        </w:trPr>
        <w:tc>
          <w:tcPr>
            <w:tcW w:w="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CA7695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4</w:t>
            </w:r>
          </w:p>
        </w:tc>
        <w:tc>
          <w:tcPr>
            <w:tcW w:w="2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03EC6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  <w:t>控制电脑及测量软件</w:t>
            </w:r>
          </w:p>
        </w:tc>
        <w:tc>
          <w:tcPr>
            <w:tcW w:w="5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0562B2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  <w:t>软件运行正常，可设置试验力、保荷时间，自动测量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  <w:t>计算并导出报告。</w:t>
            </w:r>
          </w:p>
        </w:tc>
        <w:tc>
          <w:tcPr>
            <w:tcW w:w="2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3C35DF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  <w:t>参数设置、压痕测量、报告导出</w:t>
            </w:r>
          </w:p>
        </w:tc>
      </w:tr>
      <w:tr w14:paraId="577400B5">
        <w:trPr>
          <w:trHeight w:val="273" w:hRule="atLeast"/>
          <w:jc w:val="center"/>
        </w:trPr>
        <w:tc>
          <w:tcPr>
            <w:tcW w:w="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866EF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5</w:t>
            </w:r>
          </w:p>
        </w:tc>
        <w:tc>
          <w:tcPr>
            <w:tcW w:w="2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7C59A7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  <w:t>粗糙度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 w:eastAsia="zh-CN"/>
              </w:rPr>
              <w:t>仪</w:t>
            </w:r>
          </w:p>
        </w:tc>
        <w:tc>
          <w:tcPr>
            <w:tcW w:w="5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1E81E0">
            <w:pPr>
              <w:pStyle w:val="1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rtl w:val="0"/>
                <w:lang w:val="zh-CN" w:eastAsia="zh-CN"/>
              </w:rPr>
              <w:t>必要时用于确认待测面表面粗糙度，推荐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rtl w:val="0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rtl w:val="0"/>
                <w:lang w:val="en-US"/>
              </w:rPr>
              <w:t>Ra≤0.3 μm</w:t>
            </w:r>
            <w:r>
              <w:rPr>
                <w:rFonts w:hint="eastAsia" w:ascii="宋体" w:hAnsi="宋体" w:eastAsia="宋体" w:cs="宋体"/>
                <w:sz w:val="18"/>
                <w:szCs w:val="18"/>
                <w:rtl w:val="0"/>
              </w:rPr>
              <w:t>。</w:t>
            </w:r>
          </w:p>
        </w:tc>
        <w:tc>
          <w:tcPr>
            <w:tcW w:w="2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01FC05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  <w:t>样品状态确认</w:t>
            </w:r>
          </w:p>
        </w:tc>
      </w:tr>
      <w:tr w14:paraId="31A5C24D">
        <w:trPr>
          <w:trHeight w:val="282" w:hRule="atLeast"/>
          <w:jc w:val="center"/>
        </w:trPr>
        <w:tc>
          <w:tcPr>
            <w:tcW w:w="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D2EB84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6</w:t>
            </w:r>
          </w:p>
        </w:tc>
        <w:tc>
          <w:tcPr>
            <w:tcW w:w="2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B62DA8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  <w:t>样品夹具或工作台</w:t>
            </w:r>
          </w:p>
        </w:tc>
        <w:tc>
          <w:tcPr>
            <w:tcW w:w="5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B6994D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  <w:t>能够稳定固定样品，并保证测试面与压头轴线垂直。</w:t>
            </w:r>
          </w:p>
        </w:tc>
        <w:tc>
          <w:tcPr>
            <w:tcW w:w="2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CAF229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  <w:t>样品装夹</w:t>
            </w:r>
          </w:p>
        </w:tc>
      </w:tr>
      <w:tr w14:paraId="599C5A92">
        <w:trPr>
          <w:trHeight w:val="180" w:hRule="atLeast"/>
          <w:jc w:val="center"/>
        </w:trPr>
        <w:tc>
          <w:tcPr>
            <w:tcW w:w="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20AEB5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7</w:t>
            </w:r>
          </w:p>
        </w:tc>
        <w:tc>
          <w:tcPr>
            <w:tcW w:w="2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FAFCFF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  <w:t>无尘布、清洁工具</w:t>
            </w:r>
          </w:p>
        </w:tc>
        <w:tc>
          <w:tcPr>
            <w:tcW w:w="52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5D9D7F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  <w:t>洁净、无污染，不得划伤测试面。</w:t>
            </w:r>
          </w:p>
        </w:tc>
        <w:tc>
          <w:tcPr>
            <w:tcW w:w="22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DBA529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  <w:t>试验后清理</w:t>
            </w:r>
          </w:p>
        </w:tc>
      </w:tr>
    </w:tbl>
    <w:p w14:paraId="0823F6B4">
      <w:pPr>
        <w:pStyle w:val="9"/>
        <w:keepNext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8"/>
          <w:szCs w:val="28"/>
          <w:rtl w:val="0"/>
          <w:lang w:val="en-US"/>
        </w:rPr>
        <w:t>8 样品要求</w:t>
      </w:r>
    </w:p>
    <w:p w14:paraId="2B6E4D83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样品应有唯一编号，编号应与原始记录、软件报告、导出文件和最终报告保持一致。</w:t>
      </w:r>
    </w:p>
    <w:p w14:paraId="27EC6719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待测样品表面应平坦、光滑、清洁，无氧化皮、油污、灰尘、毛刺和影响压痕识别的缺陷。</w:t>
      </w:r>
    </w:p>
    <w:p w14:paraId="02441608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试验前应确认待测面平坦、光滑、清洁，无氧化皮、油污、灰尘、毛刺及影响压痕识别的缺陷。必要时采用粗糙度仪确认表面粗糙度，推荐</w:t>
      </w:r>
      <w:r>
        <w:rPr>
          <w:rFonts w:hint="default" w:ascii="Times New Roman" w:hAnsi="Times New Roman" w:eastAsia="宋体" w:cs="Times New Roman"/>
          <w:rtl w:val="0"/>
          <w:lang w:val="en-US"/>
        </w:rPr>
        <w:t xml:space="preserve"> Ra≤0.3 μm</w:t>
      </w:r>
      <w:r>
        <w:rPr>
          <w:rFonts w:hint="eastAsia" w:ascii="宋体" w:hAnsi="宋体" w:eastAsia="宋体" w:cs="宋体"/>
          <w:rtl w:val="0"/>
          <w:lang w:val="en-US"/>
        </w:rPr>
        <w:t>；若测试面存在明显加工纹、划痕、氧化皮或压痕边界无法清晰识别，应进行打磨/抛光处理后重新确认，并记录确认方式和结果。</w:t>
      </w:r>
    </w:p>
    <w:p w14:paraId="3F9C8A31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样品厚度应满足压痕测量需要，试验后背面不应出现可见变形压痕。</w:t>
      </w:r>
    </w:p>
    <w:p w14:paraId="5B3FE038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同一检测批次的样品制备状态、测试面、热处理状态及表面处理状态应记录清楚。</w:t>
      </w:r>
    </w:p>
    <w:p w14:paraId="746D2C3C">
      <w:pPr>
        <w:pStyle w:val="9"/>
        <w:keepNext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8"/>
          <w:szCs w:val="28"/>
          <w:rtl w:val="0"/>
          <w:lang w:val="en-US"/>
        </w:rPr>
        <w:t>9 操作步骤</w:t>
      </w:r>
    </w:p>
    <w:p w14:paraId="3648AB44">
      <w:pPr>
        <w:pStyle w:val="9"/>
        <w:keepNext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  <w:rtl w:val="0"/>
          <w:lang w:val="en-US"/>
        </w:rPr>
        <w:t>9.1 开机与软件启动</w:t>
      </w:r>
    </w:p>
    <w:p w14:paraId="06EDFB7E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1）开启维氏硬度计电源。</w:t>
      </w:r>
    </w:p>
    <w:p w14:paraId="71F0ADC9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2）打开配套电脑并启动测量软件。</w:t>
      </w:r>
    </w:p>
    <w:p w14:paraId="2CA2CB18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3）检查设备自检、压头、镜头、载物台移动、照明及软件通讯是否正常。</w:t>
      </w:r>
    </w:p>
    <w:p w14:paraId="2EF0ED93">
      <w:pPr>
        <w:pStyle w:val="9"/>
        <w:keepNext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  <w:rtl w:val="0"/>
          <w:lang w:val="en-US"/>
        </w:rPr>
        <w:t>9.2 设备校准/核查</w:t>
      </w:r>
    </w:p>
    <w:p w14:paraId="6A7109F9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1）选择与检测范围匹配的标准硬度块。</w:t>
      </w:r>
    </w:p>
    <w:p w14:paraId="2A1512A7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2）按照设备说明书完成标准硬度块校准或日常核查。</w:t>
      </w:r>
    </w:p>
    <w:p w14:paraId="698A1C18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3）记录标准硬度块编号、标称硬度值、实测值、允许误差和校准/核查结果。</w:t>
      </w:r>
    </w:p>
    <w:p w14:paraId="067E0369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4）校准或核查不合格时，不得开展正式检测，应通知设备管理员处理。</w:t>
      </w:r>
    </w:p>
    <w:p w14:paraId="3F85C1F1">
      <w:pPr>
        <w:pStyle w:val="9"/>
        <w:keepNext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  <w:rtl w:val="0"/>
          <w:lang w:val="en-US"/>
        </w:rPr>
        <w:t>9.3 样品表面检查与预处理</w:t>
      </w:r>
    </w:p>
    <w:p w14:paraId="3A7BADA9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1）试验前应确认待测面平坦、光滑、清洁，无氧化皮、油污、灰尘、毛刺及影响压痕识别的缺陷。</w:t>
      </w:r>
    </w:p>
    <w:p w14:paraId="60E6C9E4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2）必要时采用粗糙度仪确认表面粗糙度，推荐</w:t>
      </w:r>
      <w:r>
        <w:rPr>
          <w:rFonts w:hint="default" w:ascii="Times New Roman" w:hAnsi="Times New Roman" w:eastAsia="宋体" w:cs="Times New Roman"/>
          <w:rtl w:val="0"/>
          <w:lang w:val="en-US"/>
        </w:rPr>
        <w:t xml:space="preserve"> Ra≤0.3 μm</w:t>
      </w:r>
      <w:r>
        <w:rPr>
          <w:rFonts w:hint="eastAsia" w:ascii="宋体" w:hAnsi="宋体" w:eastAsia="宋体" w:cs="宋体"/>
          <w:rtl w:val="0"/>
          <w:lang w:val="en-US"/>
        </w:rPr>
        <w:t>。若测试面存在明显加工纹、划痕、氧化皮或压痕边界无法清晰识别</w:t>
      </w:r>
      <w:r>
        <w:rPr>
          <w:rFonts w:hint="eastAsia" w:ascii="宋体" w:hAnsi="宋体" w:eastAsia="宋体" w:cs="宋体"/>
          <w:rtl w:val="0"/>
          <w:lang w:val="en-US" w:eastAsia="zh-CN"/>
        </w:rPr>
        <w:t>的情况</w:t>
      </w:r>
      <w:r>
        <w:rPr>
          <w:rFonts w:hint="eastAsia" w:ascii="宋体" w:hAnsi="宋体" w:eastAsia="宋体" w:cs="宋体"/>
          <w:rtl w:val="0"/>
          <w:lang w:val="en-US"/>
        </w:rPr>
        <w:t>，应进行打磨/抛光处理后重新确认，并记录确认方式和结果；处理过程不得改变被测区域的代表性。</w:t>
      </w:r>
    </w:p>
    <w:p w14:paraId="20AD985C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3）清除表面粉尘、油污和残留物，确认测试面清洁。</w:t>
      </w:r>
    </w:p>
    <w:p w14:paraId="510D1C34">
      <w:pPr>
        <w:pStyle w:val="9"/>
        <w:keepNext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rtl w:val="0"/>
          <w:lang w:val="en-US"/>
        </w:rPr>
        <w:t>9.4 样品</w:t>
      </w:r>
      <w:r>
        <w:rPr>
          <w:rFonts w:hint="eastAsia" w:ascii="宋体" w:hAnsi="宋体" w:eastAsia="宋体" w:cs="宋体"/>
          <w:sz w:val="24"/>
          <w:szCs w:val="24"/>
          <w:rtl w:val="0"/>
          <w:lang w:val="en-US" w:eastAsia="zh-CN"/>
        </w:rPr>
        <w:t>放置</w:t>
      </w:r>
    </w:p>
    <w:p w14:paraId="7F185020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1）将样品</w:t>
      </w:r>
      <w:r>
        <w:rPr>
          <w:rFonts w:hint="eastAsia" w:ascii="宋体" w:hAnsi="宋体" w:eastAsia="宋体" w:cs="宋体"/>
          <w:rtl w:val="0"/>
          <w:lang w:val="en-US" w:eastAsia="zh-CN"/>
        </w:rPr>
        <w:t>平稳</w:t>
      </w:r>
      <w:r>
        <w:rPr>
          <w:rFonts w:hint="eastAsia" w:ascii="宋体" w:hAnsi="宋体" w:eastAsia="宋体" w:cs="宋体"/>
          <w:rtl w:val="0"/>
          <w:lang w:val="zh-CN" w:eastAsia="zh-CN"/>
        </w:rPr>
        <w:t>放置</w:t>
      </w:r>
      <w:r>
        <w:rPr>
          <w:rFonts w:hint="eastAsia" w:ascii="宋体" w:hAnsi="宋体" w:eastAsia="宋体" w:cs="宋体"/>
          <w:rtl w:val="0"/>
          <w:lang w:val="en-US"/>
        </w:rPr>
        <w:t>在工作台上。</w:t>
      </w:r>
    </w:p>
    <w:p w14:paraId="5EA6A71A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2）调整样品位置，保证测试面与压头轴线垂直。</w:t>
      </w:r>
    </w:p>
    <w:p w14:paraId="2FB0995D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3）用显微镜对焦检查测试面是否水平：把样品放好后，在测试面上选择中心、左侧、右侧、前侧、后侧几个位置分别调焦观察。如果几个位置都能在基本相同焦距下清晰成像，说明测试面基本水平；如果一侧清晰、另一侧明显虚焦，说明测试面有倾斜，需要重新镶嵌树脂试样座以保证水平。</w:t>
      </w:r>
    </w:p>
    <w:p w14:paraId="08F48040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4）确认样品在加载过程中不会移动、倾斜或振动。</w:t>
      </w:r>
    </w:p>
    <w:p w14:paraId="550D0583">
      <w:pPr>
        <w:pStyle w:val="9"/>
        <w:keepNext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  <w:rtl w:val="0"/>
          <w:lang w:val="en-US"/>
        </w:rPr>
        <w:t>9.5 参数设置</w:t>
      </w:r>
    </w:p>
    <w:p w14:paraId="694E15CE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1）在软件中设置试验力 98.07 N（HV10）。</w:t>
      </w:r>
    </w:p>
    <w:p w14:paraId="4D1413FB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2）设置保荷时间 15 s。</w:t>
      </w:r>
    </w:p>
    <w:p w14:paraId="0643E214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3）核对样品编号、测试面编号、试验力、保荷时间、硬度标尺和报告保存路径。</w:t>
      </w:r>
    </w:p>
    <w:p w14:paraId="0B3F065B">
      <w:pPr>
        <w:pStyle w:val="9"/>
        <w:keepNext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  <w:rtl w:val="0"/>
          <w:lang w:val="en-US"/>
        </w:rPr>
        <w:t>9.6 压痕测量</w:t>
      </w:r>
    </w:p>
    <w:p w14:paraId="079D074A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1）根据样品测试面选择合适测量镜头，调整焦距，使压痕和边界成像清晰。</w:t>
      </w:r>
    </w:p>
    <w:p w14:paraId="41026235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2）点击软件中的“切线测量”或等效功能，确认压痕两条对角线可准确识别。</w:t>
      </w:r>
    </w:p>
    <w:p w14:paraId="277FC6D2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 xml:space="preserve">3）点击 </w:t>
      </w:r>
      <w:r>
        <w:rPr>
          <w:rFonts w:hint="eastAsia" w:ascii="宋体" w:hAnsi="宋体" w:eastAsia="宋体" w:cs="宋体"/>
          <w:rtl w:val="0"/>
          <w:lang w:val="de-DE"/>
        </w:rPr>
        <w:t xml:space="preserve">Start </w:t>
      </w:r>
      <w:r>
        <w:rPr>
          <w:rFonts w:hint="eastAsia" w:ascii="宋体" w:hAnsi="宋体" w:eastAsia="宋体" w:cs="宋体"/>
          <w:rtl w:val="0"/>
          <w:lang w:val="en-US"/>
        </w:rPr>
        <w:t>开始测试。</w:t>
      </w:r>
    </w:p>
    <w:p w14:paraId="57189A78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4）在样品第一个测试面完成 3 个有效压痕测量。压痕应避开边缘、缺陷、旧压痕和受加工影响区域。</w:t>
      </w:r>
    </w:p>
    <w:p w14:paraId="48672BC4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5）切换至样品另一面，按相同条件完成 3 个有效压痕测量。</w:t>
      </w:r>
    </w:p>
    <w:p w14:paraId="660253C4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6）若压痕不清晰、样品移动、焦距异常或软件识别错误，应作废该点并重新测量，同时记录原因。</w:t>
      </w:r>
    </w:p>
    <w:p w14:paraId="5433EDDA">
      <w:pPr>
        <w:pStyle w:val="9"/>
        <w:keepNext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  <w:rtl w:val="0"/>
          <w:lang w:val="en-US"/>
        </w:rPr>
        <w:t>9.7 报告导出与设备关闭</w:t>
      </w:r>
    </w:p>
    <w:p w14:paraId="2AFF56C8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1）软件自动生成包含 6 个原始硬度值的报告并导出。</w:t>
      </w:r>
    </w:p>
    <w:p w14:paraId="38F9101E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2）计算每个测试面 3 个数据的平均值，并填写至原始记录。</w:t>
      </w:r>
    </w:p>
    <w:p w14:paraId="39ABC44C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3）核对原始数据、平均值、样品编号和文件名一致。</w:t>
      </w:r>
    </w:p>
    <w:p w14:paraId="6138955E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4）将原始数据、图片/截图和软件报告统一归档。</w:t>
      </w:r>
    </w:p>
    <w:p w14:paraId="56753665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5）先关闭测量软件，再关闭硬度计电源，最后清洁工作台。</w:t>
      </w:r>
    </w:p>
    <w:p w14:paraId="337D57F0">
      <w:pPr>
        <w:pStyle w:val="9"/>
        <w:keepNext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8"/>
          <w:szCs w:val="28"/>
          <w:rtl w:val="0"/>
          <w:lang w:val="en-US"/>
        </w:rPr>
        <w:t>10 数据处理与结果计算</w:t>
      </w:r>
    </w:p>
    <w:p w14:paraId="71AE07E8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每个样品应获得</w:t>
      </w:r>
      <w:r>
        <w:rPr>
          <w:rFonts w:hint="eastAsia" w:ascii="宋体" w:hAnsi="宋体" w:eastAsia="宋体" w:cs="宋体"/>
          <w:rtl w:val="0"/>
          <w:lang w:val="en-US" w:eastAsia="zh-CN"/>
        </w:rPr>
        <w:t>6</w:t>
      </w:r>
      <w:r>
        <w:rPr>
          <w:rFonts w:hint="eastAsia" w:ascii="宋体" w:hAnsi="宋体" w:eastAsia="宋体" w:cs="宋体"/>
          <w:rtl w:val="0"/>
          <w:lang w:val="en-US"/>
        </w:rPr>
        <w:t>个原始硬度值，其中测试面1为 3个压痕值，测试面2为 3个压痕值。</w:t>
      </w:r>
    </w:p>
    <w:p w14:paraId="6439EBCB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分别计算测试面</w:t>
      </w:r>
      <w:r>
        <w:rPr>
          <w:rFonts w:hint="eastAsia" w:ascii="宋体" w:hAnsi="宋体" w:eastAsia="宋体" w:cs="宋体"/>
          <w:rtl w:val="0"/>
          <w:lang w:val="en-US" w:eastAsia="zh-CN"/>
        </w:rPr>
        <w:t>1</w:t>
      </w:r>
      <w:r>
        <w:rPr>
          <w:rFonts w:hint="eastAsia" w:ascii="宋体" w:hAnsi="宋体" w:eastAsia="宋体" w:cs="宋体"/>
          <w:rtl w:val="0"/>
          <w:lang w:val="en-US"/>
        </w:rPr>
        <w:t>平均值、测试面2平均值。</w:t>
      </w:r>
    </w:p>
    <w:p w14:paraId="0C427B7D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软件自动计算硬度值，在原始记录中保留原始硬度值、压痕图像或报告文件；必要时保留 d1、d2 对角线数据。同一压痕两条对角线长度差异明显或压痕形貌异常时，应检查压痕识别、样品表面和装夹状态，必要时重新测试。</w:t>
      </w:r>
    </w:p>
    <w:p w14:paraId="6DE6B47B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如产品标准或委托协议规定判定限值，应按相应要求进行符合性判定；否则仅报告实测硬度值。</w:t>
      </w:r>
    </w:p>
    <w:p w14:paraId="3E77EFD3">
      <w:pPr>
        <w:pStyle w:val="9"/>
        <w:keepNext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8"/>
          <w:szCs w:val="28"/>
          <w:rtl w:val="0"/>
          <w:lang w:val="en-US"/>
        </w:rPr>
        <w:t>11 结果判定</w:t>
      </w:r>
    </w:p>
    <w:p w14:paraId="3D081D27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标准硬度块校准/核查合格、样品表面状态符合要求、试验参数设置正确、压痕有效且记录完整时，结果有效。</w:t>
      </w:r>
    </w:p>
    <w:p w14:paraId="7F7B1F64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判定依据可为产品标准、委托协议、注册技术要求、企业内控标准或客户确认的技术要求。</w:t>
      </w:r>
    </w:p>
    <w:p w14:paraId="2AE77996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若未提供合格判定限值，报告中仅给出维氏硬度实测结果和平均值，不作合格/不合格判定。</w:t>
      </w:r>
    </w:p>
    <w:p w14:paraId="50C8ADD3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若出现设备校准不合格、样品装夹失稳、压痕异常、数据缺失或记录无法追溯，应判定本次检测无效或进行复测/技术评审。</w:t>
      </w:r>
    </w:p>
    <w:p w14:paraId="26196B43">
      <w:pPr>
        <w:pStyle w:val="9"/>
        <w:keepNext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8"/>
          <w:szCs w:val="28"/>
          <w:rtl w:val="0"/>
          <w:lang w:val="en-US"/>
        </w:rPr>
        <w:t>12 质量控制要求</w:t>
      </w:r>
    </w:p>
    <w:tbl>
      <w:tblPr>
        <w:tblStyle w:val="5"/>
        <w:tblW w:w="10424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auto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0"/>
        <w:gridCol w:w="1442"/>
        <w:gridCol w:w="5646"/>
        <w:gridCol w:w="2606"/>
      </w:tblGrid>
      <w:tr w14:paraId="1E020D03">
        <w:trPr>
          <w:trHeight w:val="180" w:hRule="atLeast"/>
          <w:jc w:val="center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20B98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ja-JP" w:eastAsia="ja-JP"/>
              </w:rPr>
              <w:t>序号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8E211A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  <w:t>控制项目</w:t>
            </w:r>
          </w:p>
        </w:tc>
        <w:tc>
          <w:tcPr>
            <w:tcW w:w="5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CBD47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  <w:t>控制要求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AED56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  <w:t>记录要求</w:t>
            </w:r>
          </w:p>
        </w:tc>
      </w:tr>
      <w:tr w14:paraId="61474E98">
        <w:trPr>
          <w:trHeight w:val="234" w:hRule="atLeast"/>
          <w:jc w:val="center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ADDB56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1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5AEBD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  <w:t>人员资格</w:t>
            </w:r>
          </w:p>
        </w:tc>
        <w:tc>
          <w:tcPr>
            <w:tcW w:w="5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C6D52E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  <w:t xml:space="preserve">检测人员应经过 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GB/T 4340.1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  <w:t>、设备操作和记录要求培训授权。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FF9490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  <w:t>培训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/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  <w:t>授权记录</w:t>
            </w:r>
          </w:p>
        </w:tc>
      </w:tr>
      <w:tr w14:paraId="386C4D90">
        <w:trPr>
          <w:trHeight w:val="90" w:hRule="atLeast"/>
          <w:jc w:val="center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573067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2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CE129D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  <w:t>设备状态</w:t>
            </w:r>
          </w:p>
        </w:tc>
        <w:tc>
          <w:tcPr>
            <w:tcW w:w="5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53BA9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  <w:t>硬度计、压头、测量系统和软件应处于正常状态且校准有效。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619D9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  <w:t>设备编号及校准有效期</w:t>
            </w:r>
          </w:p>
        </w:tc>
      </w:tr>
      <w:tr w14:paraId="3B57FD16">
        <w:trPr>
          <w:trHeight w:val="259" w:hRule="atLeast"/>
          <w:jc w:val="center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70FAE0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3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CA345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  <w:t>标准硬度块</w:t>
            </w:r>
          </w:p>
        </w:tc>
        <w:tc>
          <w:tcPr>
            <w:tcW w:w="5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A16221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  <w:t>每次检测前使用标准硬度块完成设备校准或核查。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C1A27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  <w:t>标准块编号、标称值、实测值</w:t>
            </w:r>
          </w:p>
        </w:tc>
      </w:tr>
      <w:tr w14:paraId="7F49A1AA">
        <w:trPr>
          <w:trHeight w:val="236" w:hRule="atLeast"/>
          <w:jc w:val="center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3E3643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4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3AA4D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  <w:t>试验参数</w:t>
            </w:r>
          </w:p>
        </w:tc>
        <w:tc>
          <w:tcPr>
            <w:tcW w:w="5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2026BF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  <w:t xml:space="preserve">试验力 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98.07 N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  <w:t xml:space="preserve">，保荷时间 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15 s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  <w:t>；如调整须记录依据。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4DFEDF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  <w:t>软件设置截图或记录</w:t>
            </w:r>
          </w:p>
        </w:tc>
      </w:tr>
      <w:tr w14:paraId="377776E0">
        <w:trPr>
          <w:trHeight w:val="412" w:hRule="atLeast"/>
          <w:jc w:val="center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77B6BF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5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F6B5B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  <w:t>样品状态</w:t>
            </w:r>
          </w:p>
        </w:tc>
        <w:tc>
          <w:tcPr>
            <w:tcW w:w="5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EB279">
            <w:pPr>
              <w:pStyle w:val="1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  <w:t>待测面平坦、光滑、清洁；必要时采用粗糙度仪确认，推荐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shd w:val="clear" w:color="auto" w:fill="auto"/>
                <w:rtl w:val="0"/>
                <w:lang w:val="zh-CN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shd w:val="clear" w:color="auto" w:fill="auto"/>
                <w:rtl w:val="0"/>
                <w:lang w:val="en-US"/>
              </w:rPr>
              <w:t>Ra≤0.3 μm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</w:rPr>
              <w:t>。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8924E1">
            <w:pPr>
              <w:pStyle w:val="10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  <w:t>样品表面状态确认记录或粗糙度实测记录</w:t>
            </w:r>
          </w:p>
        </w:tc>
      </w:tr>
      <w:tr w14:paraId="130C3617">
        <w:trPr>
          <w:trHeight w:val="142" w:hRule="atLeast"/>
          <w:jc w:val="center"/>
        </w:trPr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4600EF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>6</w:t>
            </w:r>
          </w:p>
        </w:tc>
        <w:tc>
          <w:tcPr>
            <w:tcW w:w="14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988C50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center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  <w:t>数据复核</w:t>
            </w:r>
          </w:p>
        </w:tc>
        <w:tc>
          <w:tcPr>
            <w:tcW w:w="5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0FB10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en-US"/>
              </w:rPr>
              <w:t xml:space="preserve">6 </w:t>
            </w: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  <w:t>个原始值、各面平均值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  <w:t>及报告应经第二人复核。</w:t>
            </w:r>
          </w:p>
        </w:tc>
        <w:tc>
          <w:tcPr>
            <w:tcW w:w="2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F2B97">
            <w:pPr>
              <w:pStyle w:val="9"/>
              <w:keepLines w:val="0"/>
              <w:pageBreakBefore w:val="0"/>
              <w:framePr w:wrap="auto" w:vAnchor="margin" w:hAnchor="text" w:yAlign="inline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eastAsia" w:ascii="宋体" w:hAnsi="宋体" w:eastAsia="宋体" w:cs="宋体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shd w:val="clear" w:color="auto" w:fill="auto"/>
                <w:rtl w:val="0"/>
                <w:lang w:val="zh-CN" w:eastAsia="zh-CN"/>
              </w:rPr>
              <w:t>复核签字</w:t>
            </w:r>
          </w:p>
        </w:tc>
      </w:tr>
    </w:tbl>
    <w:p w14:paraId="6AD4F748">
      <w:pPr>
        <w:pStyle w:val="9"/>
        <w:keepNext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8"/>
          <w:szCs w:val="28"/>
          <w:rtl w:val="0"/>
          <w:lang w:val="en-US"/>
        </w:rPr>
        <w:t>13 异常情况与偏离处理</w:t>
      </w:r>
    </w:p>
    <w:p w14:paraId="7FC98794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标准硬度块校准/核查不合格时，应停止检测，排查设备、压头、光学系统、软件设置和标准块状态。</w:t>
      </w:r>
    </w:p>
    <w:p w14:paraId="55A1E78E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待测面存在明显加工纹、划痕、氧化皮或压痕边界无法清晰识别时，应进行打磨/抛光处理后重新确认，并记录确认方式和结果；必要时可采用粗糙度仪确认表面粗糙度。</w:t>
      </w:r>
    </w:p>
    <w:p w14:paraId="6ACD05F9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试验中样品发生移动、压痕偏斜、压痕重叠、压痕靠边、图像模糊或软件识别错误时，该点数据作废并重新测量。</w:t>
      </w:r>
    </w:p>
    <w:p w14:paraId="593815B7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设备报警、异响、载荷异常、镜头异常或软件故障时，应立即停止检测并通知设备管理员。</w:t>
      </w:r>
    </w:p>
    <w:p w14:paraId="57C88F2C">
      <w:pPr>
        <w:pStyle w:val="9"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rtl w:val="0"/>
          <w:lang w:val="en-US"/>
        </w:rPr>
        <w:t>原始记录修改应保留原始内容，注明修改人、日期和原因，不得涂抹或覆盖。</w:t>
      </w:r>
    </w:p>
    <w:p w14:paraId="35CAEDDB">
      <w:pPr>
        <w:pStyle w:val="9"/>
        <w:keepNext/>
        <w:keepLines w:val="0"/>
        <w:pageBreakBefore w:val="0"/>
        <w:framePr w:wrap="auto" w:vAnchor="margin" w:hAnchor="text" w:yAlign="inline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8"/>
          <w:szCs w:val="28"/>
          <w:rtl w:val="0"/>
          <w:lang w:val="en-US"/>
        </w:rPr>
        <w:t>14 原始记录</w:t>
      </w:r>
      <w:r>
        <w:rPr>
          <w:rFonts w:hint="eastAsia" w:ascii="宋体" w:hAnsi="宋体" w:eastAsia="宋体" w:cs="宋体"/>
          <w:sz w:val="28"/>
          <w:szCs w:val="28"/>
          <w:rtl w:val="0"/>
          <w:lang w:val="en-US" w:eastAsia="zh-CN"/>
        </w:rPr>
        <w:t>和</w:t>
      </w:r>
      <w:r>
        <w:rPr>
          <w:rFonts w:hint="eastAsia" w:ascii="宋体" w:hAnsi="宋体" w:eastAsia="宋体" w:cs="宋体"/>
          <w:sz w:val="28"/>
          <w:szCs w:val="28"/>
          <w:rtl w:val="0"/>
          <w:lang w:val="en-US"/>
        </w:rPr>
        <w:t>报告要求</w:t>
      </w:r>
    </w:p>
    <w:p w14:paraId="50A16702">
      <w:pPr>
        <w:pStyle w:val="10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highlight w:val="none"/>
          <w:rtl w:val="0"/>
          <w:lang w:val="en-US"/>
        </w:rPr>
        <w:t>原始记录应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真实、准确、清晰、完整，不得随意涂改；确需修改时，应保留原始内容并签名注明日期和原因。原始记录至少应包括委托单位、样品名称、样品编号、检测依据、主要设备、试验条件、结果数据、判定依据、结论、检测日期、检测人员、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 w:eastAsia="zh-CN"/>
        </w:rPr>
        <w:t>核验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人员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 w:eastAsia="zh-CN"/>
        </w:rPr>
        <w:t>等必要信息。原始记录见《金属材料</w:t>
      </w:r>
      <w:r>
        <w:rPr>
          <w:rFonts w:hint="eastAsia" w:ascii="宋体" w:hAnsi="宋体" w:eastAsia="宋体" w:cs="宋体"/>
          <w:b w:val="0"/>
          <w:bCs w:val="0"/>
          <w:color w:val="auto"/>
          <w:sz w:val="21"/>
          <w:szCs w:val="21"/>
          <w:rtl w:val="0"/>
          <w:lang w:val="en-US" w:eastAsia="zh-CN"/>
        </w:rPr>
        <w:t>维氏硬度试验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rtl w:val="0"/>
          <w:lang w:val="en-US" w:eastAsia="zh-CN"/>
        </w:rPr>
        <w:t>原始记录表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 w:eastAsia="zh-CN"/>
        </w:rPr>
        <w:t>》</w:t>
      </w:r>
    </w:p>
    <w:p w14:paraId="7B6E5F0F">
      <w:pPr>
        <w:pStyle w:val="10"/>
        <w:pageBreakBefore w:val="0"/>
        <w:framePr w:wrap="auto" w:vAnchor="margin" w:hAnchor="text" w:yAlign="inline"/>
        <w:widowControl w:val="0"/>
        <w:wordWrap/>
        <w:topLinePunct w:val="0"/>
        <w:bidi w:val="0"/>
        <w:adjustRightInd/>
        <w:snapToGrid/>
        <w:spacing w:before="0" w:after="0"/>
        <w:textAlignment w:val="auto"/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报告应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 w:eastAsia="zh-CN"/>
        </w:rPr>
        <w:t>包含必要的信息并与原始记录的信息保持一致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/>
        </w:rPr>
        <w:t>。</w:t>
      </w:r>
      <w:r>
        <w:rPr>
          <w:rFonts w:hint="eastAsia" w:ascii="宋体" w:hAnsi="宋体" w:eastAsia="宋体" w:cs="宋体"/>
          <w:color w:val="auto"/>
          <w:sz w:val="21"/>
          <w:szCs w:val="21"/>
          <w:rtl w:val="0"/>
          <w:lang w:val="en-US" w:eastAsia="zh-CN"/>
        </w:rPr>
        <w:t>报告格式见DLBP-CX-P08-R03 检验报告。</w:t>
      </w:r>
    </w:p>
    <w:p w14:paraId="791F9DFA">
      <w:pPr>
        <w:pStyle w:val="11"/>
        <w:framePr w:wrap="auto" w:vAnchor="margin" w:hAnchor="text" w:yAlign="inline"/>
        <w:spacing w:after="80"/>
      </w:pPr>
    </w:p>
    <w:sectPr>
      <w:headerReference r:id="rId5" w:type="default"/>
      <w:footerReference r:id="rId6" w:type="default"/>
      <w:pgSz w:w="12240" w:h="15840"/>
      <w:pgMar w:top="1020" w:right="907" w:bottom="850" w:left="907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Aptos">
    <w:altName w:val="Helvetica Neue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UI">
    <w:altName w:val="苹方-简"/>
    <w:panose1 w:val="020B0502040204020203"/>
    <w:charset w:val="00"/>
    <w:family w:val="auto"/>
    <w:pitch w:val="default"/>
    <w:sig w:usb0="00000000" w:usb1="00000000" w:usb2="00000009" w:usb3="00000000" w:csb0="200001FF" w:csb1="00000000"/>
  </w:font>
  <w:font w:name="PingFang SC Regular">
    <w:panose1 w:val="020B0400000000000000"/>
    <w:charset w:val="86"/>
    <w:family w:val="roman"/>
    <w:pitch w:val="default"/>
    <w:sig w:usb0="A00002FF" w:usb1="7ACFFDFB" w:usb2="00000017" w:usb3="00000000" w:csb0="00040001" w:csb1="00000000"/>
  </w:font>
  <w:font w:name="Aptos Display">
    <w:altName w:val="Helvetica Neue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imSong Bold">
    <w:panose1 w:val="02020300000000000000"/>
    <w:charset w:val="86"/>
    <w:family w:val="roman"/>
    <w:pitch w:val="default"/>
    <w:sig w:usb0="800002BF" w:usb1="38CF7CFA" w:usb2="00000016" w:usb3="00000000" w:csb0="0004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7E8BE7">
    <w:pPr>
      <w:pStyle w:val="3"/>
      <w:framePr w:wrap="auto" w:vAnchor="margin" w:hAnchor="text" w:yAlign="inline"/>
      <w:jc w:val="right"/>
      <w:rPr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none"/>
                    </wps:style>
                    <wps:txbx>
                      <w:txbxContent>
                        <w:p w14:paraId="54D3C5B5">
                          <w:pPr>
                            <w:pStyle w:val="3"/>
                            <w:framePr w:wrap="auto" w:vAnchor="margin" w:hAnchor="text" w:yAlign="inline"/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第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页 共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NUMPAGES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  <w:szCs w:val="18"/>
                            </w:rPr>
                            <w:t>10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3810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bjXUj0AAAAAUBAAAPAAAAAAAAAAEAIAAAACIAAABk&#10;cnMvZG93bnJldi54bWxQSwECFAAUAAAACACHTuJAhorRs0cCAACIBAAADgAAAAAAAAABACAAAAAf&#10;AQAAZHJzL2Uyb0RvYy54bWxQSwUGAAAAAAYABgBZAQAA2AUAAAAA&#10;">
              <v:fill on="f" focussize="0,0"/>
              <v:stroke on="f" weight="1pt" miterlimit="4" joinstyle="miter"/>
              <v:imagedata o:title=""/>
              <o:lock v:ext="edit" aspectratio="f"/>
              <v:textbox inset="0mm,0mm,0mm,0mm" style="mso-fit-shape-to-text:t;">
                <w:txbxContent>
                  <w:p w14:paraId="54D3C5B5">
                    <w:pPr>
                      <w:pStyle w:val="3"/>
                      <w:framePr w:wrap="auto" w:vAnchor="margin" w:hAnchor="text" w:yAlign="inline"/>
                    </w:pPr>
                    <w:r>
                      <w:rPr>
                        <w:sz w:val="18"/>
                        <w:szCs w:val="18"/>
                      </w:rPr>
                      <w:t xml:space="preserve">第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sz w:val="18"/>
                        <w:szCs w:val="18"/>
                      </w:rPr>
                      <w:t xml:space="preserve"> 页 共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NUMPAGES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sz w:val="18"/>
                        <w:szCs w:val="18"/>
                      </w:rPr>
                      <w:t>10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sz w:val="18"/>
                        <w:szCs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黑体" w:hAnsi="黑体" w:eastAsia="黑体" w:cs="黑体"/>
        <w:sz w:val="18"/>
        <w:szCs w:val="18"/>
        <w:lang w:val="en-US" w:eastAsia="zh-CN"/>
      </w:rPr>
      <w:t>DLBP-SOP-013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691E5C">
    <w:pPr>
      <w:pStyle w:val="12"/>
      <w:framePr w:wrap="auto" w:vAnchor="margin" w:hAnchor="text" w:yAlign="inline"/>
      <w:bidi w:val="0"/>
      <w:jc w:val="center"/>
    </w:pPr>
    <w:r>
      <w:rPr>
        <w:rFonts w:hint="eastAsia" w:ascii="黑体" w:hAnsi="黑体" w:eastAsia="黑体" w:cs="黑体"/>
        <w:sz w:val="21"/>
        <w:szCs w:val="21"/>
        <w:lang w:val="en-US" w:eastAsia="zh-CN"/>
      </w:rPr>
      <w:t>大连标普检测有限公司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11ED3D27"/>
    <w:rsid w:val="244F2331"/>
    <w:rsid w:val="27DF8D81"/>
    <w:rsid w:val="37C06107"/>
    <w:rsid w:val="3D18555E"/>
    <w:rsid w:val="3DE67839"/>
    <w:rsid w:val="518A52A4"/>
    <w:rsid w:val="76DF4828"/>
    <w:rsid w:val="7A4C21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6">
    <w:name w:val="Default Paragraph Font"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180" w:beforeAutospacing="0" w:after="180" w:afterAutospacing="0" w:line="240" w:lineRule="auto"/>
      <w:ind w:left="0" w:right="0" w:firstLine="0"/>
      <w:jc w:val="left"/>
      <w:outlineLvl w:val="9"/>
    </w:pPr>
    <w:rPr>
      <w:rFonts w:ascii="Aptos" w:hAnsi="Aptos" w:eastAsia="Aptos" w:cs="Aptos"/>
      <w:color w:val="000000"/>
      <w:spacing w:val="0"/>
      <w:w w:val="100"/>
      <w:kern w:val="0"/>
      <w:position w:val="0"/>
      <w:sz w:val="24"/>
      <w:szCs w:val="24"/>
      <w:u w:val="none" w:color="000000"/>
      <w:shd w:val="clear" w:color="auto" w:fill="auto"/>
      <w:vertAlign w:val="baseline"/>
      <w:lang w:val="en-US"/>
    </w:rPr>
  </w:style>
  <w:style w:type="paragraph" w:styleId="3">
    <w:name w:val="footer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hint="eastAsia" w:ascii="Arial Unicode MS" w:hAnsi="Arial Unicode MS" w:eastAsia="Arial Unicode MS" w:cs="Arial Unicode MS"/>
      <w:color w:val="000000"/>
      <w:spacing w:val="0"/>
      <w:w w:val="100"/>
      <w:kern w:val="0"/>
      <w:position w:val="0"/>
      <w:sz w:val="21"/>
      <w:szCs w:val="21"/>
      <w:u w:val="none" w:color="000000"/>
      <w:shd w:val="clear" w:color="auto" w:fill="auto"/>
      <w:vertAlign w:val="baseline"/>
      <w:lang w:val="en-US"/>
    </w:rPr>
  </w:style>
  <w:style w:type="paragraph" w:styleId="4">
    <w:name w:val="header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center" w:pos="4680"/>
        <w:tab w:val="right" w:pos="936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hint="eastAsia" w:ascii="Arial Unicode MS" w:hAnsi="Arial Unicode MS" w:eastAsia="Arial Unicode MS" w:cs="Arial Unicode MS"/>
      <w:color w:val="000000"/>
      <w:spacing w:val="0"/>
      <w:w w:val="100"/>
      <w:kern w:val="0"/>
      <w:position w:val="0"/>
      <w:sz w:val="21"/>
      <w:szCs w:val="21"/>
      <w:u w:val="none" w:color="000000"/>
      <w:shd w:val="clear" w:color="auto" w:fill="auto"/>
      <w:vertAlign w:val="baseline"/>
      <w:lang w:val="en-US"/>
    </w:rPr>
  </w:style>
  <w:style w:type="character" w:styleId="7">
    <w:name w:val="Hyperlink"/>
    <w:qFormat/>
    <w:uiPriority w:val="0"/>
    <w:rPr>
      <w:u w:val="single"/>
    </w:rPr>
  </w:style>
  <w:style w:type="table" w:customStyle="1" w:styleId="8">
    <w:name w:val="Table Normal"/>
    <w:qFormat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9">
    <w:name w:val="正文 A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hint="eastAsia" w:ascii="Arial Unicode MS" w:hAnsi="Arial Unicode MS" w:eastAsia="Arial Unicode MS" w:cs="Arial Unicode MS"/>
      <w:color w:val="000000"/>
      <w:spacing w:val="0"/>
      <w:w w:val="100"/>
      <w:kern w:val="0"/>
      <w:position w:val="0"/>
      <w:sz w:val="21"/>
      <w:szCs w:val="21"/>
      <w:u w:val="none" w:color="000000"/>
      <w:shd w:val="clear" w:color="auto" w:fill="auto"/>
      <w:vertAlign w:val="baseline"/>
      <w:lang w:val="en-US"/>
    </w:rPr>
  </w:style>
  <w:style w:type="paragraph" w:customStyle="1" w:styleId="10">
    <w:name w:val="正文1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hint="eastAsia" w:ascii="Arial Unicode MS" w:hAnsi="Arial Unicode MS" w:eastAsia="Times New Roman" w:cs="Arial Unicode MS"/>
      <w:color w:val="000000"/>
      <w:spacing w:val="0"/>
      <w:w w:val="100"/>
      <w:kern w:val="0"/>
      <w:position w:val="0"/>
      <w:sz w:val="24"/>
      <w:szCs w:val="24"/>
      <w:u w:val="none" w:color="000000"/>
      <w:shd w:val="clear" w:color="auto" w:fill="auto"/>
      <w:vertAlign w:val="baseline"/>
      <w:lang w:val="zh-CN" w:eastAsia="zh-CN"/>
    </w:rPr>
  </w:style>
  <w:style w:type="paragraph" w:customStyle="1" w:styleId="11">
    <w:name w:val="SmallText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200" w:afterAutospacing="0" w:line="276" w:lineRule="auto"/>
      <w:ind w:left="0" w:right="0" w:firstLine="0"/>
      <w:jc w:val="left"/>
      <w:outlineLvl w:val="9"/>
    </w:pPr>
    <w:rPr>
      <w:rFonts w:hint="eastAsia" w:ascii="Arial Unicode MS" w:hAnsi="Arial Unicode MS" w:eastAsia="Arial Unicode MS" w:cs="Arial Unicode MS"/>
      <w:color w:val="000000"/>
      <w:spacing w:val="0"/>
      <w:w w:val="100"/>
      <w:kern w:val="0"/>
      <w:position w:val="0"/>
      <w:sz w:val="18"/>
      <w:szCs w:val="18"/>
      <w:u w:val="none" w:color="000000"/>
      <w:shd w:val="clear" w:color="auto" w:fill="auto"/>
      <w:vertAlign w:val="baseline"/>
      <w:lang w:val="en-US"/>
    </w:rPr>
  </w:style>
  <w:style w:type="paragraph" w:customStyle="1" w:styleId="12">
    <w:name w:val="页眉与页脚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PingFang SC Regular" w:hAnsi="PingFang SC Regular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  <w:style w:type="paragraph" w:customStyle="1" w:styleId="13">
    <w:name w:val="小标题"/>
    <w:next w:val="10"/>
    <w:qFormat/>
    <w:uiPriority w:val="0"/>
    <w:pPr>
      <w:keepNext/>
      <w:keepLines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360" w:beforeAutospacing="0" w:after="80" w:afterAutospacing="0" w:line="240" w:lineRule="auto"/>
      <w:ind w:left="0" w:right="0" w:firstLine="0"/>
      <w:jc w:val="left"/>
      <w:outlineLvl w:val="0"/>
    </w:pPr>
    <w:rPr>
      <w:rFonts w:ascii="Aptos Display" w:hAnsi="Aptos Display" w:eastAsia="Aptos Display" w:cs="Aptos Display"/>
      <w:color w:val="0F4761"/>
      <w:spacing w:val="0"/>
      <w:w w:val="100"/>
      <w:kern w:val="0"/>
      <w:position w:val="0"/>
      <w:sz w:val="40"/>
      <w:szCs w:val="40"/>
      <w:u w:val="none" w:color="0F4761"/>
      <w:shd w:val="clear" w:color="auto" w:fill="auto"/>
      <w:vertAlign w:val="baseline"/>
    </w:rPr>
  </w:style>
  <w:style w:type="paragraph" w:customStyle="1" w:styleId="14">
    <w:name w:val="小标题 2"/>
    <w:next w:val="2"/>
    <w:qFormat/>
    <w:uiPriority w:val="0"/>
    <w:pPr>
      <w:keepNext/>
      <w:keepLines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160" w:beforeAutospacing="0" w:after="80" w:afterAutospacing="0" w:line="240" w:lineRule="auto"/>
      <w:ind w:left="0" w:right="0" w:firstLine="0"/>
      <w:jc w:val="left"/>
      <w:outlineLvl w:val="1"/>
    </w:pPr>
    <w:rPr>
      <w:rFonts w:ascii="Aptos Display" w:hAnsi="Aptos Display" w:eastAsia="Aptos Display" w:cs="Aptos Display"/>
      <w:color w:val="0F4761"/>
      <w:spacing w:val="0"/>
      <w:w w:val="100"/>
      <w:kern w:val="0"/>
      <w:position w:val="0"/>
      <w:sz w:val="32"/>
      <w:szCs w:val="32"/>
      <w:u w:val="none" w:color="0F4761"/>
      <w:shd w:val="clear" w:color="auto" w:fill="auto"/>
      <w:vertAlign w:val="baseli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3800</Words>
  <Characters>3970</Characters>
  <TotalTime>21</TotalTime>
  <ScaleCrop>false</ScaleCrop>
  <LinksUpToDate>false</LinksUpToDate>
  <CharactersWithSpaces>4074</CharactersWithSpaces>
  <Application>WPS Office_12.1.26016.26016_F1E327BC-269C-435d-A152-05C5408002CA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2026-07-14T13:32:00Z</dcterms:created>
  <dc:creator>Administrator</dc:creator>
  <cp:lastModifiedBy>WPS_1686482671</cp:lastModifiedBy>
  <dcterms:modified xsi:type="dcterms:W3CDTF">2026-07-21T16:16:46Z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eyJoZGlkIjoiZjBmNWVmY2ZjYTc5NWVjZDFhYmYzOTFiM2UwZTJmZDIiLCJ1c2VySWQiOiIxNDk5MTc3ODQ1In0=</vt:lpwstr>
  </property>
  <property fmtid="{D5CDD505-2E9C-101B-9397-08002B2CF9AE}" pid="3" name="KSOProductBuildVer">
    <vt:lpwstr>2052-12.1.26016.26016</vt:lpwstr>
  </property>
  <property fmtid="{D5CDD505-2E9C-101B-9397-08002B2CF9AE}" pid="4" name="ICV">
    <vt:lpwstr>43A3162FDEFD47148B887233865D6866_12</vt:lpwstr>
  </property>
</Properties>
</file>