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558" w:rsidRDefault="001A4558" w:rsidP="001A4558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CORPORATIONS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Summer</w:t>
      </w:r>
      <w:proofErr w:type="gramEnd"/>
      <w:r>
        <w:rPr>
          <w:sz w:val="28"/>
          <w:szCs w:val="28"/>
        </w:rPr>
        <w:t>, 2010</w:t>
      </w:r>
    </w:p>
    <w:p w:rsidR="001A4558" w:rsidRDefault="001A4558" w:rsidP="001A4558">
      <w:pPr>
        <w:autoSpaceDE w:val="0"/>
        <w:autoSpaceDN w:val="0"/>
        <w:adjustRightInd w:val="0"/>
        <w:rPr>
          <w:sz w:val="28"/>
          <w:szCs w:val="28"/>
        </w:rPr>
      </w:pPr>
    </w:p>
    <w:p w:rsidR="001A4558" w:rsidRDefault="001A4558" w:rsidP="001A4558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Instructor:  David Phillips, Cargill #28, X3919, </w:t>
      </w:r>
      <w:r>
        <w:rPr>
          <w:color w:val="0000FF"/>
          <w:sz w:val="20"/>
          <w:szCs w:val="20"/>
          <w:u w:val="single"/>
        </w:rPr>
        <w:t>d.phillips@neu.edu</w:t>
      </w:r>
    </w:p>
    <w:p w:rsidR="001A4558" w:rsidRDefault="001A4558" w:rsidP="001A4558">
      <w:pPr>
        <w:autoSpaceDE w:val="0"/>
        <w:autoSpaceDN w:val="0"/>
        <w:adjustRightInd w:val="0"/>
        <w:rPr>
          <w:sz w:val="28"/>
          <w:szCs w:val="28"/>
        </w:rPr>
      </w:pPr>
    </w:p>
    <w:p w:rsidR="001A4558" w:rsidRDefault="001A4558" w:rsidP="001A4558">
      <w:pPr>
        <w:autoSpaceDE w:val="0"/>
        <w:autoSpaceDN w:val="0"/>
        <w:adjustRightInd w:val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SYLLABUS</w:t>
      </w:r>
    </w:p>
    <w:p w:rsidR="001A4558" w:rsidRDefault="001A4558" w:rsidP="001A4558">
      <w:pPr>
        <w:autoSpaceDE w:val="0"/>
        <w:autoSpaceDN w:val="0"/>
        <w:adjustRightInd w:val="0"/>
        <w:jc w:val="center"/>
        <w:rPr>
          <w:u w:val="single"/>
        </w:rPr>
      </w:pPr>
    </w:p>
    <w:p w:rsidR="001A4558" w:rsidRDefault="001A4558" w:rsidP="001A4558">
      <w:pPr>
        <w:autoSpaceDE w:val="0"/>
        <w:autoSpaceDN w:val="0"/>
        <w:adjustRightInd w:val="0"/>
      </w:pPr>
      <w:r>
        <w:tab/>
        <w:t xml:space="preserve">The texts for the course are </w:t>
      </w:r>
      <w:proofErr w:type="spellStart"/>
      <w:r>
        <w:t>O’Kelley</w:t>
      </w:r>
      <w:proofErr w:type="spellEnd"/>
      <w:r>
        <w:t xml:space="preserve"> &amp; Thompson, </w:t>
      </w:r>
      <w:r>
        <w:rPr>
          <w:i/>
          <w:iCs/>
        </w:rPr>
        <w:t>Corporations and Other Business Associations</w:t>
      </w:r>
      <w:r>
        <w:t xml:space="preserve"> (Aspen 6</w:t>
      </w:r>
      <w:r>
        <w:rPr>
          <w:vertAlign w:val="superscript"/>
        </w:rPr>
        <w:t>th</w:t>
      </w:r>
      <w:r>
        <w:t xml:space="preserve"> ed. 2010), and Eisenberg, ed., </w:t>
      </w:r>
      <w:r>
        <w:rPr>
          <w:i/>
          <w:iCs/>
        </w:rPr>
        <w:t xml:space="preserve">Corporations and Other Business Organizations, Statutes, Rules, Materials and Forms </w:t>
      </w:r>
      <w:r>
        <w:t xml:space="preserve">(Foundation latest </w:t>
      </w:r>
      <w:proofErr w:type="gramStart"/>
      <w:r>
        <w:t>ed</w:t>
      </w:r>
      <w:proofErr w:type="gramEnd"/>
      <w:r>
        <w:t>.).</w:t>
      </w:r>
      <w:r>
        <w:rPr>
          <w:i/>
          <w:iCs/>
        </w:rPr>
        <w:t xml:space="preserve">  </w:t>
      </w:r>
      <w:r>
        <w:rPr>
          <w:iCs/>
        </w:rPr>
        <w:t>T</w:t>
      </w:r>
      <w:r>
        <w:t xml:space="preserve">he page references in the syllabus are to </w:t>
      </w:r>
      <w:proofErr w:type="spellStart"/>
      <w:r>
        <w:t>O’Kelley</w:t>
      </w:r>
      <w:proofErr w:type="spellEnd"/>
      <w:r>
        <w:t xml:space="preserve"> &amp; Thompson, </w:t>
      </w:r>
      <w:r w:rsidRPr="00DD38A1">
        <w:rPr>
          <w:i/>
        </w:rPr>
        <w:t>although students are also required to read those statutory and regulatory materials to which the casebook refers</w:t>
      </w:r>
      <w:r>
        <w:t xml:space="preserve">.  The statutory and regulatory materials may be found in </w:t>
      </w:r>
      <w:r w:rsidRPr="00DD38A1">
        <w:rPr>
          <w:i/>
        </w:rPr>
        <w:t>th</w:t>
      </w:r>
      <w:r w:rsidR="00DD38A1" w:rsidRPr="00DD38A1">
        <w:rPr>
          <w:i/>
        </w:rPr>
        <w:t>e Eisenberg-edited supplement</w:t>
      </w:r>
      <w:r w:rsidR="00DD38A1">
        <w:t xml:space="preserve">, which </w:t>
      </w:r>
      <w:r w:rsidR="00DD38A1" w:rsidRPr="00DD38A1">
        <w:rPr>
          <w:i/>
        </w:rPr>
        <w:t>should be brought to class at all times</w:t>
      </w:r>
      <w:r w:rsidR="00DD38A1">
        <w:t>.</w:t>
      </w:r>
      <w:r>
        <w:t xml:space="preserve">  At times, cases not found in the casebook are assigned for reading; citations for these cases are given, and students should print out these cases and bring copies to class for discussion.  At other times, certain additional cases and other material are </w:t>
      </w:r>
      <w:r w:rsidRPr="001A4558">
        <w:rPr>
          <w:i/>
        </w:rPr>
        <w:t>suggested</w:t>
      </w:r>
      <w:r>
        <w:t xml:space="preserve"> for reading</w:t>
      </w:r>
      <w:r w:rsidR="005F6410">
        <w:t xml:space="preserve"> (“SAR”)</w:t>
      </w:r>
      <w:r>
        <w:t xml:space="preserve">. </w:t>
      </w:r>
      <w:r w:rsidR="00703AD9">
        <w:rPr>
          <w:u w:val="single"/>
        </w:rPr>
        <w:t xml:space="preserve"> Do not feel intimidated</w:t>
      </w:r>
      <w:r w:rsidR="00703AD9">
        <w:t xml:space="preserve"> – reading any of the material listed under SAR is wholly optional, and s</w:t>
      </w:r>
      <w:r>
        <w:t>tudents should determine whether they desire or need the additional reading to enhance their understanding of the material.  The syllabus is subject to revision, and, as t</w:t>
      </w:r>
      <w:r w:rsidR="00703AD9">
        <w:t xml:space="preserve">he quarter proceeds, </w:t>
      </w:r>
      <w:r>
        <w:t>cases and materials may be added</w:t>
      </w:r>
      <w:r w:rsidR="00703AD9">
        <w:t xml:space="preserve"> or subtracted.</w:t>
      </w:r>
      <w:r>
        <w:t xml:space="preserve">  </w:t>
      </w:r>
    </w:p>
    <w:p w:rsidR="001A4558" w:rsidRDefault="001A4558" w:rsidP="001A4558">
      <w:pPr>
        <w:autoSpaceDE w:val="0"/>
        <w:autoSpaceDN w:val="0"/>
        <w:adjustRightInd w:val="0"/>
      </w:pPr>
    </w:p>
    <w:p w:rsidR="001A4558" w:rsidRDefault="001A4558" w:rsidP="001A4558">
      <w:pPr>
        <w:autoSpaceDE w:val="0"/>
        <w:autoSpaceDN w:val="0"/>
        <w:adjustRightInd w:val="0"/>
      </w:pPr>
      <w:r>
        <w:tab/>
        <w:t xml:space="preserve">The course has a TWEN website, “Corporations, </w:t>
      </w:r>
      <w:proofErr w:type="gramStart"/>
      <w:r>
        <w:t>Summer</w:t>
      </w:r>
      <w:proofErr w:type="gramEnd"/>
      <w:r>
        <w:t xml:space="preserve">, 2010.”   Certain required or suggested material may be posted on the website.  You can also post questions and/or add comments in the discussion forum. </w:t>
      </w:r>
    </w:p>
    <w:p w:rsidR="001A4558" w:rsidRDefault="001A4558" w:rsidP="001A4558">
      <w:pPr>
        <w:autoSpaceDE w:val="0"/>
        <w:autoSpaceDN w:val="0"/>
        <w:adjustRightInd w:val="0"/>
      </w:pPr>
    </w:p>
    <w:p w:rsidR="001A4558" w:rsidRDefault="001A4558" w:rsidP="001A4558">
      <w:pPr>
        <w:autoSpaceDE w:val="0"/>
        <w:autoSpaceDN w:val="0"/>
        <w:adjustRightInd w:val="0"/>
      </w:pPr>
      <w:r>
        <w:rPr>
          <w:u w:val="single"/>
        </w:rPr>
        <w:t>Assignment #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Outline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u w:val="single"/>
            </w:rPr>
            <w:t>Readings</w:t>
          </w:r>
        </w:smartTag>
      </w:smartTag>
    </w:p>
    <w:p w:rsidR="001A4558" w:rsidRDefault="001A4558" w:rsidP="001A4558">
      <w:pPr>
        <w:autoSpaceDE w:val="0"/>
        <w:autoSpaceDN w:val="0"/>
        <w:adjustRightInd w:val="0"/>
      </w:pPr>
    </w:p>
    <w:p w:rsidR="001A4558" w:rsidRDefault="001A4558" w:rsidP="001A4558">
      <w:pPr>
        <w:autoSpaceDE w:val="0"/>
        <w:autoSpaceDN w:val="0"/>
        <w:adjustRightInd w:val="0"/>
      </w:pPr>
      <w:r>
        <w:t>1</w:t>
      </w:r>
      <w:r>
        <w:tab/>
      </w:r>
      <w:r>
        <w:tab/>
        <w:t>A.  General</w:t>
      </w:r>
    </w:p>
    <w:p w:rsidR="001A4558" w:rsidRDefault="001A4558" w:rsidP="001A4558">
      <w:pPr>
        <w:tabs>
          <w:tab w:val="left" w:pos="2160"/>
          <w:tab w:val="left" w:pos="2520"/>
        </w:tabs>
        <w:autoSpaceDE w:val="0"/>
        <w:autoSpaceDN w:val="0"/>
        <w:adjustRightInd w:val="0"/>
        <w:ind w:left="2520" w:hanging="4320"/>
      </w:pPr>
      <w:r>
        <w:tab/>
        <w:t xml:space="preserve">1. </w:t>
      </w:r>
      <w:r>
        <w:tab/>
        <w:t>What is a fir</w:t>
      </w:r>
      <w:r w:rsidR="005F6410">
        <w:t>m?  What is a corporation?</w:t>
      </w:r>
      <w:r w:rsidR="005F6410">
        <w:tab/>
      </w:r>
      <w:r w:rsidR="005F6410">
        <w:tab/>
        <w:t>1-20; 153-62</w:t>
      </w:r>
    </w:p>
    <w:p w:rsidR="005F6410" w:rsidRDefault="001A4558" w:rsidP="001A4558">
      <w:pPr>
        <w:autoSpaceDE w:val="0"/>
        <w:autoSpaceDN w:val="0"/>
        <w:adjustRightInd w:val="0"/>
        <w:ind w:left="2160"/>
      </w:pPr>
      <w:r>
        <w:tab/>
        <w:t>What is corporate law?</w:t>
      </w:r>
    </w:p>
    <w:p w:rsidR="005F6410" w:rsidRDefault="005F6410" w:rsidP="001A4558">
      <w:pPr>
        <w:autoSpaceDE w:val="0"/>
        <w:autoSpaceDN w:val="0"/>
        <w:adjustRightInd w:val="0"/>
        <w:ind w:left="2160"/>
      </w:pPr>
    </w:p>
    <w:p w:rsidR="005F6410" w:rsidRDefault="005F6410" w:rsidP="001A4558">
      <w:pPr>
        <w:autoSpaceDE w:val="0"/>
        <w:autoSpaceDN w:val="0"/>
        <w:adjustRightInd w:val="0"/>
        <w:ind w:left="2160"/>
      </w:pPr>
      <w:r>
        <w:t>SAR:</w:t>
      </w:r>
    </w:p>
    <w:p w:rsidR="005F6410" w:rsidRDefault="005F6410" w:rsidP="001A4558">
      <w:pPr>
        <w:autoSpaceDE w:val="0"/>
        <w:autoSpaceDN w:val="0"/>
        <w:adjustRightInd w:val="0"/>
        <w:ind w:left="2160"/>
      </w:pPr>
      <w:r>
        <w:t xml:space="preserve">Cary, </w:t>
      </w:r>
      <w:r>
        <w:rPr>
          <w:i/>
        </w:rPr>
        <w:t xml:space="preserve">Federalism and Corporate Law, </w:t>
      </w:r>
      <w:r>
        <w:t>83 Yale L.J. 663 (1974);</w:t>
      </w:r>
    </w:p>
    <w:p w:rsidR="005F6410" w:rsidRDefault="005F6410" w:rsidP="001A4558">
      <w:pPr>
        <w:autoSpaceDE w:val="0"/>
        <w:autoSpaceDN w:val="0"/>
        <w:adjustRightInd w:val="0"/>
        <w:ind w:left="2160"/>
        <w:rPr>
          <w:i/>
        </w:rPr>
      </w:pPr>
      <w:r>
        <w:t xml:space="preserve">Winter, </w:t>
      </w:r>
      <w:r>
        <w:rPr>
          <w:i/>
        </w:rPr>
        <w:t>State Law, Shareholder Protection and the Theory of</w:t>
      </w:r>
    </w:p>
    <w:p w:rsidR="005F6410" w:rsidRDefault="005F6410" w:rsidP="001A4558">
      <w:pPr>
        <w:autoSpaceDE w:val="0"/>
        <w:autoSpaceDN w:val="0"/>
        <w:adjustRightInd w:val="0"/>
        <w:ind w:left="2160"/>
      </w:pPr>
      <w:proofErr w:type="gramStart"/>
      <w:r>
        <w:rPr>
          <w:i/>
        </w:rPr>
        <w:t>the</w:t>
      </w:r>
      <w:proofErr w:type="gramEnd"/>
      <w:r>
        <w:rPr>
          <w:i/>
        </w:rPr>
        <w:t xml:space="preserve"> Corporation, </w:t>
      </w:r>
      <w:r>
        <w:t>6 J. Legal Stud. 251 (1977);</w:t>
      </w:r>
    </w:p>
    <w:p w:rsidR="00B15D7F" w:rsidRDefault="005F6410" w:rsidP="005F6410">
      <w:pPr>
        <w:autoSpaceDE w:val="0"/>
        <w:autoSpaceDN w:val="0"/>
        <w:adjustRightInd w:val="0"/>
        <w:ind w:left="2160"/>
      </w:pPr>
      <w:proofErr w:type="gramStart"/>
      <w:r>
        <w:t xml:space="preserve">Roe, </w:t>
      </w:r>
      <w:r>
        <w:rPr>
          <w:i/>
        </w:rPr>
        <w:t>Delaware’s Competition,</w:t>
      </w:r>
      <w:r>
        <w:t xml:space="preserve"> 117 </w:t>
      </w:r>
      <w:proofErr w:type="spellStart"/>
      <w:r>
        <w:t>Harv</w:t>
      </w:r>
      <w:proofErr w:type="spellEnd"/>
      <w:r>
        <w:t>.</w:t>
      </w:r>
      <w:proofErr w:type="gramEnd"/>
      <w:r>
        <w:t xml:space="preserve"> L. Rev. 588 (2003)</w:t>
      </w:r>
      <w:r w:rsidR="00B15D7F">
        <w:tab/>
      </w:r>
    </w:p>
    <w:p w:rsidR="001A4558" w:rsidRPr="005F6410" w:rsidRDefault="00B15D7F" w:rsidP="005F6410">
      <w:pPr>
        <w:autoSpaceDE w:val="0"/>
        <w:autoSpaceDN w:val="0"/>
        <w:adjustRightInd w:val="0"/>
        <w:ind w:left="2160"/>
        <w:rPr>
          <w:i/>
        </w:rPr>
      </w:pPr>
      <w:proofErr w:type="spellStart"/>
      <w:r>
        <w:t>Bebchuk</w:t>
      </w:r>
      <w:proofErr w:type="spellEnd"/>
      <w:r>
        <w:t xml:space="preserve">, </w:t>
      </w:r>
      <w:r>
        <w:rPr>
          <w:i/>
        </w:rPr>
        <w:t>Federalism and the Corporation: The Desirable Limits of State Competition in Corporate Law</w:t>
      </w:r>
      <w:r>
        <w:t xml:space="preserve">, 105 </w:t>
      </w:r>
      <w:proofErr w:type="spellStart"/>
      <w:r>
        <w:t>Harv</w:t>
      </w:r>
      <w:proofErr w:type="spellEnd"/>
      <w:r>
        <w:t>. L. Rev. 1435 (1992)</w:t>
      </w:r>
      <w:r w:rsidR="001A4558">
        <w:tab/>
      </w:r>
    </w:p>
    <w:p w:rsidR="001A4558" w:rsidRDefault="001A4558" w:rsidP="001A4558">
      <w:pPr>
        <w:autoSpaceDE w:val="0"/>
        <w:autoSpaceDN w:val="0"/>
        <w:adjustRightInd w:val="0"/>
        <w:ind w:left="2160"/>
      </w:pPr>
    </w:p>
    <w:p w:rsidR="001A4558" w:rsidRDefault="001A4558" w:rsidP="001A4558">
      <w:pPr>
        <w:autoSpaceDE w:val="0"/>
        <w:autoSpaceDN w:val="0"/>
        <w:adjustRightInd w:val="0"/>
      </w:pPr>
    </w:p>
    <w:p w:rsidR="001A4558" w:rsidRDefault="001A4558" w:rsidP="001A4558">
      <w:pPr>
        <w:autoSpaceDE w:val="0"/>
        <w:autoSpaceDN w:val="0"/>
        <w:adjustRightInd w:val="0"/>
      </w:pPr>
      <w:proofErr w:type="gramStart"/>
      <w:r>
        <w:t>2</w:t>
      </w:r>
      <w:r>
        <w:tab/>
      </w:r>
      <w:r>
        <w:tab/>
      </w:r>
      <w:r>
        <w:tab/>
        <w:t>2.</w:t>
      </w:r>
      <w:proofErr w:type="gramEnd"/>
      <w:r>
        <w:t xml:space="preserve">  Distinguishing t</w:t>
      </w:r>
      <w:r w:rsidR="005F6410">
        <w:t>he corporation from other</w:t>
      </w:r>
      <w:r w:rsidR="005F6410">
        <w:tab/>
      </w:r>
      <w:r w:rsidR="005F6410">
        <w:tab/>
        <w:t>51-60</w:t>
      </w:r>
      <w:r>
        <w:t xml:space="preserve">; </w:t>
      </w:r>
      <w:r w:rsidR="005F6410">
        <w:t>65-9</w:t>
      </w:r>
      <w:r>
        <w:t>;</w:t>
      </w:r>
    </w:p>
    <w:p w:rsidR="001A4558" w:rsidRDefault="001A4558" w:rsidP="001A4558">
      <w:pPr>
        <w:autoSpaceDE w:val="0"/>
        <w:autoSpaceDN w:val="0"/>
        <w:adjustRightInd w:val="0"/>
        <w:ind w:left="7200" w:hanging="4320"/>
      </w:pPr>
      <w:proofErr w:type="gramStart"/>
      <w:r>
        <w:t>legal</w:t>
      </w:r>
      <w:proofErr w:type="gramEnd"/>
      <w:r>
        <w:t xml:space="preserve"> forms, including the part</w:t>
      </w:r>
      <w:r w:rsidR="005F6410">
        <w:t>nership,</w:t>
      </w:r>
      <w:r w:rsidR="005F6410">
        <w:tab/>
        <w:t>87</w:t>
      </w:r>
      <w:r>
        <w:t xml:space="preserve">; </w:t>
      </w:r>
      <w:r w:rsidR="005F6410">
        <w:t>98-100;</w:t>
      </w:r>
      <w:r w:rsidR="00DD38A1">
        <w:t>109-10</w:t>
      </w:r>
      <w:r>
        <w:t xml:space="preserve">; </w:t>
      </w:r>
    </w:p>
    <w:p w:rsidR="001A4558" w:rsidRDefault="001A4558" w:rsidP="001A4558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proofErr w:type="gramStart"/>
      <w:r>
        <w:t>limited</w:t>
      </w:r>
      <w:proofErr w:type="gramEnd"/>
      <w:r>
        <w:t xml:space="preserve"> partnership, limit</w:t>
      </w:r>
      <w:r w:rsidR="00DD38A1">
        <w:t xml:space="preserve">ed liability        </w:t>
      </w:r>
      <w:r w:rsidR="00DD38A1">
        <w:tab/>
        <w:t>126-35</w:t>
      </w:r>
      <w:r>
        <w:t xml:space="preserve">; </w:t>
      </w:r>
      <w:r w:rsidR="00DD38A1">
        <w:t>143</w:t>
      </w:r>
      <w:r>
        <w:t xml:space="preserve"> </w:t>
      </w:r>
    </w:p>
    <w:p w:rsidR="001A4558" w:rsidRDefault="001A4558" w:rsidP="001A4558">
      <w:pPr>
        <w:autoSpaceDE w:val="0"/>
        <w:autoSpaceDN w:val="0"/>
        <w:adjustRightInd w:val="0"/>
        <w:ind w:left="1440"/>
      </w:pPr>
      <w:r>
        <w:tab/>
      </w:r>
      <w:r>
        <w:tab/>
      </w:r>
      <w:proofErr w:type="gramStart"/>
      <w:r>
        <w:t>company</w:t>
      </w:r>
      <w:proofErr w:type="gramEnd"/>
      <w:r>
        <w:t xml:space="preserve">, and limited liability partnership    </w:t>
      </w:r>
    </w:p>
    <w:p w:rsidR="001A4558" w:rsidRDefault="00DD38A1" w:rsidP="00DD38A1">
      <w:pPr>
        <w:autoSpaceDE w:val="0"/>
        <w:autoSpaceDN w:val="0"/>
        <w:adjustRightInd w:val="0"/>
      </w:pPr>
      <w:r>
        <w:tab/>
      </w:r>
      <w:r>
        <w:tab/>
      </w:r>
      <w:r>
        <w:tab/>
      </w:r>
    </w:p>
    <w:p w:rsidR="00DD38A1" w:rsidRDefault="00DD38A1" w:rsidP="00DD38A1">
      <w:pPr>
        <w:autoSpaceDE w:val="0"/>
        <w:autoSpaceDN w:val="0"/>
        <w:adjustRightInd w:val="0"/>
      </w:pPr>
      <w:r>
        <w:tab/>
      </w:r>
      <w:r>
        <w:tab/>
      </w:r>
      <w:r>
        <w:tab/>
        <w:t>SAR:</w:t>
      </w:r>
    </w:p>
    <w:p w:rsidR="001A4558" w:rsidRDefault="00DD38A1" w:rsidP="001A4558">
      <w:pPr>
        <w:autoSpaceDE w:val="0"/>
        <w:autoSpaceDN w:val="0"/>
        <w:adjustRightInd w:val="0"/>
      </w:pPr>
      <w:r>
        <w:tab/>
      </w:r>
      <w:r>
        <w:tab/>
      </w:r>
      <w:r>
        <w:tab/>
        <w:t xml:space="preserve">Phillips, </w:t>
      </w:r>
      <w:proofErr w:type="gramStart"/>
      <w:r w:rsidR="001A4558" w:rsidRPr="00DD38A1">
        <w:rPr>
          <w:i/>
        </w:rPr>
        <w:t>The</w:t>
      </w:r>
      <w:proofErr w:type="gramEnd"/>
      <w:r w:rsidR="001A4558" w:rsidRPr="00DD38A1">
        <w:rPr>
          <w:i/>
        </w:rPr>
        <w:t xml:space="preserve"> Pyrrhic Liability Explosion</w:t>
      </w:r>
      <w:r>
        <w:t xml:space="preserve"> (</w:t>
      </w:r>
      <w:r w:rsidR="001A4558">
        <w:t>TWEN</w:t>
      </w:r>
      <w:r>
        <w:t>)</w:t>
      </w:r>
    </w:p>
    <w:p w:rsidR="001A4558" w:rsidRDefault="001A4558" w:rsidP="001A4558">
      <w:pPr>
        <w:autoSpaceDE w:val="0"/>
        <w:autoSpaceDN w:val="0"/>
        <w:adjustRightInd w:val="0"/>
      </w:pPr>
    </w:p>
    <w:p w:rsidR="001A4558" w:rsidRDefault="001A4558" w:rsidP="001A4558">
      <w:pPr>
        <w:autoSpaceDE w:val="0"/>
        <w:autoSpaceDN w:val="0"/>
        <w:adjustRightInd w:val="0"/>
      </w:pPr>
    </w:p>
    <w:p w:rsidR="001A4558" w:rsidRDefault="00922C53" w:rsidP="001A4558">
      <w:pPr>
        <w:autoSpaceDE w:val="0"/>
        <w:autoSpaceDN w:val="0"/>
        <w:adjustRightInd w:val="0"/>
      </w:pPr>
      <w:proofErr w:type="gramStart"/>
      <w:r>
        <w:t>3</w:t>
      </w:r>
      <w:r>
        <w:tab/>
      </w:r>
      <w:r>
        <w:tab/>
      </w:r>
      <w:r>
        <w:tab/>
        <w:t>3</w:t>
      </w:r>
      <w:r w:rsidR="001A4558">
        <w:t>.</w:t>
      </w:r>
      <w:proofErr w:type="gramEnd"/>
      <w:r w:rsidR="001A4558">
        <w:t xml:space="preserve">  What is the firm’s mission?  Corporate purposes and powers; </w:t>
      </w:r>
    </w:p>
    <w:p w:rsidR="001A4558" w:rsidRDefault="001A4558" w:rsidP="001A4558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cor</w:t>
      </w:r>
      <w:r w:rsidR="00BE7AC5">
        <w:t>poration’s social responsibility</w:t>
      </w:r>
    </w:p>
    <w:p w:rsidR="001A4558" w:rsidRDefault="00BE7AC5" w:rsidP="001A4558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686-88; 272-75</w:t>
      </w:r>
      <w:r w:rsidR="001A4558">
        <w:t>;</w:t>
      </w:r>
    </w:p>
    <w:p w:rsidR="001A4558" w:rsidRDefault="001A4558" w:rsidP="001A4558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053999">
        <w:rPr>
          <w:i/>
        </w:rPr>
        <w:t>A.P.Smith</w:t>
      </w:r>
      <w:proofErr w:type="spellEnd"/>
      <w:r w:rsidRPr="00053999">
        <w:rPr>
          <w:i/>
        </w:rPr>
        <w:t xml:space="preserve"> Mfg. Co. v. Barlow</w:t>
      </w:r>
      <w:r>
        <w:t>, 98 A.2d 581 (N.J. 1953)</w:t>
      </w:r>
    </w:p>
    <w:p w:rsidR="008557DA" w:rsidRDefault="008557DA" w:rsidP="001A4558">
      <w:pPr>
        <w:autoSpaceDE w:val="0"/>
        <w:autoSpaceDN w:val="0"/>
        <w:adjustRightInd w:val="0"/>
      </w:pPr>
    </w:p>
    <w:p w:rsidR="008557DA" w:rsidRDefault="008557DA" w:rsidP="001A4558">
      <w:pPr>
        <w:autoSpaceDE w:val="0"/>
        <w:autoSpaceDN w:val="0"/>
        <w:adjustRightInd w:val="0"/>
      </w:pPr>
      <w:r>
        <w:tab/>
      </w:r>
      <w:r>
        <w:tab/>
      </w:r>
      <w:r>
        <w:tab/>
        <w:t>SAR:</w:t>
      </w:r>
    </w:p>
    <w:p w:rsidR="008557DA" w:rsidRDefault="008557DA" w:rsidP="008557DA">
      <w:pPr>
        <w:tabs>
          <w:tab w:val="left" w:pos="0"/>
        </w:tabs>
        <w:autoSpaceDE w:val="0"/>
        <w:autoSpaceDN w:val="0"/>
        <w:adjustRightInd w:val="0"/>
        <w:ind w:left="2160"/>
      </w:pPr>
      <w:r>
        <w:t xml:space="preserve">Phillips &amp; </w:t>
      </w:r>
      <w:proofErr w:type="spellStart"/>
      <w:r>
        <w:t>Bohnen</w:t>
      </w:r>
      <w:proofErr w:type="gramStart"/>
      <w:r>
        <w:t>,</w:t>
      </w:r>
      <w:r w:rsidRPr="00702B44">
        <w:rPr>
          <w:i/>
        </w:rPr>
        <w:t>Corporate</w:t>
      </w:r>
      <w:proofErr w:type="spellEnd"/>
      <w:proofErr w:type="gramEnd"/>
      <w:r w:rsidRPr="00702B44">
        <w:rPr>
          <w:i/>
        </w:rPr>
        <w:t xml:space="preserve"> Gifts should be Disclosed</w:t>
      </w:r>
      <w:r>
        <w:t xml:space="preserve">, 14 </w:t>
      </w:r>
      <w:r w:rsidRPr="00702B44">
        <w:rPr>
          <w:smallCaps/>
        </w:rPr>
        <w:t>The Chronicle of Philanthropy</w:t>
      </w:r>
      <w:r>
        <w:rPr>
          <w:smallCaps/>
        </w:rPr>
        <w:t xml:space="preserve"> </w:t>
      </w:r>
      <w:r>
        <w:t>39 (March 21, 2002)(available on TWEN)</w:t>
      </w:r>
    </w:p>
    <w:p w:rsidR="008557DA" w:rsidRDefault="008557DA" w:rsidP="001A4558">
      <w:pPr>
        <w:autoSpaceDE w:val="0"/>
        <w:autoSpaceDN w:val="0"/>
        <w:adjustRightInd w:val="0"/>
      </w:pPr>
    </w:p>
    <w:p w:rsidR="001A4558" w:rsidRDefault="001A4558" w:rsidP="001A4558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A4558" w:rsidRDefault="001A4558" w:rsidP="001A4558">
      <w:pPr>
        <w:tabs>
          <w:tab w:val="left" w:pos="1440"/>
          <w:tab w:val="left" w:pos="1800"/>
        </w:tabs>
        <w:autoSpaceDE w:val="0"/>
        <w:autoSpaceDN w:val="0"/>
        <w:adjustRightInd w:val="0"/>
        <w:ind w:left="1800" w:hanging="3600"/>
      </w:pPr>
      <w:r>
        <w:tab/>
        <w:t xml:space="preserve"> B.</w:t>
      </w:r>
      <w:r>
        <w:tab/>
        <w:t>Capital Structure</w:t>
      </w:r>
    </w:p>
    <w:p w:rsidR="001A4558" w:rsidRDefault="001A4558" w:rsidP="001A4558">
      <w:pPr>
        <w:tabs>
          <w:tab w:val="left" w:pos="1440"/>
          <w:tab w:val="left" w:pos="1800"/>
        </w:tabs>
        <w:autoSpaceDE w:val="0"/>
        <w:autoSpaceDN w:val="0"/>
        <w:adjustRightInd w:val="0"/>
        <w:ind w:left="1800" w:hanging="3600"/>
      </w:pPr>
    </w:p>
    <w:p w:rsidR="001A4558" w:rsidRDefault="00BE7AC5" w:rsidP="001A4558">
      <w:pPr>
        <w:autoSpaceDE w:val="0"/>
        <w:autoSpaceDN w:val="0"/>
        <w:adjustRightInd w:val="0"/>
      </w:pPr>
      <w:r>
        <w:tab/>
      </w:r>
      <w:r>
        <w:tab/>
      </w:r>
      <w:r>
        <w:tab/>
        <w:t xml:space="preserve">1.  </w:t>
      </w:r>
      <w:proofErr w:type="gramStart"/>
      <w:r>
        <w:t>In</w:t>
      </w:r>
      <w:proofErr w:type="gramEnd"/>
      <w:r>
        <w:t xml:space="preserve"> general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10-12; 162-66</w:t>
      </w:r>
    </w:p>
    <w:p w:rsidR="00922C53" w:rsidRDefault="00922C53" w:rsidP="001A4558">
      <w:pPr>
        <w:autoSpaceDE w:val="0"/>
        <w:autoSpaceDN w:val="0"/>
        <w:adjustRightInd w:val="0"/>
      </w:pPr>
    </w:p>
    <w:p w:rsidR="00922C53" w:rsidRDefault="00922C53" w:rsidP="001A4558">
      <w:pPr>
        <w:autoSpaceDE w:val="0"/>
        <w:autoSpaceDN w:val="0"/>
        <w:adjustRightInd w:val="0"/>
      </w:pPr>
      <w:r>
        <w:tab/>
      </w:r>
      <w:r>
        <w:tab/>
      </w:r>
      <w:r>
        <w:tab/>
        <w:t>SAR:</w:t>
      </w:r>
    </w:p>
    <w:p w:rsidR="00922C53" w:rsidRDefault="00B25E21" w:rsidP="006F316D">
      <w:pPr>
        <w:autoSpaceDE w:val="0"/>
        <w:autoSpaceDN w:val="0"/>
        <w:adjustRightInd w:val="0"/>
        <w:ind w:left="2160"/>
      </w:pPr>
      <w:r>
        <w:t xml:space="preserve">Klein, Coffee &amp; </w:t>
      </w:r>
      <w:proofErr w:type="spellStart"/>
      <w:r>
        <w:t>Partnoy</w:t>
      </w:r>
      <w:proofErr w:type="spellEnd"/>
      <w:r>
        <w:t>, Business Organization &amp; Finance</w:t>
      </w:r>
      <w:r w:rsidR="00C433D7">
        <w:t xml:space="preserve"> 11</w:t>
      </w:r>
      <w:r w:rsidR="00C433D7" w:rsidRPr="00C433D7">
        <w:rPr>
          <w:vertAlign w:val="superscript"/>
        </w:rPr>
        <w:t>th</w:t>
      </w:r>
      <w:r w:rsidR="00C433D7">
        <w:t xml:space="preserve"> ed. 251-319 </w:t>
      </w:r>
      <w:r>
        <w:t xml:space="preserve"> (Foundation Press 2010) </w:t>
      </w:r>
    </w:p>
    <w:p w:rsidR="00922C53" w:rsidRDefault="00922C53" w:rsidP="001A4558">
      <w:pPr>
        <w:autoSpaceDE w:val="0"/>
        <w:autoSpaceDN w:val="0"/>
        <w:adjustRightInd w:val="0"/>
      </w:pPr>
    </w:p>
    <w:p w:rsidR="001A4558" w:rsidRDefault="00922C53" w:rsidP="00922C53">
      <w:pPr>
        <w:autoSpaceDE w:val="0"/>
        <w:autoSpaceDN w:val="0"/>
        <w:adjustRightInd w:val="0"/>
        <w:ind w:left="2160" w:hanging="2160"/>
      </w:pPr>
      <w:r>
        <w:t xml:space="preserve">4. </w:t>
      </w:r>
      <w:r>
        <w:tab/>
      </w:r>
      <w:r w:rsidR="001A4558">
        <w:t>2.  Protection of corporation’s creditors on account of unpaid capital</w:t>
      </w:r>
      <w:r w:rsidR="00250698">
        <w:t xml:space="preserve"> and distributions to shareholders </w:t>
      </w:r>
      <w:r w:rsidR="00250698">
        <w:tab/>
      </w:r>
      <w:r w:rsidR="00250698">
        <w:tab/>
      </w:r>
      <w:r w:rsidR="00250698">
        <w:tab/>
      </w:r>
      <w:r w:rsidR="00250698">
        <w:tab/>
        <w:t>593-99; 604-06</w:t>
      </w:r>
    </w:p>
    <w:p w:rsidR="00250698" w:rsidRDefault="00250698" w:rsidP="00922C53">
      <w:pPr>
        <w:autoSpaceDE w:val="0"/>
        <w:autoSpaceDN w:val="0"/>
        <w:adjustRightInd w:val="0"/>
        <w:ind w:left="2160" w:hanging="2160"/>
      </w:pPr>
    </w:p>
    <w:p w:rsidR="00250698" w:rsidRDefault="00250698" w:rsidP="00922C53">
      <w:pPr>
        <w:autoSpaceDE w:val="0"/>
        <w:autoSpaceDN w:val="0"/>
        <w:adjustRightInd w:val="0"/>
        <w:ind w:left="2160" w:hanging="2160"/>
      </w:pPr>
      <w:r>
        <w:tab/>
        <w:t>SAR:</w:t>
      </w:r>
    </w:p>
    <w:p w:rsidR="00250698" w:rsidRDefault="00250698" w:rsidP="00922C53">
      <w:pPr>
        <w:autoSpaceDE w:val="0"/>
        <w:autoSpaceDN w:val="0"/>
        <w:adjustRightInd w:val="0"/>
        <w:ind w:left="2160" w:hanging="2160"/>
      </w:pPr>
      <w:r>
        <w:tab/>
        <w:t>Manning &amp; Hanks, Legal Capital (3d ed. 1990)</w:t>
      </w:r>
    </w:p>
    <w:p w:rsidR="00250698" w:rsidRDefault="00250698" w:rsidP="001A4558">
      <w:pPr>
        <w:autoSpaceDE w:val="0"/>
        <w:autoSpaceDN w:val="0"/>
        <w:adjustRightInd w:val="0"/>
        <w:ind w:left="2160"/>
      </w:pPr>
    </w:p>
    <w:p w:rsidR="00250698" w:rsidRDefault="00250698" w:rsidP="001A4558">
      <w:pPr>
        <w:autoSpaceDE w:val="0"/>
        <w:autoSpaceDN w:val="0"/>
        <w:adjustRightInd w:val="0"/>
        <w:ind w:left="2160"/>
      </w:pPr>
      <w:r>
        <w:t>3.  Protection of corporation’s creditors on account of inadequate capitalization</w:t>
      </w:r>
      <w:r>
        <w:tab/>
      </w:r>
      <w:r w:rsidR="009153F2">
        <w:tab/>
      </w:r>
      <w:r w:rsidR="009153F2">
        <w:tab/>
      </w:r>
      <w:r w:rsidR="009153F2">
        <w:tab/>
      </w:r>
      <w:r w:rsidR="009153F2">
        <w:tab/>
        <w:t>608-40; 648-51; 651-57</w:t>
      </w:r>
    </w:p>
    <w:p w:rsidR="009153F2" w:rsidRDefault="009153F2" w:rsidP="001A4558">
      <w:pPr>
        <w:autoSpaceDE w:val="0"/>
        <w:autoSpaceDN w:val="0"/>
        <w:adjustRightInd w:val="0"/>
        <w:ind w:left="2160"/>
      </w:pPr>
    </w:p>
    <w:p w:rsidR="009153F2" w:rsidRDefault="009153F2" w:rsidP="001A4558">
      <w:pPr>
        <w:autoSpaceDE w:val="0"/>
        <w:autoSpaceDN w:val="0"/>
        <w:adjustRightInd w:val="0"/>
        <w:ind w:left="2160"/>
      </w:pPr>
      <w:r>
        <w:t>SAR:</w:t>
      </w:r>
    </w:p>
    <w:p w:rsidR="009153F2" w:rsidRDefault="000F23DB" w:rsidP="001A4558">
      <w:pPr>
        <w:autoSpaceDE w:val="0"/>
        <w:autoSpaceDN w:val="0"/>
        <w:adjustRightInd w:val="0"/>
        <w:ind w:left="2160"/>
      </w:pPr>
      <w:proofErr w:type="spellStart"/>
      <w:r>
        <w:t>Hansmann</w:t>
      </w:r>
      <w:proofErr w:type="spellEnd"/>
      <w:r>
        <w:t xml:space="preserve"> &amp; </w:t>
      </w:r>
      <w:proofErr w:type="spellStart"/>
      <w:r>
        <w:t>Kraakman</w:t>
      </w:r>
      <w:proofErr w:type="spellEnd"/>
      <w:r>
        <w:t xml:space="preserve">, </w:t>
      </w:r>
      <w:r>
        <w:rPr>
          <w:i/>
        </w:rPr>
        <w:t>Toward Unlimited Shareholder Liability for Corporate Torts</w:t>
      </w:r>
      <w:r>
        <w:t>, 100 Yale L.J. 1879 (1991)</w:t>
      </w:r>
    </w:p>
    <w:p w:rsidR="000F23DB" w:rsidRPr="000F23DB" w:rsidRDefault="000F23DB" w:rsidP="001A4558">
      <w:pPr>
        <w:autoSpaceDE w:val="0"/>
        <w:autoSpaceDN w:val="0"/>
        <w:adjustRightInd w:val="0"/>
        <w:ind w:left="2160"/>
      </w:pPr>
      <w:r>
        <w:t>Posner, Economic Analysis of Law__________</w:t>
      </w:r>
    </w:p>
    <w:p w:rsidR="001A4558" w:rsidRDefault="001A4558" w:rsidP="001A4558">
      <w:pPr>
        <w:autoSpaceDE w:val="0"/>
        <w:autoSpaceDN w:val="0"/>
        <w:adjustRightInd w:val="0"/>
        <w:ind w:left="2160"/>
      </w:pPr>
    </w:p>
    <w:p w:rsidR="001A4558" w:rsidRDefault="001A4558" w:rsidP="001A4558">
      <w:pPr>
        <w:tabs>
          <w:tab w:val="left" w:pos="2160"/>
        </w:tabs>
        <w:autoSpaceDE w:val="0"/>
        <w:autoSpaceDN w:val="0"/>
        <w:adjustRightInd w:val="0"/>
        <w:ind w:left="2160" w:hanging="2160"/>
      </w:pPr>
      <w:proofErr w:type="gramStart"/>
      <w:r>
        <w:t>5</w:t>
      </w:r>
      <w:r>
        <w:tab/>
        <w:t>3.</w:t>
      </w:r>
      <w:proofErr w:type="gramEnd"/>
      <w:r>
        <w:t xml:space="preserve">  Protection of corporation’s shareholders through the Securities                      Act of 1933</w:t>
      </w:r>
      <w:r>
        <w:tab/>
      </w:r>
      <w:r>
        <w:tab/>
      </w:r>
      <w:r>
        <w:tab/>
      </w:r>
      <w:r>
        <w:tab/>
        <w:t xml:space="preserve">                    </w:t>
      </w:r>
      <w:r w:rsidR="000F23DB">
        <w:t xml:space="preserve">  196-213</w:t>
      </w:r>
      <w:r>
        <w:t>;</w:t>
      </w:r>
    </w:p>
    <w:p w:rsidR="001A4558" w:rsidRDefault="001A4558" w:rsidP="001A4558">
      <w:pPr>
        <w:tabs>
          <w:tab w:val="left" w:pos="2160"/>
        </w:tabs>
        <w:autoSpaceDE w:val="0"/>
        <w:autoSpaceDN w:val="0"/>
        <w:adjustRightInd w:val="0"/>
        <w:ind w:left="2160" w:hanging="2160"/>
      </w:pPr>
      <w:r>
        <w:tab/>
      </w:r>
      <w:r>
        <w:tab/>
        <w:t>’33 Act §§2(a</w:t>
      </w:r>
      <w:proofErr w:type="gramStart"/>
      <w:r>
        <w:t>)(</w:t>
      </w:r>
      <w:proofErr w:type="gramEnd"/>
      <w:r>
        <w:t>1),(4) &amp; (11), 3(a)(3) &amp; (11), 3(b), 4(1) &amp; (2), &amp; 5;</w:t>
      </w:r>
      <w:r>
        <w:tab/>
      </w:r>
      <w:r>
        <w:tab/>
        <w:t xml:space="preserve">SEC Rules 144, 147, &amp; 501-08 </w:t>
      </w:r>
    </w:p>
    <w:p w:rsidR="001A4558" w:rsidRDefault="001A4558" w:rsidP="001A4558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A4558" w:rsidRDefault="001A4558" w:rsidP="001A4558">
      <w:pPr>
        <w:autoSpaceDE w:val="0"/>
        <w:autoSpaceDN w:val="0"/>
        <w:adjustRightInd w:val="0"/>
      </w:pPr>
    </w:p>
    <w:p w:rsidR="001A4558" w:rsidRDefault="001A4558" w:rsidP="001A4558">
      <w:pPr>
        <w:tabs>
          <w:tab w:val="left" w:pos="1440"/>
          <w:tab w:val="left" w:pos="1800"/>
        </w:tabs>
        <w:autoSpaceDE w:val="0"/>
        <w:autoSpaceDN w:val="0"/>
        <w:adjustRightInd w:val="0"/>
        <w:ind w:left="1800" w:hanging="3600"/>
      </w:pPr>
      <w:r>
        <w:tab/>
        <w:t>C.</w:t>
      </w:r>
      <w:r>
        <w:tab/>
        <w:t>Control Structure</w:t>
      </w:r>
    </w:p>
    <w:p w:rsidR="001A4558" w:rsidRDefault="001A4558" w:rsidP="001A4558">
      <w:pPr>
        <w:tabs>
          <w:tab w:val="left" w:pos="1440"/>
          <w:tab w:val="left" w:pos="1800"/>
        </w:tabs>
        <w:autoSpaceDE w:val="0"/>
        <w:autoSpaceDN w:val="0"/>
        <w:adjustRightInd w:val="0"/>
        <w:ind w:left="1800" w:hanging="3600"/>
      </w:pPr>
    </w:p>
    <w:p w:rsidR="001A4558" w:rsidRDefault="001A4558" w:rsidP="001A4558">
      <w:pPr>
        <w:tabs>
          <w:tab w:val="left" w:pos="360"/>
        </w:tabs>
        <w:autoSpaceDE w:val="0"/>
        <w:autoSpaceDN w:val="0"/>
        <w:adjustRightInd w:val="0"/>
        <w:ind w:left="360" w:hanging="360"/>
      </w:pPr>
      <w:proofErr w:type="gramStart"/>
      <w:r>
        <w:t>6</w:t>
      </w:r>
      <w:r>
        <w:tab/>
        <w:t xml:space="preserve">                              1.</w:t>
      </w:r>
      <w:proofErr w:type="gramEnd"/>
      <w:r>
        <w:t xml:space="preserve">  Duties of Officers and Directors</w:t>
      </w:r>
    </w:p>
    <w:p w:rsidR="001A4558" w:rsidRDefault="001A4558" w:rsidP="001A4558">
      <w:pPr>
        <w:tabs>
          <w:tab w:val="left" w:pos="360"/>
        </w:tabs>
        <w:autoSpaceDE w:val="0"/>
        <w:autoSpaceDN w:val="0"/>
        <w:adjustRightInd w:val="0"/>
        <w:ind w:left="360" w:hanging="360"/>
      </w:pPr>
    </w:p>
    <w:p w:rsidR="001A4558" w:rsidRDefault="001A4558" w:rsidP="000F23DB">
      <w:pPr>
        <w:pStyle w:val="ListParagraph"/>
        <w:numPr>
          <w:ilvl w:val="0"/>
          <w:numId w:val="1"/>
        </w:numPr>
        <w:tabs>
          <w:tab w:val="left" w:pos="2880"/>
          <w:tab w:val="left" w:pos="3240"/>
        </w:tabs>
        <w:autoSpaceDE w:val="0"/>
        <w:autoSpaceDN w:val="0"/>
        <w:adjustRightInd w:val="0"/>
      </w:pPr>
      <w:r>
        <w:t>Duty of loyalty in context of interested transactions</w:t>
      </w:r>
      <w:r>
        <w:tab/>
      </w:r>
      <w:r>
        <w:tab/>
        <w:t xml:space="preserve">               </w:t>
      </w:r>
      <w:r>
        <w:tab/>
        <w:t xml:space="preserve">                       </w:t>
      </w:r>
      <w:r w:rsidR="000F23DB">
        <w:t xml:space="preserve">277; 301-12; </w:t>
      </w:r>
      <w:r>
        <w:t>SecExchAct§13(k)</w:t>
      </w:r>
    </w:p>
    <w:p w:rsidR="000F23DB" w:rsidRDefault="000F23DB" w:rsidP="000F23DB">
      <w:pPr>
        <w:tabs>
          <w:tab w:val="left" w:pos="2880"/>
          <w:tab w:val="left" w:pos="3240"/>
        </w:tabs>
        <w:autoSpaceDE w:val="0"/>
        <w:autoSpaceDN w:val="0"/>
        <w:adjustRightInd w:val="0"/>
        <w:ind w:left="2880"/>
      </w:pPr>
    </w:p>
    <w:p w:rsidR="000F23DB" w:rsidRDefault="0080152D" w:rsidP="0080152D">
      <w:pPr>
        <w:tabs>
          <w:tab w:val="left" w:pos="2880"/>
          <w:tab w:val="left" w:pos="3240"/>
        </w:tabs>
        <w:autoSpaceDE w:val="0"/>
        <w:autoSpaceDN w:val="0"/>
        <w:adjustRightInd w:val="0"/>
      </w:pPr>
      <w:r>
        <w:tab/>
      </w:r>
      <w:r w:rsidR="000F23DB">
        <w:t>SAR:</w:t>
      </w:r>
    </w:p>
    <w:p w:rsidR="0080152D" w:rsidRDefault="0080152D" w:rsidP="0080152D">
      <w:pPr>
        <w:tabs>
          <w:tab w:val="left" w:pos="0"/>
        </w:tabs>
        <w:autoSpaceDE w:val="0"/>
        <w:autoSpaceDN w:val="0"/>
        <w:adjustRightInd w:val="0"/>
        <w:ind w:left="2880"/>
      </w:pPr>
      <w:r>
        <w:t>Phillips,</w:t>
      </w:r>
      <w:r>
        <w:rPr>
          <w:i/>
        </w:rPr>
        <w:t xml:space="preserve"> </w:t>
      </w:r>
      <w:r w:rsidRPr="00874327">
        <w:rPr>
          <w:i/>
        </w:rPr>
        <w:t xml:space="preserve">Managerial Misuse of Property: The Synthesizing Thread </w:t>
      </w:r>
      <w:proofErr w:type="gramStart"/>
      <w:r w:rsidRPr="00874327">
        <w:rPr>
          <w:i/>
        </w:rPr>
        <w:t xml:space="preserve">in  </w:t>
      </w:r>
      <w:r>
        <w:rPr>
          <w:i/>
        </w:rPr>
        <w:t>Corporate</w:t>
      </w:r>
      <w:proofErr w:type="gramEnd"/>
      <w:r>
        <w:rPr>
          <w:i/>
        </w:rPr>
        <w:t xml:space="preserve">  </w:t>
      </w:r>
      <w:r w:rsidRPr="00874327">
        <w:rPr>
          <w:i/>
        </w:rPr>
        <w:t>Doctrine</w:t>
      </w:r>
      <w:r w:rsidRPr="005C528A">
        <w:t xml:space="preserve">, </w:t>
      </w:r>
      <w:r>
        <w:t xml:space="preserve">32 </w:t>
      </w:r>
      <w:r w:rsidRPr="00874327">
        <w:rPr>
          <w:smallCaps/>
        </w:rPr>
        <w:t>Rutgers L. Rev.</w:t>
      </w:r>
      <w:r>
        <w:t xml:space="preserve"> 184 (1979)</w:t>
      </w:r>
    </w:p>
    <w:p w:rsidR="000F23DB" w:rsidRDefault="000F23DB" w:rsidP="000F23DB">
      <w:pPr>
        <w:tabs>
          <w:tab w:val="left" w:pos="2880"/>
          <w:tab w:val="left" w:pos="3240"/>
        </w:tabs>
        <w:autoSpaceDE w:val="0"/>
        <w:autoSpaceDN w:val="0"/>
        <w:adjustRightInd w:val="0"/>
        <w:ind w:left="2880"/>
      </w:pPr>
    </w:p>
    <w:p w:rsidR="001A4558" w:rsidRDefault="001A4558" w:rsidP="00930DEE">
      <w:pPr>
        <w:tabs>
          <w:tab w:val="left" w:pos="2880"/>
          <w:tab w:val="left" w:pos="3240"/>
        </w:tabs>
        <w:autoSpaceDE w:val="0"/>
        <w:autoSpaceDN w:val="0"/>
        <w:adjustRightInd w:val="0"/>
        <w:ind w:left="3240" w:hanging="5040"/>
      </w:pPr>
      <w:r>
        <w:t xml:space="preserve">                              </w:t>
      </w:r>
      <w:r>
        <w:tab/>
      </w:r>
    </w:p>
    <w:p w:rsidR="001A4558" w:rsidRDefault="00930DEE" w:rsidP="001A4558">
      <w:pPr>
        <w:autoSpaceDE w:val="0"/>
        <w:autoSpaceDN w:val="0"/>
        <w:adjustRightInd w:val="0"/>
      </w:pPr>
      <w:r>
        <w:t>7</w:t>
      </w:r>
      <w:r>
        <w:tab/>
      </w:r>
      <w:r>
        <w:tab/>
      </w:r>
      <w:r>
        <w:tab/>
      </w:r>
      <w:r>
        <w:tab/>
        <w:t xml:space="preserve">b. </w:t>
      </w:r>
      <w:r w:rsidR="001A4558">
        <w:t>Duty of care and the “business judgment rule”</w:t>
      </w:r>
    </w:p>
    <w:p w:rsidR="00930DEE" w:rsidRDefault="001A4558" w:rsidP="00930DEE">
      <w:pPr>
        <w:autoSpaceDE w:val="0"/>
        <w:autoSpaceDN w:val="0"/>
        <w:adjustRightInd w:val="0"/>
        <w:ind w:left="5760" w:firstLine="720"/>
      </w:pPr>
      <w:r>
        <w:t>2</w:t>
      </w:r>
      <w:r w:rsidR="00930DEE">
        <w:t>6</w:t>
      </w:r>
      <w:r>
        <w:t>5-</w:t>
      </w:r>
      <w:r w:rsidR="00930DEE">
        <w:t>7</w:t>
      </w:r>
      <w:r>
        <w:t xml:space="preserve">1; </w:t>
      </w:r>
      <w:r w:rsidR="00B36E6C">
        <w:t>323-57</w:t>
      </w:r>
    </w:p>
    <w:p w:rsidR="00B36E6C" w:rsidRDefault="00B36E6C" w:rsidP="00B36E6C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  <w:t>SAR:</w:t>
      </w:r>
    </w:p>
    <w:p w:rsidR="001A4558" w:rsidRDefault="00B36E6C" w:rsidP="00B36E6C">
      <w:pPr>
        <w:autoSpaceDE w:val="0"/>
        <w:autoSpaceDN w:val="0"/>
        <w:adjustRightInd w:val="0"/>
        <w:ind w:left="2880"/>
      </w:pPr>
      <w:proofErr w:type="spellStart"/>
      <w:r>
        <w:rPr>
          <w:i/>
        </w:rPr>
        <w:t>Litwin</w:t>
      </w:r>
      <w:proofErr w:type="spellEnd"/>
      <w:r>
        <w:rPr>
          <w:i/>
        </w:rPr>
        <w:t xml:space="preserve"> </w:t>
      </w:r>
      <w:r w:rsidR="001A4558" w:rsidRPr="00053999">
        <w:rPr>
          <w:i/>
        </w:rPr>
        <w:t>v. Allen</w:t>
      </w:r>
      <w:r w:rsidR="001A4558">
        <w:t xml:space="preserve">, 25 N.Y.S.2d 667 (Sup. Ct., Special Term, N.Y. Co. 1940); </w:t>
      </w:r>
      <w:r w:rsidR="001A4558" w:rsidRPr="00053999">
        <w:rPr>
          <w:i/>
        </w:rPr>
        <w:t>Francis v. United Jersey Bank</w:t>
      </w:r>
      <w:r w:rsidR="001A4558">
        <w:t xml:space="preserve">, 432 A.2d 814 (N.J. 1981); </w:t>
      </w:r>
    </w:p>
    <w:p w:rsidR="00B51B55" w:rsidRPr="00DA0221" w:rsidRDefault="00B36E6C" w:rsidP="00B36E6C">
      <w:pPr>
        <w:tabs>
          <w:tab w:val="left" w:pos="0"/>
        </w:tabs>
        <w:autoSpaceDE w:val="0"/>
        <w:autoSpaceDN w:val="0"/>
        <w:adjustRightInd w:val="0"/>
        <w:ind w:left="2880"/>
      </w:pPr>
      <w:r>
        <w:t xml:space="preserve">Phillips, </w:t>
      </w:r>
      <w:r w:rsidR="00B51B55" w:rsidRPr="00F5552F">
        <w:rPr>
          <w:i/>
        </w:rPr>
        <w:t>Principles of Corporate Governance:  A Critique of Part IV</w:t>
      </w:r>
      <w:r w:rsidR="00B51B55" w:rsidRPr="00DA0221">
        <w:t xml:space="preserve">, 52 </w:t>
      </w:r>
      <w:r w:rsidR="00B51B55" w:rsidRPr="00F5552F">
        <w:rPr>
          <w:smallCaps/>
        </w:rPr>
        <w:t>Geo. Wash. L .Rev.</w:t>
      </w:r>
      <w:r>
        <w:rPr>
          <w:smallCaps/>
        </w:rPr>
        <w:t xml:space="preserve"> </w:t>
      </w:r>
      <w:r w:rsidR="00B51B55" w:rsidRPr="00DA0221">
        <w:t>653 (1984)</w:t>
      </w:r>
    </w:p>
    <w:p w:rsidR="001A4558" w:rsidRDefault="001A4558" w:rsidP="001A4558">
      <w:pPr>
        <w:autoSpaceDE w:val="0"/>
        <w:autoSpaceDN w:val="0"/>
        <w:adjustRightInd w:val="0"/>
      </w:pPr>
    </w:p>
    <w:p w:rsidR="001A4558" w:rsidRDefault="006425C0" w:rsidP="001A4558">
      <w:pPr>
        <w:autoSpaceDE w:val="0"/>
        <w:autoSpaceDN w:val="0"/>
        <w:adjustRightInd w:val="0"/>
      </w:pPr>
      <w:r>
        <w:t>8</w:t>
      </w:r>
      <w:r w:rsidR="001A4558">
        <w:t xml:space="preserve">              </w:t>
      </w:r>
      <w:r w:rsidR="00B36E6C">
        <w:t xml:space="preserve">                               c</w:t>
      </w:r>
      <w:r w:rsidR="001A4558">
        <w:t>.  Duty of Good Faith, oversight and monitoring</w:t>
      </w:r>
    </w:p>
    <w:p w:rsidR="009F54E7" w:rsidRDefault="00B36E6C" w:rsidP="001A4558">
      <w:pPr>
        <w:autoSpaceDE w:val="0"/>
        <w:autoSpaceDN w:val="0"/>
        <w:adjustRightInd w:val="0"/>
        <w:ind w:left="2880" w:firstLine="720"/>
      </w:pPr>
      <w:r>
        <w:t>357-74</w:t>
      </w:r>
      <w:r w:rsidR="001A4558">
        <w:t>;</w:t>
      </w:r>
      <w:r w:rsidR="009F54E7">
        <w:t xml:space="preserve"> 375-93; 393-97</w:t>
      </w:r>
      <w:r w:rsidR="00F857CC">
        <w:t>; 428-32</w:t>
      </w:r>
    </w:p>
    <w:p w:rsidR="006425C0" w:rsidRDefault="006425C0" w:rsidP="006425C0">
      <w:pPr>
        <w:autoSpaceDE w:val="0"/>
        <w:autoSpaceDN w:val="0"/>
        <w:adjustRightInd w:val="0"/>
      </w:pPr>
    </w:p>
    <w:p w:rsidR="00930DEE" w:rsidRDefault="006425C0" w:rsidP="006425C0">
      <w:pPr>
        <w:autoSpaceDE w:val="0"/>
        <w:autoSpaceDN w:val="0"/>
        <w:adjustRightInd w:val="0"/>
      </w:pPr>
      <w:r>
        <w:t>9</w:t>
      </w:r>
      <w:r w:rsidR="00930DEE">
        <w:tab/>
      </w:r>
      <w:r w:rsidR="00930DEE">
        <w:tab/>
      </w:r>
      <w:r w:rsidR="00930DEE">
        <w:tab/>
      </w:r>
      <w:r>
        <w:tab/>
      </w:r>
      <w:r w:rsidR="00B36E6C">
        <w:t>d</w:t>
      </w:r>
      <w:r w:rsidR="00930DEE">
        <w:t xml:space="preserve">.  </w:t>
      </w:r>
      <w:r w:rsidR="009F54E7">
        <w:t>Usurpation</w:t>
      </w:r>
      <w:r w:rsidR="00930DEE">
        <w:t xml:space="preserve"> of </w:t>
      </w:r>
      <w:r w:rsidR="009F54E7">
        <w:t>c</w:t>
      </w:r>
      <w:r w:rsidR="00930DEE">
        <w:t>orporate opportunities</w:t>
      </w:r>
      <w:r w:rsidR="009F54E7">
        <w:tab/>
      </w:r>
      <w:r w:rsidR="009F54E7">
        <w:tab/>
        <w:t>277-300</w:t>
      </w:r>
    </w:p>
    <w:p w:rsidR="009F54E7" w:rsidRDefault="009F54E7" w:rsidP="00930DEE">
      <w:pPr>
        <w:tabs>
          <w:tab w:val="left" w:pos="2880"/>
          <w:tab w:val="left" w:pos="3240"/>
        </w:tabs>
        <w:autoSpaceDE w:val="0"/>
        <w:autoSpaceDN w:val="0"/>
        <w:adjustRightInd w:val="0"/>
        <w:ind w:left="3240" w:hanging="5040"/>
      </w:pPr>
      <w:r>
        <w:t>S</w:t>
      </w:r>
    </w:p>
    <w:p w:rsidR="009F54E7" w:rsidRDefault="009F54E7" w:rsidP="009F54E7">
      <w:pPr>
        <w:tabs>
          <w:tab w:val="left" w:pos="2880"/>
        </w:tabs>
        <w:autoSpaceDE w:val="0"/>
        <w:autoSpaceDN w:val="0"/>
        <w:adjustRightInd w:val="0"/>
        <w:ind w:left="3240" w:hanging="5040"/>
      </w:pPr>
      <w:r>
        <w:tab/>
        <w:t>SAR:</w:t>
      </w:r>
    </w:p>
    <w:p w:rsidR="00930DEE" w:rsidRPr="007A2E07" w:rsidRDefault="009F54E7" w:rsidP="009F54E7">
      <w:pPr>
        <w:tabs>
          <w:tab w:val="left" w:pos="2880"/>
        </w:tabs>
        <w:autoSpaceDE w:val="0"/>
        <w:autoSpaceDN w:val="0"/>
        <w:adjustRightInd w:val="0"/>
        <w:ind w:left="3240" w:hanging="5040"/>
      </w:pPr>
      <w:r>
        <w:tab/>
      </w:r>
      <w:proofErr w:type="spellStart"/>
      <w:r>
        <w:t>Brudney</w:t>
      </w:r>
      <w:proofErr w:type="spellEnd"/>
      <w:r>
        <w:t xml:space="preserve"> &amp; Clark, </w:t>
      </w:r>
      <w:r>
        <w:rPr>
          <w:i/>
        </w:rPr>
        <w:t>A New Look at Corporate Opportunities</w:t>
      </w:r>
      <w:r>
        <w:t xml:space="preserve">, 94 </w:t>
      </w:r>
      <w:proofErr w:type="spellStart"/>
      <w:r>
        <w:t>Harv</w:t>
      </w:r>
      <w:proofErr w:type="spellEnd"/>
      <w:r>
        <w:t>. L. Rev. 998 (1981)</w:t>
      </w:r>
      <w:r w:rsidR="00930DEE">
        <w:tab/>
      </w:r>
      <w:r w:rsidR="00930DEE">
        <w:tab/>
      </w:r>
      <w:r w:rsidR="00930DEE">
        <w:tab/>
      </w:r>
      <w:r w:rsidR="00930DEE">
        <w:tab/>
      </w:r>
      <w:r>
        <w:tab/>
      </w:r>
      <w:r>
        <w:tab/>
      </w:r>
    </w:p>
    <w:p w:rsidR="001A4558" w:rsidRDefault="001A4558" w:rsidP="001A4558">
      <w:pPr>
        <w:autoSpaceDE w:val="0"/>
        <w:autoSpaceDN w:val="0"/>
        <w:adjustRightInd w:val="0"/>
      </w:pPr>
    </w:p>
    <w:p w:rsidR="00F857CC" w:rsidRDefault="001A4558" w:rsidP="00F857CC">
      <w:pPr>
        <w:autoSpaceDE w:val="0"/>
        <w:autoSpaceDN w:val="0"/>
        <w:adjustRightInd w:val="0"/>
        <w:ind w:left="2880"/>
      </w:pPr>
      <w:proofErr w:type="gramStart"/>
      <w:r>
        <w:t xml:space="preserve">e. </w:t>
      </w:r>
      <w:r w:rsidR="00F857CC">
        <w:t xml:space="preserve"> Waste</w:t>
      </w:r>
      <w:proofErr w:type="gramEnd"/>
      <w:r w:rsidR="00F857CC">
        <w:t xml:space="preserve"> of Corporate Assets – the problem of executive and board compensation                      </w:t>
      </w:r>
      <w:r w:rsidR="00F857CC">
        <w:tab/>
        <w:t>322-23; 422-27</w:t>
      </w:r>
    </w:p>
    <w:p w:rsidR="00F857CC" w:rsidRDefault="00F857CC" w:rsidP="00F857CC">
      <w:pPr>
        <w:autoSpaceDE w:val="0"/>
        <w:autoSpaceDN w:val="0"/>
        <w:adjustRightInd w:val="0"/>
        <w:ind w:left="2880"/>
      </w:pPr>
    </w:p>
    <w:p w:rsidR="001A4558" w:rsidRDefault="00F857CC" w:rsidP="00F857CC">
      <w:pPr>
        <w:autoSpaceDE w:val="0"/>
        <w:autoSpaceDN w:val="0"/>
        <w:adjustRightInd w:val="0"/>
        <w:ind w:left="2880"/>
      </w:pPr>
      <w:r>
        <w:t>SAR:</w:t>
      </w:r>
      <w:r w:rsidR="001A4558">
        <w:t xml:space="preserve">                 </w:t>
      </w:r>
    </w:p>
    <w:p w:rsidR="001A4558" w:rsidRDefault="001A4558" w:rsidP="001A4558">
      <w:pPr>
        <w:autoSpaceDE w:val="0"/>
        <w:autoSpaceDN w:val="0"/>
        <w:adjustRightInd w:val="0"/>
      </w:pPr>
      <w:r>
        <w:tab/>
      </w:r>
      <w:r w:rsidR="00F857CC">
        <w:tab/>
      </w:r>
      <w:r w:rsidR="00F857CC">
        <w:tab/>
      </w:r>
      <w:r w:rsidR="00F857CC">
        <w:tab/>
      </w:r>
      <w:r w:rsidRPr="00053999">
        <w:rPr>
          <w:i/>
        </w:rPr>
        <w:t>Rogers v. Hill</w:t>
      </w:r>
      <w:r>
        <w:t>, 289 U.S. 582 (1933)</w:t>
      </w:r>
    </w:p>
    <w:p w:rsidR="00E614E6" w:rsidRDefault="00E614E6" w:rsidP="006906E9">
      <w:pPr>
        <w:autoSpaceDE w:val="0"/>
        <w:autoSpaceDN w:val="0"/>
        <w:adjustRightInd w:val="0"/>
        <w:ind w:left="2880"/>
      </w:pPr>
      <w:proofErr w:type="spellStart"/>
      <w:r>
        <w:t>Bebchuk</w:t>
      </w:r>
      <w:proofErr w:type="spellEnd"/>
      <w:r>
        <w:t xml:space="preserve"> &amp; Fried, </w:t>
      </w:r>
      <w:r>
        <w:rPr>
          <w:i/>
        </w:rPr>
        <w:t xml:space="preserve">Paying for Performance, </w:t>
      </w:r>
      <w:r>
        <w:t>___ U. Pa. L. Rev. ___ (2010)</w:t>
      </w:r>
      <w:r>
        <w:tab/>
      </w:r>
      <w:r>
        <w:tab/>
      </w:r>
      <w:r>
        <w:tab/>
      </w:r>
      <w:r>
        <w:tab/>
      </w:r>
    </w:p>
    <w:p w:rsidR="006425C0" w:rsidRDefault="006425C0" w:rsidP="001A4558">
      <w:pPr>
        <w:autoSpaceDE w:val="0"/>
        <w:autoSpaceDN w:val="0"/>
        <w:adjustRightInd w:val="0"/>
      </w:pPr>
      <w:r>
        <w:tab/>
      </w:r>
      <w:r>
        <w:tab/>
      </w:r>
    </w:p>
    <w:p w:rsidR="00F857CC" w:rsidRDefault="00F857CC" w:rsidP="001A4558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</w:p>
    <w:p w:rsidR="001A4558" w:rsidRDefault="001A4558" w:rsidP="001A4558">
      <w:pPr>
        <w:autoSpaceDE w:val="0"/>
        <w:autoSpaceDN w:val="0"/>
        <w:adjustRightInd w:val="0"/>
        <w:ind w:left="720" w:hanging="720"/>
      </w:pPr>
      <w:proofErr w:type="gramStart"/>
      <w:r>
        <w:t>10</w:t>
      </w:r>
      <w:r w:rsidR="00F57C48">
        <w:t xml:space="preserve"> &amp; 11</w:t>
      </w:r>
      <w:r w:rsidR="00F57C48">
        <w:tab/>
      </w:r>
      <w:r w:rsidR="00F57C48">
        <w:tab/>
      </w:r>
      <w:r w:rsidR="00F57C48">
        <w:tab/>
      </w:r>
      <w:r>
        <w:t>f.</w:t>
      </w:r>
      <w:proofErr w:type="gramEnd"/>
      <w:r>
        <w:t xml:space="preserve">  Fraud and/or mismanagement under Rule 10b-5                                                                                                              </w:t>
      </w:r>
    </w:p>
    <w:p w:rsidR="00F57C48" w:rsidRDefault="00F57C48" w:rsidP="00F57C48">
      <w:pPr>
        <w:autoSpaceDE w:val="0"/>
        <w:autoSpaceDN w:val="0"/>
        <w:adjustRightInd w:val="0"/>
        <w:ind w:left="2880"/>
      </w:pPr>
      <w:r>
        <w:t>996-1023; 1031-61</w:t>
      </w:r>
      <w:r w:rsidR="001A4558">
        <w:t>;</w:t>
      </w:r>
      <w:r w:rsidR="0061403E" w:rsidRPr="0061403E">
        <w:rPr>
          <w:i/>
        </w:rPr>
        <w:t xml:space="preserve"> </w:t>
      </w:r>
      <w:r w:rsidR="0061403E" w:rsidRPr="00053999">
        <w:rPr>
          <w:i/>
        </w:rPr>
        <w:t xml:space="preserve">Merrill Lynch…v. </w:t>
      </w:r>
      <w:proofErr w:type="spellStart"/>
      <w:r w:rsidR="0061403E" w:rsidRPr="00053999">
        <w:rPr>
          <w:i/>
        </w:rPr>
        <w:t>Dabit</w:t>
      </w:r>
      <w:proofErr w:type="spellEnd"/>
      <w:r w:rsidR="0061403E">
        <w:t>, 547 U.S. 71 (2006);</w:t>
      </w:r>
      <w:r w:rsidRPr="00F57C48">
        <w:rPr>
          <w:i/>
        </w:rPr>
        <w:t xml:space="preserve"> </w:t>
      </w:r>
      <w:proofErr w:type="spellStart"/>
      <w:r w:rsidRPr="00053999">
        <w:rPr>
          <w:i/>
        </w:rPr>
        <w:t>Stoneridge</w:t>
      </w:r>
      <w:proofErr w:type="spellEnd"/>
      <w:r w:rsidRPr="00053999">
        <w:rPr>
          <w:i/>
        </w:rPr>
        <w:t xml:space="preserve"> Inv. Partners LLC v. Scientific Atlanta</w:t>
      </w:r>
      <w:r>
        <w:t>, 552 U.S. 148 (2008)</w:t>
      </w:r>
    </w:p>
    <w:p w:rsidR="00F57C48" w:rsidRDefault="00F57C48" w:rsidP="00F57C48">
      <w:pPr>
        <w:autoSpaceDE w:val="0"/>
        <w:autoSpaceDN w:val="0"/>
        <w:adjustRightInd w:val="0"/>
        <w:ind w:left="2880"/>
      </w:pPr>
    </w:p>
    <w:p w:rsidR="00F57C48" w:rsidRDefault="00F57C48" w:rsidP="00F57C48">
      <w:pPr>
        <w:autoSpaceDE w:val="0"/>
        <w:autoSpaceDN w:val="0"/>
        <w:adjustRightInd w:val="0"/>
        <w:ind w:left="2880"/>
      </w:pPr>
      <w:r>
        <w:t>SAR:</w:t>
      </w:r>
    </w:p>
    <w:p w:rsidR="00F57C48" w:rsidRDefault="0061403E" w:rsidP="0061403E">
      <w:pPr>
        <w:tabs>
          <w:tab w:val="left" w:pos="0"/>
        </w:tabs>
        <w:autoSpaceDE w:val="0"/>
        <w:autoSpaceDN w:val="0"/>
        <w:adjustRightInd w:val="0"/>
        <w:ind w:left="2880"/>
      </w:pPr>
      <w:r>
        <w:t xml:space="preserve">Phillips, </w:t>
      </w:r>
      <w:proofErr w:type="gramStart"/>
      <w:r w:rsidRPr="00F9513B">
        <w:rPr>
          <w:i/>
        </w:rPr>
        <w:t>An</w:t>
      </w:r>
      <w:proofErr w:type="gramEnd"/>
      <w:r w:rsidRPr="00F9513B">
        <w:rPr>
          <w:i/>
        </w:rPr>
        <w:t xml:space="preserve"> Essay:  The Competing Currents of Rule 10b-5 Jurisprudence,</w:t>
      </w:r>
      <w:r>
        <w:t xml:space="preserve"> 21 </w:t>
      </w:r>
      <w:r w:rsidRPr="00F9513B">
        <w:rPr>
          <w:smallCaps/>
        </w:rPr>
        <w:t>Indiana L. Rev.</w:t>
      </w:r>
      <w:r>
        <w:t xml:space="preserve"> 625 (1988);</w:t>
      </w:r>
    </w:p>
    <w:p w:rsidR="0061403E" w:rsidRDefault="0061403E" w:rsidP="0061403E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 w:rsidR="001A4558">
        <w:t xml:space="preserve"> </w:t>
      </w:r>
      <w:r w:rsidR="001A4558" w:rsidRPr="00053999">
        <w:rPr>
          <w:i/>
        </w:rPr>
        <w:t>Affiliated Ute Citizens v. US</w:t>
      </w:r>
      <w:r w:rsidR="001A4558">
        <w:t xml:space="preserve">, 406 U.S. 128 (1972); </w:t>
      </w:r>
    </w:p>
    <w:p w:rsidR="0061403E" w:rsidRDefault="001A4558" w:rsidP="0061403E">
      <w:pPr>
        <w:autoSpaceDE w:val="0"/>
        <w:autoSpaceDN w:val="0"/>
        <w:adjustRightInd w:val="0"/>
        <w:ind w:left="2160" w:firstLine="720"/>
      </w:pPr>
      <w:proofErr w:type="spellStart"/>
      <w:r w:rsidRPr="00053999">
        <w:rPr>
          <w:i/>
        </w:rPr>
        <w:t>Cort</w:t>
      </w:r>
      <w:proofErr w:type="spellEnd"/>
      <w:r w:rsidRPr="00053999">
        <w:rPr>
          <w:i/>
        </w:rPr>
        <w:t xml:space="preserve"> v. Ash</w:t>
      </w:r>
      <w:r>
        <w:t>, 422 U.S. 66 (1975);</w:t>
      </w:r>
    </w:p>
    <w:p w:rsidR="0061403E" w:rsidRDefault="001A4558" w:rsidP="0061403E">
      <w:pPr>
        <w:autoSpaceDE w:val="0"/>
        <w:autoSpaceDN w:val="0"/>
        <w:adjustRightInd w:val="0"/>
        <w:ind w:left="2160" w:firstLine="720"/>
      </w:pPr>
      <w:proofErr w:type="spellStart"/>
      <w:r w:rsidRPr="00053999">
        <w:rPr>
          <w:i/>
        </w:rPr>
        <w:t>Landreth</w:t>
      </w:r>
      <w:proofErr w:type="spellEnd"/>
      <w:r w:rsidRPr="00053999">
        <w:rPr>
          <w:i/>
        </w:rPr>
        <w:t xml:space="preserve"> Timber Co. v. </w:t>
      </w:r>
      <w:proofErr w:type="spellStart"/>
      <w:r w:rsidRPr="00053999">
        <w:rPr>
          <w:i/>
        </w:rPr>
        <w:t>Landreth</w:t>
      </w:r>
      <w:proofErr w:type="spellEnd"/>
      <w:r>
        <w:t>, 471 U.S. 681 (1985)</w:t>
      </w:r>
      <w:r w:rsidR="0061403E">
        <w:t>;</w:t>
      </w:r>
    </w:p>
    <w:p w:rsidR="001A4558" w:rsidRDefault="001A4558" w:rsidP="0061403E">
      <w:pPr>
        <w:autoSpaceDE w:val="0"/>
        <w:autoSpaceDN w:val="0"/>
        <w:adjustRightInd w:val="0"/>
        <w:ind w:left="2160" w:firstLine="720"/>
      </w:pPr>
      <w:r>
        <w:t xml:space="preserve">’34 Act, §21D; ’34 Act, §28; S-O Corp. Reform Act, §804 </w:t>
      </w:r>
    </w:p>
    <w:p w:rsidR="0061403E" w:rsidRDefault="0061403E" w:rsidP="0061403E">
      <w:pPr>
        <w:autoSpaceDE w:val="0"/>
        <w:autoSpaceDN w:val="0"/>
        <w:adjustRightInd w:val="0"/>
        <w:ind w:left="2160" w:firstLine="720"/>
      </w:pPr>
    </w:p>
    <w:p w:rsidR="001A4558" w:rsidRDefault="001A4558" w:rsidP="001A4558">
      <w:pPr>
        <w:autoSpaceDE w:val="0"/>
        <w:autoSpaceDN w:val="0"/>
        <w:adjustRightInd w:val="0"/>
      </w:pPr>
      <w:r>
        <w:t>12</w:t>
      </w:r>
      <w:r>
        <w:tab/>
      </w:r>
      <w:r>
        <w:tab/>
      </w:r>
      <w:r>
        <w:tab/>
      </w:r>
      <w:r w:rsidR="006E0128">
        <w:tab/>
      </w:r>
      <w:r>
        <w:t>g.  Insider trading</w:t>
      </w:r>
    </w:p>
    <w:p w:rsidR="001A4558" w:rsidRDefault="001A4558" w:rsidP="001A4558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  <w:t xml:space="preserve">      (1)</w:t>
      </w:r>
      <w:r>
        <w:tab/>
        <w:t>Common Law</w:t>
      </w:r>
      <w:r>
        <w:tab/>
        <w:t xml:space="preserve">     </w:t>
      </w:r>
      <w:r>
        <w:tab/>
      </w:r>
      <w:r>
        <w:tab/>
      </w:r>
      <w:r>
        <w:tab/>
        <w:t xml:space="preserve">          1047-50</w:t>
      </w:r>
    </w:p>
    <w:p w:rsidR="001A4558" w:rsidRDefault="001A4558" w:rsidP="001A4558">
      <w:pPr>
        <w:autoSpaceDE w:val="0"/>
        <w:autoSpaceDN w:val="0"/>
        <w:adjustRightInd w:val="0"/>
      </w:pPr>
    </w:p>
    <w:p w:rsidR="00144CF9" w:rsidRDefault="001A4558" w:rsidP="001A4558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  <w:t xml:space="preserve">      (2)</w:t>
      </w:r>
      <w:r>
        <w:tab/>
        <w:t>Section 16(a) &amp; (b)</w:t>
      </w:r>
      <w:r>
        <w:tab/>
      </w:r>
      <w:r>
        <w:tab/>
      </w:r>
      <w:r w:rsidR="00144CF9">
        <w:t xml:space="preserve">           </w:t>
      </w:r>
      <w:r w:rsidR="00144CF9">
        <w:tab/>
      </w:r>
      <w:r w:rsidR="00144CF9">
        <w:tab/>
        <w:t xml:space="preserve">1181 </w:t>
      </w:r>
    </w:p>
    <w:p w:rsidR="00144CF9" w:rsidRDefault="00144CF9" w:rsidP="00144CF9">
      <w:pPr>
        <w:autoSpaceDE w:val="0"/>
        <w:autoSpaceDN w:val="0"/>
        <w:adjustRightInd w:val="0"/>
        <w:ind w:left="2580" w:firstLine="720"/>
      </w:pPr>
    </w:p>
    <w:p w:rsidR="001A4558" w:rsidRDefault="00144CF9" w:rsidP="00144CF9">
      <w:pPr>
        <w:autoSpaceDE w:val="0"/>
        <w:autoSpaceDN w:val="0"/>
        <w:adjustRightInd w:val="0"/>
        <w:ind w:left="2580" w:firstLine="720"/>
      </w:pPr>
      <w:r>
        <w:t>SAR: 1182-97</w:t>
      </w:r>
    </w:p>
    <w:p w:rsidR="001A4558" w:rsidRDefault="001A4558" w:rsidP="001A4558">
      <w:pPr>
        <w:autoSpaceDE w:val="0"/>
        <w:autoSpaceDN w:val="0"/>
        <w:adjustRightInd w:val="0"/>
      </w:pPr>
    </w:p>
    <w:p w:rsidR="001A4558" w:rsidRDefault="001A4558" w:rsidP="001A4558">
      <w:pPr>
        <w:autoSpaceDE w:val="0"/>
        <w:autoSpaceDN w:val="0"/>
        <w:adjustRightInd w:val="0"/>
        <w:ind w:left="3300" w:hanging="3300"/>
      </w:pPr>
      <w:r>
        <w:tab/>
        <w:t>(3)</w:t>
      </w:r>
      <w:r>
        <w:tab/>
        <w:t>§10(b), Rule 10b-5, Rule 14e-3, §§20A &amp; 21A of ’34 Act</w:t>
      </w:r>
    </w:p>
    <w:p w:rsidR="001A4558" w:rsidRDefault="001A4558" w:rsidP="001A4558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="00144CF9">
        <w:t xml:space="preserve">                            1125-53; 1165</w:t>
      </w:r>
      <w:r>
        <w:t>-</w:t>
      </w:r>
      <w:r w:rsidR="00144CF9">
        <w:t>81</w:t>
      </w:r>
    </w:p>
    <w:p w:rsidR="001A4558" w:rsidRDefault="001A4558" w:rsidP="001A4558">
      <w:pPr>
        <w:autoSpaceDE w:val="0"/>
        <w:autoSpaceDN w:val="0"/>
        <w:adjustRightInd w:val="0"/>
      </w:pPr>
    </w:p>
    <w:p w:rsidR="001A4558" w:rsidRDefault="001A4558" w:rsidP="001A4558">
      <w:pPr>
        <w:tabs>
          <w:tab w:val="left" w:pos="2160"/>
          <w:tab w:val="left" w:pos="2520"/>
        </w:tabs>
        <w:autoSpaceDE w:val="0"/>
        <w:autoSpaceDN w:val="0"/>
        <w:adjustRightInd w:val="0"/>
        <w:ind w:left="2520" w:hanging="4320"/>
      </w:pPr>
      <w:r>
        <w:tab/>
        <w:t xml:space="preserve">2. </w:t>
      </w:r>
      <w:r>
        <w:tab/>
        <w:t>Shareholders</w:t>
      </w:r>
    </w:p>
    <w:p w:rsidR="001A4558" w:rsidRDefault="001A4558" w:rsidP="001A4558">
      <w:pPr>
        <w:tabs>
          <w:tab w:val="left" w:pos="2160"/>
          <w:tab w:val="left" w:pos="2520"/>
        </w:tabs>
        <w:autoSpaceDE w:val="0"/>
        <w:autoSpaceDN w:val="0"/>
        <w:adjustRightInd w:val="0"/>
        <w:ind w:left="2520" w:hanging="4320"/>
      </w:pPr>
    </w:p>
    <w:p w:rsidR="001A4558" w:rsidRDefault="001A4558" w:rsidP="001A4558">
      <w:pPr>
        <w:autoSpaceDE w:val="0"/>
        <w:autoSpaceDN w:val="0"/>
        <w:adjustRightInd w:val="0"/>
      </w:pPr>
      <w:proofErr w:type="gramStart"/>
      <w:r>
        <w:t>13</w:t>
      </w:r>
      <w:r>
        <w:tab/>
      </w:r>
      <w:r>
        <w:tab/>
      </w:r>
      <w:r>
        <w:tab/>
      </w:r>
      <w:r>
        <w:tab/>
        <w:t>a.</w:t>
      </w:r>
      <w:proofErr w:type="gramEnd"/>
      <w:r>
        <w:t xml:space="preserve">  Voting system</w:t>
      </w:r>
    </w:p>
    <w:p w:rsidR="001A4558" w:rsidRDefault="001A4558" w:rsidP="001A4558">
      <w:pPr>
        <w:autoSpaceDE w:val="0"/>
        <w:autoSpaceDN w:val="0"/>
        <w:adjustRightInd w:val="0"/>
      </w:pPr>
    </w:p>
    <w:p w:rsidR="001A4558" w:rsidRDefault="001A4558" w:rsidP="001A4558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  <w:t xml:space="preserve">       (1) In gene</w:t>
      </w:r>
      <w:r w:rsidR="00FC7BF8">
        <w:t>ral</w:t>
      </w:r>
      <w:r w:rsidR="00FC7BF8">
        <w:tab/>
        <w:t xml:space="preserve">           </w:t>
      </w:r>
      <w:r w:rsidR="009E4F6E">
        <w:t>156-59</w:t>
      </w:r>
      <w:r>
        <w:t>;</w:t>
      </w:r>
      <w:r w:rsidR="009E4F6E">
        <w:t xml:space="preserve"> 163-72; 172-95</w:t>
      </w:r>
      <w:r w:rsidR="00FC7BF8">
        <w:t>; 208-51</w:t>
      </w:r>
    </w:p>
    <w:p w:rsidR="009E4F6E" w:rsidRDefault="009E4F6E" w:rsidP="001A4558">
      <w:pPr>
        <w:autoSpaceDE w:val="0"/>
        <w:autoSpaceDN w:val="0"/>
        <w:adjustRightInd w:val="0"/>
      </w:pPr>
    </w:p>
    <w:p w:rsidR="009E4F6E" w:rsidRDefault="009E4F6E" w:rsidP="001A4558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  <w:t xml:space="preserve">       (2) Voting power in the close corporation 445-59; </w:t>
      </w:r>
      <w:r w:rsidR="00FC7BF8">
        <w:t>465-72</w:t>
      </w:r>
    </w:p>
    <w:p w:rsidR="001A4558" w:rsidRDefault="001A4558" w:rsidP="001A4558">
      <w:pPr>
        <w:autoSpaceDE w:val="0"/>
        <w:autoSpaceDN w:val="0"/>
        <w:adjustRightInd w:val="0"/>
      </w:pPr>
    </w:p>
    <w:p w:rsidR="001A4558" w:rsidRDefault="001A4558" w:rsidP="001A4558">
      <w:pPr>
        <w:autoSpaceDE w:val="0"/>
        <w:autoSpaceDN w:val="0"/>
        <w:adjustRightInd w:val="0"/>
      </w:pPr>
      <w:r>
        <w:t>14</w:t>
      </w:r>
      <w:r>
        <w:tab/>
      </w:r>
      <w:r>
        <w:tab/>
      </w:r>
      <w:r>
        <w:tab/>
      </w:r>
      <w:r>
        <w:tab/>
        <w:t xml:space="preserve">       (2) Federal regulation of the proxy process</w:t>
      </w:r>
    </w:p>
    <w:p w:rsidR="001A4558" w:rsidRDefault="001A4558" w:rsidP="001A4558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 w:rsidR="00FC7BF8">
        <w:tab/>
      </w:r>
      <w:r w:rsidR="00FC7BF8">
        <w:tab/>
      </w:r>
      <w:r w:rsidR="00FC7BF8">
        <w:tab/>
      </w:r>
      <w:r w:rsidR="00FC7BF8">
        <w:tab/>
      </w:r>
      <w:r w:rsidR="00FC7BF8">
        <w:tab/>
        <w:t>939-42; 948; 208-51</w:t>
      </w:r>
    </w:p>
    <w:p w:rsidR="00A34DC0" w:rsidRDefault="00A34DC0" w:rsidP="001A4558">
      <w:pPr>
        <w:autoSpaceDE w:val="0"/>
        <w:autoSpaceDN w:val="0"/>
        <w:adjustRightInd w:val="0"/>
      </w:pPr>
    </w:p>
    <w:p w:rsidR="00A34DC0" w:rsidRDefault="00A34DC0" w:rsidP="001A4558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 w:rsidR="00FA4AB1">
        <w:tab/>
      </w:r>
      <w:r>
        <w:t>SAR:</w:t>
      </w:r>
    </w:p>
    <w:p w:rsidR="00FA4AB1" w:rsidRPr="00F5552F" w:rsidRDefault="00FA4AB1" w:rsidP="00FA4AB1">
      <w:pPr>
        <w:tabs>
          <w:tab w:val="left" w:pos="0"/>
        </w:tabs>
        <w:autoSpaceDE w:val="0"/>
        <w:autoSpaceDN w:val="0"/>
        <w:adjustRightInd w:val="0"/>
        <w:ind w:left="3600"/>
        <w:rPr>
          <w:smallCaps/>
        </w:rPr>
      </w:pPr>
      <w:r>
        <w:t xml:space="preserve">Phillips, </w:t>
      </w:r>
      <w:r w:rsidRPr="00F5552F">
        <w:rPr>
          <w:i/>
        </w:rPr>
        <w:t>Ethics and Disclosure</w:t>
      </w:r>
      <w:r>
        <w:t xml:space="preserve">, in </w:t>
      </w:r>
      <w:r w:rsidRPr="00F5552F">
        <w:rPr>
          <w:smallCaps/>
        </w:rPr>
        <w:t>Corporate Governance and Institutionalizing Ethics:</w:t>
      </w:r>
    </w:p>
    <w:p w:rsidR="00FA4AB1" w:rsidRDefault="00FA4AB1" w:rsidP="00FA4AB1">
      <w:pPr>
        <w:tabs>
          <w:tab w:val="left" w:pos="0"/>
        </w:tabs>
        <w:autoSpaceDE w:val="0"/>
        <w:autoSpaceDN w:val="0"/>
        <w:adjustRightInd w:val="0"/>
        <w:ind w:left="3600"/>
      </w:pPr>
      <w:r w:rsidRPr="00F5552F">
        <w:rPr>
          <w:smallCaps/>
        </w:rPr>
        <w:t>Proceedings of the Fifth National Conference on Business Ethics</w:t>
      </w:r>
      <w:r>
        <w:t xml:space="preserve"> 107</w:t>
      </w:r>
      <w:r>
        <w:tab/>
        <w:t>(W. Hoffman et. al., eds. 1984)</w:t>
      </w:r>
    </w:p>
    <w:p w:rsidR="00A34DC0" w:rsidRDefault="00A34DC0" w:rsidP="001A4558">
      <w:pPr>
        <w:autoSpaceDE w:val="0"/>
        <w:autoSpaceDN w:val="0"/>
        <w:adjustRightInd w:val="0"/>
      </w:pPr>
    </w:p>
    <w:p w:rsidR="001A4558" w:rsidRDefault="001A4558" w:rsidP="001A4558">
      <w:pPr>
        <w:autoSpaceDE w:val="0"/>
        <w:autoSpaceDN w:val="0"/>
        <w:adjustRightInd w:val="0"/>
      </w:pPr>
    </w:p>
    <w:p w:rsidR="001A4558" w:rsidRDefault="001A4558" w:rsidP="001A4558">
      <w:pPr>
        <w:autoSpaceDE w:val="0"/>
        <w:autoSpaceDN w:val="0"/>
        <w:adjustRightInd w:val="0"/>
      </w:pPr>
      <w:r>
        <w:t>15</w:t>
      </w:r>
      <w:r>
        <w:tab/>
      </w:r>
      <w:r>
        <w:tab/>
      </w:r>
      <w:r>
        <w:tab/>
      </w:r>
      <w:r>
        <w:tab/>
        <w:t xml:space="preserve">       (3) Liability under </w:t>
      </w:r>
      <w:r w:rsidR="00FA4AB1">
        <w:t>Rule 14a-9</w:t>
      </w:r>
      <w:r w:rsidR="00FA4AB1">
        <w:tab/>
      </w:r>
      <w:r w:rsidR="00FA4AB1">
        <w:tab/>
        <w:t>949-75</w:t>
      </w:r>
      <w:r>
        <w:t xml:space="preserve">   </w:t>
      </w:r>
    </w:p>
    <w:p w:rsidR="001A4558" w:rsidRDefault="001A4558" w:rsidP="001A4558">
      <w:pPr>
        <w:autoSpaceDE w:val="0"/>
        <w:autoSpaceDN w:val="0"/>
        <w:adjustRightInd w:val="0"/>
      </w:pPr>
      <w:r>
        <w:t xml:space="preserve">                                                        </w:t>
      </w:r>
      <w:r w:rsidR="00FA4AB1">
        <w:tab/>
      </w:r>
      <w:r w:rsidR="00FA4AB1">
        <w:tab/>
      </w:r>
      <w:r w:rsidR="00FA4AB1">
        <w:tab/>
      </w:r>
      <w:r w:rsidR="00FA4AB1">
        <w:tab/>
      </w:r>
      <w:r w:rsidR="00FA4AB1">
        <w:tab/>
      </w:r>
      <w:r w:rsidR="00FA4AB1">
        <w:tab/>
      </w:r>
    </w:p>
    <w:p w:rsidR="001A4558" w:rsidRDefault="001A4558" w:rsidP="001A4558">
      <w:pPr>
        <w:autoSpaceDE w:val="0"/>
        <w:autoSpaceDN w:val="0"/>
        <w:adjustRightInd w:val="0"/>
        <w:ind w:left="3600"/>
      </w:pPr>
    </w:p>
    <w:p w:rsidR="001A4558" w:rsidRDefault="001A4558" w:rsidP="001A4558">
      <w:pPr>
        <w:autoSpaceDE w:val="0"/>
        <w:autoSpaceDN w:val="0"/>
        <w:adjustRightInd w:val="0"/>
      </w:pPr>
      <w:proofErr w:type="gramStart"/>
      <w:r>
        <w:t>16</w:t>
      </w:r>
      <w:r>
        <w:tab/>
      </w:r>
      <w:r>
        <w:tab/>
      </w:r>
      <w:r>
        <w:tab/>
      </w:r>
      <w:r>
        <w:tab/>
        <w:t>b.</w:t>
      </w:r>
      <w:proofErr w:type="gramEnd"/>
      <w:r>
        <w:t xml:space="preserve">  Shareholder litigation </w:t>
      </w:r>
    </w:p>
    <w:p w:rsidR="001A4558" w:rsidRDefault="001A4558" w:rsidP="001A4558">
      <w:pPr>
        <w:autoSpaceDE w:val="0"/>
        <w:autoSpaceDN w:val="0"/>
        <w:adjustRightInd w:val="0"/>
      </w:pPr>
    </w:p>
    <w:p w:rsidR="001A4558" w:rsidRDefault="001A4558" w:rsidP="001A4558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  <w:t xml:space="preserve">FRCP Rules 23 &amp; 23.1; </w:t>
      </w:r>
      <w:r w:rsidR="00EC3213">
        <w:t>398-446;</w:t>
      </w:r>
      <w:r w:rsidR="00E01D6B">
        <w:t xml:space="preserve"> </w:t>
      </w:r>
      <w:r>
        <w:t xml:space="preserve">      </w:t>
      </w:r>
      <w:r>
        <w:tab/>
        <w:t xml:space="preserve">         </w:t>
      </w:r>
    </w:p>
    <w:p w:rsidR="001A4558" w:rsidRDefault="001A4558" w:rsidP="001A4558">
      <w:pPr>
        <w:autoSpaceDE w:val="0"/>
        <w:autoSpaceDN w:val="0"/>
        <w:adjustRightInd w:val="0"/>
        <w:ind w:left="2880"/>
      </w:pPr>
      <w:proofErr w:type="spellStart"/>
      <w:r w:rsidRPr="00053999">
        <w:rPr>
          <w:i/>
        </w:rPr>
        <w:t>Tooley</w:t>
      </w:r>
      <w:proofErr w:type="spellEnd"/>
      <w:r w:rsidRPr="00053999">
        <w:rPr>
          <w:i/>
        </w:rPr>
        <w:t xml:space="preserve"> v. Donaldson, Lufkin</w:t>
      </w:r>
      <w:r w:rsidR="00E01D6B">
        <w:t>…, 845 A.2d 1031 (Del. 2004)</w:t>
      </w:r>
    </w:p>
    <w:p w:rsidR="00E01D6B" w:rsidRDefault="00E01D6B" w:rsidP="001A4558">
      <w:pPr>
        <w:autoSpaceDE w:val="0"/>
        <w:autoSpaceDN w:val="0"/>
        <w:adjustRightInd w:val="0"/>
        <w:ind w:left="2880"/>
      </w:pPr>
    </w:p>
    <w:p w:rsidR="00E01D6B" w:rsidRDefault="00E01D6B" w:rsidP="001A4558">
      <w:pPr>
        <w:autoSpaceDE w:val="0"/>
        <w:autoSpaceDN w:val="0"/>
        <w:adjustRightInd w:val="0"/>
        <w:ind w:left="2880"/>
      </w:pPr>
      <w:r>
        <w:t>SAR:</w:t>
      </w:r>
    </w:p>
    <w:p w:rsidR="00E01D6B" w:rsidRDefault="00E01D6B" w:rsidP="001A4558">
      <w:pPr>
        <w:autoSpaceDE w:val="0"/>
        <w:autoSpaceDN w:val="0"/>
        <w:adjustRightInd w:val="0"/>
        <w:ind w:left="2880"/>
      </w:pPr>
      <w:r w:rsidRPr="00053999">
        <w:rPr>
          <w:i/>
        </w:rPr>
        <w:t>Ross v. Bernhard</w:t>
      </w:r>
      <w:r>
        <w:t xml:space="preserve">, 396 U.S. 531 (1970); </w:t>
      </w:r>
      <w:r w:rsidRPr="00053999">
        <w:rPr>
          <w:i/>
        </w:rPr>
        <w:t xml:space="preserve">Gentile v. </w:t>
      </w:r>
      <w:proofErr w:type="spellStart"/>
      <w:r w:rsidRPr="00053999">
        <w:rPr>
          <w:i/>
        </w:rPr>
        <w:t>Rossette</w:t>
      </w:r>
      <w:proofErr w:type="spellEnd"/>
      <w:r>
        <w:t xml:space="preserve">, 906 A.2d 91 (Del. 2006); </w:t>
      </w:r>
      <w:r w:rsidRPr="00053999">
        <w:rPr>
          <w:i/>
        </w:rPr>
        <w:t xml:space="preserve">Feldman v. </w:t>
      </w:r>
      <w:proofErr w:type="spellStart"/>
      <w:r w:rsidRPr="00053999">
        <w:rPr>
          <w:i/>
        </w:rPr>
        <w:t>Cutaia</w:t>
      </w:r>
      <w:proofErr w:type="spellEnd"/>
      <w:r>
        <w:t>, 951 A.2d 727 (Del. 2008)</w:t>
      </w:r>
    </w:p>
    <w:p w:rsidR="001A4558" w:rsidRDefault="001A4558" w:rsidP="001A4558">
      <w:pPr>
        <w:autoSpaceDE w:val="0"/>
        <w:autoSpaceDN w:val="0"/>
        <w:adjustRightInd w:val="0"/>
      </w:pPr>
    </w:p>
    <w:p w:rsidR="001A4558" w:rsidRDefault="001A4558" w:rsidP="001A4558">
      <w:pPr>
        <w:autoSpaceDE w:val="0"/>
        <w:autoSpaceDN w:val="0"/>
        <w:adjustRightInd w:val="0"/>
      </w:pPr>
    </w:p>
    <w:p w:rsidR="001A4558" w:rsidRDefault="001A4558" w:rsidP="001A4558">
      <w:pPr>
        <w:autoSpaceDE w:val="0"/>
        <w:autoSpaceDN w:val="0"/>
        <w:adjustRightInd w:val="0"/>
      </w:pPr>
      <w:r>
        <w:t>17</w:t>
      </w:r>
      <w:r>
        <w:tab/>
      </w:r>
      <w:r>
        <w:tab/>
        <w:t>D.  Changes of Control, Combinations and Restructurings</w:t>
      </w:r>
    </w:p>
    <w:p w:rsidR="001A4558" w:rsidRDefault="001A4558" w:rsidP="001A4558">
      <w:pPr>
        <w:autoSpaceDE w:val="0"/>
        <w:autoSpaceDN w:val="0"/>
        <w:adjustRightInd w:val="0"/>
      </w:pPr>
    </w:p>
    <w:p w:rsidR="001A4558" w:rsidRDefault="00CD6896" w:rsidP="001A4558">
      <w:pPr>
        <w:tabs>
          <w:tab w:val="left" w:pos="2160"/>
          <w:tab w:val="left" w:pos="2520"/>
        </w:tabs>
        <w:autoSpaceDE w:val="0"/>
        <w:autoSpaceDN w:val="0"/>
        <w:adjustRightInd w:val="0"/>
        <w:ind w:left="2520" w:hanging="4320"/>
      </w:pPr>
      <w:r>
        <w:tab/>
        <w:t xml:space="preserve">1. </w:t>
      </w:r>
      <w:r>
        <w:tab/>
      </w:r>
      <w:proofErr w:type="gramStart"/>
      <w:r>
        <w:t>In</w:t>
      </w:r>
      <w:proofErr w:type="gramEnd"/>
      <w:r>
        <w:t xml:space="preserve"> general</w:t>
      </w:r>
      <w:r>
        <w:tab/>
      </w:r>
      <w:r w:rsidR="00E01D6B">
        <w:t>689-92; 705-12</w:t>
      </w:r>
      <w:r w:rsidR="001A4558">
        <w:t xml:space="preserve">; </w:t>
      </w:r>
      <w:r w:rsidR="00E01D6B">
        <w:t>718-45</w:t>
      </w:r>
      <w:r>
        <w:t>; 752-54; 758-62</w:t>
      </w:r>
      <w:r w:rsidR="00BB7B58">
        <w:t>; Rule 13e-3</w:t>
      </w:r>
      <w:r>
        <w:t xml:space="preserve"> </w:t>
      </w:r>
    </w:p>
    <w:p w:rsidR="00CD6896" w:rsidRDefault="00E01D6B" w:rsidP="001A4558">
      <w:pPr>
        <w:tabs>
          <w:tab w:val="left" w:pos="2160"/>
          <w:tab w:val="left" w:pos="2520"/>
        </w:tabs>
        <w:autoSpaceDE w:val="0"/>
        <w:autoSpaceDN w:val="0"/>
        <w:adjustRightInd w:val="0"/>
        <w:ind w:left="2520" w:hanging="4320"/>
      </w:pPr>
      <w:r>
        <w:tab/>
      </w:r>
    </w:p>
    <w:p w:rsidR="00E01D6B" w:rsidRDefault="00CD6896" w:rsidP="001A4558">
      <w:pPr>
        <w:tabs>
          <w:tab w:val="left" w:pos="2160"/>
          <w:tab w:val="left" w:pos="2520"/>
        </w:tabs>
        <w:autoSpaceDE w:val="0"/>
        <w:autoSpaceDN w:val="0"/>
        <w:adjustRightInd w:val="0"/>
        <w:ind w:left="2520" w:hanging="4320"/>
      </w:pPr>
      <w:r>
        <w:tab/>
      </w:r>
      <w:r>
        <w:tab/>
      </w:r>
      <w:r w:rsidR="00E01D6B">
        <w:t>SAR:</w:t>
      </w:r>
    </w:p>
    <w:p w:rsidR="00CD6896" w:rsidRDefault="00CD6896" w:rsidP="001A4558">
      <w:pPr>
        <w:tabs>
          <w:tab w:val="left" w:pos="2160"/>
          <w:tab w:val="left" w:pos="2520"/>
        </w:tabs>
        <w:autoSpaceDE w:val="0"/>
        <w:autoSpaceDN w:val="0"/>
        <w:adjustRightInd w:val="0"/>
        <w:ind w:left="2520" w:hanging="4320"/>
      </w:pPr>
      <w:r>
        <w:tab/>
      </w:r>
      <w:r>
        <w:tab/>
        <w:t>Cede &amp; Co. v. Technicolor, 745-52</w:t>
      </w:r>
    </w:p>
    <w:p w:rsidR="00CD6896" w:rsidRDefault="00CD6896" w:rsidP="001A4558">
      <w:pPr>
        <w:tabs>
          <w:tab w:val="left" w:pos="2160"/>
          <w:tab w:val="left" w:pos="2520"/>
        </w:tabs>
        <w:autoSpaceDE w:val="0"/>
        <w:autoSpaceDN w:val="0"/>
        <w:adjustRightInd w:val="0"/>
        <w:ind w:left="2520" w:hanging="4320"/>
      </w:pPr>
      <w:r>
        <w:tab/>
      </w:r>
      <w:r>
        <w:tab/>
        <w:t>Glassman v. Unocal, 755-58</w:t>
      </w:r>
    </w:p>
    <w:p w:rsidR="00EF7EFE" w:rsidRDefault="00CB4A8A" w:rsidP="001A4558">
      <w:pPr>
        <w:tabs>
          <w:tab w:val="left" w:pos="2160"/>
          <w:tab w:val="left" w:pos="2520"/>
        </w:tabs>
        <w:autoSpaceDE w:val="0"/>
        <w:autoSpaceDN w:val="0"/>
        <w:adjustRightInd w:val="0"/>
        <w:ind w:left="2520" w:hanging="4320"/>
      </w:pPr>
      <w:r>
        <w:tab/>
      </w:r>
      <w:r>
        <w:tab/>
      </w:r>
      <w:r w:rsidR="00EF7EFE">
        <w:t>In re Emerging Communications, 770-87</w:t>
      </w:r>
    </w:p>
    <w:p w:rsidR="00EF7EFE" w:rsidRDefault="00EF7EFE" w:rsidP="001A4558">
      <w:pPr>
        <w:tabs>
          <w:tab w:val="left" w:pos="2160"/>
          <w:tab w:val="left" w:pos="2520"/>
        </w:tabs>
        <w:autoSpaceDE w:val="0"/>
        <w:autoSpaceDN w:val="0"/>
        <w:adjustRightInd w:val="0"/>
        <w:ind w:left="2520" w:hanging="4320"/>
      </w:pPr>
      <w:r>
        <w:tab/>
      </w:r>
      <w:r>
        <w:tab/>
        <w:t>In re Cox Communications, 788-801</w:t>
      </w:r>
    </w:p>
    <w:p w:rsidR="00CB4A8A" w:rsidRPr="00CB4A8A" w:rsidRDefault="00EF7EFE" w:rsidP="001A4558">
      <w:pPr>
        <w:tabs>
          <w:tab w:val="left" w:pos="2160"/>
          <w:tab w:val="left" w:pos="2520"/>
        </w:tabs>
        <w:autoSpaceDE w:val="0"/>
        <w:autoSpaceDN w:val="0"/>
        <w:adjustRightInd w:val="0"/>
        <w:ind w:left="2520" w:hanging="4320"/>
      </w:pPr>
      <w:r>
        <w:tab/>
      </w:r>
      <w:r>
        <w:tab/>
      </w:r>
      <w:proofErr w:type="spellStart"/>
      <w:r w:rsidR="00CB4A8A">
        <w:t>Brudney</w:t>
      </w:r>
      <w:proofErr w:type="spellEnd"/>
      <w:r w:rsidR="00CB4A8A">
        <w:t xml:space="preserve"> &amp; </w:t>
      </w:r>
      <w:proofErr w:type="spellStart"/>
      <w:r w:rsidR="00CB4A8A">
        <w:t>Chirelstein</w:t>
      </w:r>
      <w:proofErr w:type="spellEnd"/>
      <w:r w:rsidR="00CB4A8A">
        <w:t xml:space="preserve">, </w:t>
      </w:r>
      <w:r w:rsidR="00CB4A8A">
        <w:rPr>
          <w:i/>
        </w:rPr>
        <w:t xml:space="preserve">A Restatement of Corporate </w:t>
      </w:r>
      <w:proofErr w:type="spellStart"/>
      <w:r w:rsidR="00CB4A8A">
        <w:rPr>
          <w:i/>
        </w:rPr>
        <w:t>Freezeouts</w:t>
      </w:r>
      <w:proofErr w:type="spellEnd"/>
      <w:r w:rsidR="00CB4A8A">
        <w:t>, 87 Yale L.J. 1374 (1978)</w:t>
      </w:r>
    </w:p>
    <w:p w:rsidR="00CD6896" w:rsidRDefault="00CD6896" w:rsidP="001A4558">
      <w:pPr>
        <w:tabs>
          <w:tab w:val="left" w:pos="2160"/>
          <w:tab w:val="left" w:pos="2520"/>
        </w:tabs>
        <w:autoSpaceDE w:val="0"/>
        <w:autoSpaceDN w:val="0"/>
        <w:adjustRightInd w:val="0"/>
        <w:ind w:left="2520" w:hanging="4320"/>
      </w:pPr>
      <w:r>
        <w:tab/>
      </w:r>
      <w:r>
        <w:tab/>
      </w:r>
    </w:p>
    <w:p w:rsidR="001A4558" w:rsidRDefault="001A4558" w:rsidP="00A66B0B">
      <w:pPr>
        <w:tabs>
          <w:tab w:val="left" w:pos="2160"/>
          <w:tab w:val="left" w:pos="2520"/>
        </w:tabs>
        <w:autoSpaceDE w:val="0"/>
        <w:autoSpaceDN w:val="0"/>
        <w:adjustRightInd w:val="0"/>
        <w:ind w:left="2520" w:hanging="4320"/>
      </w:pPr>
      <w:proofErr w:type="gramStart"/>
      <w:r>
        <w:t>1</w:t>
      </w:r>
      <w:r w:rsidR="00A66B0B">
        <w:t>18                        18</w:t>
      </w:r>
      <w:r>
        <w:t xml:space="preserve"> </w:t>
      </w:r>
      <w:r w:rsidR="00EF7EFE">
        <w:tab/>
      </w:r>
      <w:r>
        <w:t>2.</w:t>
      </w:r>
      <w:proofErr w:type="gramEnd"/>
      <w:r>
        <w:t xml:space="preserve">  Sales of Control                                                    </w:t>
      </w:r>
      <w:r w:rsidR="00EF7EFE">
        <w:t>801-19</w:t>
      </w:r>
    </w:p>
    <w:p w:rsidR="00EF7EFE" w:rsidRDefault="00EF7EFE" w:rsidP="00A66B0B">
      <w:pPr>
        <w:tabs>
          <w:tab w:val="left" w:pos="2160"/>
          <w:tab w:val="left" w:pos="2520"/>
        </w:tabs>
        <w:autoSpaceDE w:val="0"/>
        <w:autoSpaceDN w:val="0"/>
        <w:adjustRightInd w:val="0"/>
        <w:ind w:left="2520" w:hanging="4320"/>
      </w:pPr>
    </w:p>
    <w:p w:rsidR="00EF7EFE" w:rsidRDefault="00EF7EFE" w:rsidP="00A66B0B">
      <w:pPr>
        <w:tabs>
          <w:tab w:val="left" w:pos="2160"/>
          <w:tab w:val="left" w:pos="2520"/>
        </w:tabs>
        <w:autoSpaceDE w:val="0"/>
        <w:autoSpaceDN w:val="0"/>
        <w:adjustRightInd w:val="0"/>
        <w:ind w:left="2520" w:hanging="4320"/>
      </w:pPr>
      <w:r>
        <w:tab/>
      </w:r>
      <w:r>
        <w:tab/>
        <w:t>SAR:</w:t>
      </w:r>
    </w:p>
    <w:p w:rsidR="00EF7EFE" w:rsidRDefault="00EF7EFE" w:rsidP="00A66B0B">
      <w:pPr>
        <w:tabs>
          <w:tab w:val="left" w:pos="2160"/>
          <w:tab w:val="left" w:pos="2520"/>
        </w:tabs>
        <w:autoSpaceDE w:val="0"/>
        <w:autoSpaceDN w:val="0"/>
        <w:adjustRightInd w:val="0"/>
        <w:ind w:left="2520" w:hanging="4320"/>
      </w:pPr>
      <w:r>
        <w:tab/>
      </w:r>
      <w:r>
        <w:tab/>
      </w:r>
      <w:proofErr w:type="gramStart"/>
      <w:r>
        <w:t xml:space="preserve">Andrews, </w:t>
      </w:r>
      <w:r>
        <w:rPr>
          <w:i/>
        </w:rPr>
        <w:t xml:space="preserve">The Stockholder’s Right to Equal Opportunity in the Sale of Shares, </w:t>
      </w:r>
      <w:r>
        <w:t xml:space="preserve">78 </w:t>
      </w:r>
      <w:proofErr w:type="spellStart"/>
      <w:r>
        <w:t>Harv</w:t>
      </w:r>
      <w:proofErr w:type="spellEnd"/>
      <w:r>
        <w:t>.</w:t>
      </w:r>
      <w:proofErr w:type="gramEnd"/>
      <w:r>
        <w:t xml:space="preserve"> L. Rev. 505 (1965</w:t>
      </w:r>
    </w:p>
    <w:p w:rsidR="00EF7EFE" w:rsidRPr="00EF7EFE" w:rsidRDefault="00EF7EFE" w:rsidP="00A66B0B">
      <w:pPr>
        <w:tabs>
          <w:tab w:val="left" w:pos="2160"/>
          <w:tab w:val="left" w:pos="2520"/>
        </w:tabs>
        <w:autoSpaceDE w:val="0"/>
        <w:autoSpaceDN w:val="0"/>
        <w:adjustRightInd w:val="0"/>
        <w:ind w:left="2520" w:hanging="4320"/>
      </w:pPr>
      <w:r>
        <w:tab/>
      </w:r>
      <w:r>
        <w:tab/>
        <w:t xml:space="preserve">Easterbrook &amp; </w:t>
      </w:r>
      <w:proofErr w:type="spellStart"/>
      <w:r>
        <w:t>Fischel</w:t>
      </w:r>
      <w:proofErr w:type="spellEnd"/>
      <w:r>
        <w:t xml:space="preserve">, </w:t>
      </w:r>
      <w:r>
        <w:rPr>
          <w:i/>
        </w:rPr>
        <w:t>Corporate Control Transactions</w:t>
      </w:r>
      <w:r>
        <w:t>, 91 Yale L.J. 698 (1982)</w:t>
      </w:r>
    </w:p>
    <w:p w:rsidR="001A4558" w:rsidRDefault="001A4558" w:rsidP="001A4558">
      <w:pPr>
        <w:autoSpaceDE w:val="0"/>
        <w:autoSpaceDN w:val="0"/>
        <w:adjustRightInd w:val="0"/>
      </w:pPr>
    </w:p>
    <w:p w:rsidR="001A4558" w:rsidRDefault="001A4558" w:rsidP="001A4558">
      <w:pPr>
        <w:autoSpaceDE w:val="0"/>
        <w:autoSpaceDN w:val="0"/>
        <w:adjustRightInd w:val="0"/>
      </w:pPr>
    </w:p>
    <w:p w:rsidR="001A4558" w:rsidRDefault="00677156" w:rsidP="001A4558">
      <w:pPr>
        <w:autoSpaceDE w:val="0"/>
        <w:autoSpaceDN w:val="0"/>
        <w:adjustRightInd w:val="0"/>
      </w:pPr>
      <w:proofErr w:type="gramStart"/>
      <w:r>
        <w:t xml:space="preserve">19 </w:t>
      </w:r>
      <w:r w:rsidR="001A4558">
        <w:t xml:space="preserve">                      </w:t>
      </w:r>
      <w:r>
        <w:t xml:space="preserve">        </w:t>
      </w:r>
      <w:r w:rsidR="001A4558">
        <w:t xml:space="preserve"> 3.</w:t>
      </w:r>
      <w:proofErr w:type="gramEnd"/>
      <w:r w:rsidR="001A4558">
        <w:t xml:space="preserve">  Hostile Acquisitions </w:t>
      </w:r>
    </w:p>
    <w:p w:rsidR="00241FD0" w:rsidRDefault="00241FD0" w:rsidP="001A4558">
      <w:pPr>
        <w:autoSpaceDE w:val="0"/>
        <w:autoSpaceDN w:val="0"/>
        <w:adjustRightInd w:val="0"/>
        <w:ind w:left="2880"/>
      </w:pPr>
    </w:p>
    <w:p w:rsidR="00241FD0" w:rsidRDefault="00241FD0" w:rsidP="00241FD0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 xml:space="preserve">Market for Corporate Control              </w:t>
      </w:r>
      <w:r>
        <w:tab/>
      </w:r>
      <w:r>
        <w:tab/>
        <w:t>827-37</w:t>
      </w:r>
    </w:p>
    <w:p w:rsidR="00294F3A" w:rsidRDefault="00294F3A" w:rsidP="00294F3A">
      <w:pPr>
        <w:autoSpaceDE w:val="0"/>
        <w:autoSpaceDN w:val="0"/>
        <w:adjustRightInd w:val="0"/>
      </w:pPr>
    </w:p>
    <w:p w:rsidR="00294F3A" w:rsidRDefault="00294F3A" w:rsidP="00294F3A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Federal Regulation – the Williams Act</w:t>
      </w:r>
    </w:p>
    <w:p w:rsidR="00241FD0" w:rsidRDefault="00434109" w:rsidP="00434109">
      <w:pPr>
        <w:autoSpaceDE w:val="0"/>
        <w:autoSpaceDN w:val="0"/>
        <w:adjustRightInd w:val="0"/>
        <w:ind w:left="3600"/>
      </w:pPr>
      <w:r>
        <w:t>1077-78; 1089-90; 1096-97</w:t>
      </w:r>
    </w:p>
    <w:p w:rsidR="00434109" w:rsidRDefault="00434109" w:rsidP="00434109">
      <w:pPr>
        <w:autoSpaceDE w:val="0"/>
        <w:autoSpaceDN w:val="0"/>
        <w:adjustRightInd w:val="0"/>
        <w:ind w:left="3600"/>
      </w:pPr>
      <w:r>
        <w:t>13(d) &amp; (e) and 14(d), (e) &amp; (f) of the’34 Act; Rules 14d-7 &amp; 14d-8 under the ‘34</w:t>
      </w:r>
      <w:r>
        <w:tab/>
        <w:t>Act</w:t>
      </w:r>
    </w:p>
    <w:p w:rsidR="00434109" w:rsidRDefault="00434109" w:rsidP="00434109">
      <w:pPr>
        <w:autoSpaceDE w:val="0"/>
        <w:autoSpaceDN w:val="0"/>
        <w:adjustRightInd w:val="0"/>
      </w:pPr>
    </w:p>
    <w:p w:rsidR="00434109" w:rsidRDefault="00434109" w:rsidP="00434109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 xml:space="preserve">State Anti-takeover Statutes  </w:t>
      </w:r>
      <w:r>
        <w:tab/>
      </w:r>
      <w:r>
        <w:tab/>
        <w:t>933-38; 1104-1125</w:t>
      </w:r>
    </w:p>
    <w:p w:rsidR="00434109" w:rsidRDefault="00434109" w:rsidP="00434109">
      <w:pPr>
        <w:autoSpaceDE w:val="0"/>
        <w:autoSpaceDN w:val="0"/>
        <w:adjustRightInd w:val="0"/>
        <w:ind w:left="3600"/>
      </w:pPr>
    </w:p>
    <w:p w:rsidR="00241FD0" w:rsidRDefault="00241FD0" w:rsidP="00241FD0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 xml:space="preserve">Judicial Review of Tender Offer Defenses </w:t>
      </w:r>
      <w:r>
        <w:tab/>
        <w:t>838-94</w:t>
      </w:r>
    </w:p>
    <w:p w:rsidR="00241FD0" w:rsidRDefault="00241FD0" w:rsidP="00241FD0">
      <w:pPr>
        <w:pStyle w:val="ListParagraph"/>
      </w:pPr>
    </w:p>
    <w:p w:rsidR="00241FD0" w:rsidRDefault="00241FD0" w:rsidP="00241FD0">
      <w:pPr>
        <w:pStyle w:val="ListParagraph"/>
        <w:autoSpaceDE w:val="0"/>
        <w:autoSpaceDN w:val="0"/>
        <w:adjustRightInd w:val="0"/>
        <w:ind w:left="3240"/>
      </w:pPr>
      <w:r>
        <w:t>SAR:</w:t>
      </w:r>
    </w:p>
    <w:p w:rsidR="00241FD0" w:rsidRDefault="00C26095" w:rsidP="00241FD0">
      <w:pPr>
        <w:pStyle w:val="ListParagraph"/>
        <w:autoSpaceDE w:val="0"/>
        <w:autoSpaceDN w:val="0"/>
        <w:adjustRightInd w:val="0"/>
        <w:ind w:left="3240"/>
      </w:pPr>
      <w:proofErr w:type="gramStart"/>
      <w:r>
        <w:t xml:space="preserve">Easterbrook &amp; </w:t>
      </w:r>
      <w:proofErr w:type="spellStart"/>
      <w:r>
        <w:t>Fischel</w:t>
      </w:r>
      <w:proofErr w:type="spellEnd"/>
      <w:r>
        <w:t xml:space="preserve">, </w:t>
      </w:r>
      <w:r>
        <w:rPr>
          <w:i/>
        </w:rPr>
        <w:t>The Proper Role of a Target’s Management in Responding to a Tender Offer,</w:t>
      </w:r>
      <w:r>
        <w:t xml:space="preserve"> 94 </w:t>
      </w:r>
      <w:proofErr w:type="spellStart"/>
      <w:r>
        <w:t>Harv</w:t>
      </w:r>
      <w:proofErr w:type="spellEnd"/>
      <w:r>
        <w:t>.</w:t>
      </w:r>
      <w:proofErr w:type="gramEnd"/>
      <w:r>
        <w:t xml:space="preserve"> L. Rev. </w:t>
      </w:r>
      <w:r w:rsidR="00A95CCF">
        <w:t>1161 (1981)</w:t>
      </w:r>
    </w:p>
    <w:p w:rsidR="00A95CCF" w:rsidRPr="00294F3A" w:rsidRDefault="00294F3A" w:rsidP="00241FD0">
      <w:pPr>
        <w:pStyle w:val="ListParagraph"/>
        <w:autoSpaceDE w:val="0"/>
        <w:autoSpaceDN w:val="0"/>
        <w:adjustRightInd w:val="0"/>
        <w:ind w:left="3240"/>
      </w:pPr>
      <w:proofErr w:type="spellStart"/>
      <w:r>
        <w:t>Bebchuk</w:t>
      </w:r>
      <w:proofErr w:type="spellEnd"/>
      <w:r>
        <w:t xml:space="preserve">, </w:t>
      </w:r>
      <w:proofErr w:type="gramStart"/>
      <w:r>
        <w:rPr>
          <w:i/>
        </w:rPr>
        <w:t>The</w:t>
      </w:r>
      <w:proofErr w:type="gramEnd"/>
      <w:r>
        <w:rPr>
          <w:i/>
        </w:rPr>
        <w:t xml:space="preserve"> Case for Facilitating Competing Tender Offers,</w:t>
      </w:r>
      <w:r>
        <w:t xml:space="preserve"> 95 </w:t>
      </w:r>
      <w:proofErr w:type="spellStart"/>
      <w:r>
        <w:t>Harv</w:t>
      </w:r>
      <w:proofErr w:type="spellEnd"/>
      <w:r>
        <w:t>. L. Rev. 1028 (1982)</w:t>
      </w:r>
    </w:p>
    <w:p w:rsidR="00241FD0" w:rsidRDefault="00241FD0" w:rsidP="00241FD0">
      <w:pPr>
        <w:pStyle w:val="ListParagraph"/>
      </w:pPr>
    </w:p>
    <w:p w:rsidR="001A4558" w:rsidRDefault="001A4558" w:rsidP="001A4558">
      <w:pPr>
        <w:autoSpaceDE w:val="0"/>
        <w:autoSpaceDN w:val="0"/>
        <w:adjustRightInd w:val="0"/>
        <w:ind w:left="2880"/>
      </w:pPr>
      <w:r>
        <w:t xml:space="preserve">   </w:t>
      </w:r>
      <w:r>
        <w:tab/>
      </w:r>
      <w:r>
        <w:tab/>
      </w:r>
      <w:r>
        <w:tab/>
      </w:r>
      <w:r>
        <w:tab/>
      </w:r>
    </w:p>
    <w:p w:rsidR="001A4558" w:rsidRDefault="001A4558" w:rsidP="001A4558">
      <w:pPr>
        <w:autoSpaceDE w:val="0"/>
        <w:autoSpaceDN w:val="0"/>
        <w:adjustRightInd w:val="0"/>
        <w:ind w:left="21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1A4558" w:rsidRDefault="001A4558" w:rsidP="001A4558">
      <w:pPr>
        <w:autoSpaceDE w:val="0"/>
        <w:autoSpaceDN w:val="0"/>
        <w:adjustRightInd w:val="0"/>
        <w:ind w:left="2160"/>
        <w:rPr>
          <w:sz w:val="20"/>
          <w:szCs w:val="20"/>
        </w:rPr>
      </w:pPr>
    </w:p>
    <w:p w:rsidR="001A4558" w:rsidRDefault="001A4558" w:rsidP="001A4558">
      <w:pPr>
        <w:autoSpaceDE w:val="0"/>
        <w:autoSpaceDN w:val="0"/>
        <w:adjustRightInd w:val="0"/>
        <w:ind w:left="2160"/>
        <w:rPr>
          <w:sz w:val="20"/>
          <w:szCs w:val="20"/>
        </w:rPr>
      </w:pPr>
    </w:p>
    <w:p w:rsidR="001A4558" w:rsidRDefault="001A4558" w:rsidP="001A4558"/>
    <w:p w:rsidR="001A4558" w:rsidRDefault="001A4558" w:rsidP="001A4558"/>
    <w:p w:rsidR="001653FA" w:rsidRDefault="001653FA"/>
    <w:sectPr w:rsidR="001653FA" w:rsidSect="000773D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1165" w:rsidRDefault="00FC1165" w:rsidP="00FC1165">
      <w:r>
        <w:separator/>
      </w:r>
    </w:p>
  </w:endnote>
  <w:endnote w:type="continuationSeparator" w:id="0">
    <w:p w:rsidR="00FC1165" w:rsidRDefault="00FC1165" w:rsidP="00FC11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C21" w:rsidRDefault="00016132">
    <w:pPr>
      <w:pStyle w:val="Footer"/>
    </w:pPr>
    <w:r>
      <w:fldChar w:fldCharType="begin"/>
    </w:r>
    <w:r w:rsidR="006425C0">
      <w:instrText xml:space="preserve"> PAGE   \* MERGEFORMAT </w:instrText>
    </w:r>
    <w:r>
      <w:fldChar w:fldCharType="separate"/>
    </w:r>
    <w:r w:rsidR="00703AD9">
      <w:rPr>
        <w:noProof/>
      </w:rPr>
      <w:t>1</w:t>
    </w:r>
    <w:r>
      <w:fldChar w:fldCharType="end"/>
    </w:r>
  </w:p>
  <w:p w:rsidR="00305C21" w:rsidRDefault="00F927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1165" w:rsidRDefault="00FC1165" w:rsidP="00FC1165">
      <w:r>
        <w:separator/>
      </w:r>
    </w:p>
  </w:footnote>
  <w:footnote w:type="continuationSeparator" w:id="0">
    <w:p w:rsidR="00FC1165" w:rsidRDefault="00FC1165" w:rsidP="00FC11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5A2" w:rsidRDefault="006425C0">
    <w:pPr>
      <w:pStyle w:val="Header"/>
    </w:pPr>
    <w:r>
      <w:t xml:space="preserve">Phillips – </w:t>
    </w:r>
    <w:r w:rsidR="0095435D">
      <w:t>Summer 2010 Corps. Syllabus (5/20/10</w:t>
    </w:r>
    <w:r>
      <w:t>)</w:t>
    </w:r>
  </w:p>
  <w:p w:rsidR="000705A2" w:rsidRDefault="00F927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2297B"/>
    <w:multiLevelType w:val="hybridMultilevel"/>
    <w:tmpl w:val="061E057E"/>
    <w:lvl w:ilvl="0" w:tplc="312CEE70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426B505D"/>
    <w:multiLevelType w:val="hybridMultilevel"/>
    <w:tmpl w:val="0C74422A"/>
    <w:lvl w:ilvl="0" w:tplc="E9BC8D30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1A4558"/>
    <w:rsid w:val="00016132"/>
    <w:rsid w:val="000F23DB"/>
    <w:rsid w:val="00144CF9"/>
    <w:rsid w:val="001653FA"/>
    <w:rsid w:val="001A4558"/>
    <w:rsid w:val="00241FD0"/>
    <w:rsid w:val="00250698"/>
    <w:rsid w:val="00294F3A"/>
    <w:rsid w:val="002A502A"/>
    <w:rsid w:val="003102BC"/>
    <w:rsid w:val="00434109"/>
    <w:rsid w:val="00585B2E"/>
    <w:rsid w:val="00597738"/>
    <w:rsid w:val="005F6410"/>
    <w:rsid w:val="0061403E"/>
    <w:rsid w:val="006425C0"/>
    <w:rsid w:val="00677156"/>
    <w:rsid w:val="006906E9"/>
    <w:rsid w:val="006E0128"/>
    <w:rsid w:val="006F316D"/>
    <w:rsid w:val="00703AD9"/>
    <w:rsid w:val="007E0B2A"/>
    <w:rsid w:val="0080152D"/>
    <w:rsid w:val="008557DA"/>
    <w:rsid w:val="00886FD6"/>
    <w:rsid w:val="009153F2"/>
    <w:rsid w:val="00922C53"/>
    <w:rsid w:val="00930DEE"/>
    <w:rsid w:val="0095435D"/>
    <w:rsid w:val="009E4F6E"/>
    <w:rsid w:val="009F54E7"/>
    <w:rsid w:val="00A34DC0"/>
    <w:rsid w:val="00A66B0B"/>
    <w:rsid w:val="00A95CCF"/>
    <w:rsid w:val="00B15D7F"/>
    <w:rsid w:val="00B25E21"/>
    <w:rsid w:val="00B36E6C"/>
    <w:rsid w:val="00B51B55"/>
    <w:rsid w:val="00B970C8"/>
    <w:rsid w:val="00BA1A47"/>
    <w:rsid w:val="00BB7B58"/>
    <w:rsid w:val="00BE7AC5"/>
    <w:rsid w:val="00C26095"/>
    <w:rsid w:val="00C433D7"/>
    <w:rsid w:val="00C92356"/>
    <w:rsid w:val="00CB4A8A"/>
    <w:rsid w:val="00CD6896"/>
    <w:rsid w:val="00DD38A1"/>
    <w:rsid w:val="00E01D6B"/>
    <w:rsid w:val="00E614E6"/>
    <w:rsid w:val="00EC3213"/>
    <w:rsid w:val="00EE1762"/>
    <w:rsid w:val="00EF7EFE"/>
    <w:rsid w:val="00F57C48"/>
    <w:rsid w:val="00F857CC"/>
    <w:rsid w:val="00FA4AB1"/>
    <w:rsid w:val="00FC1165"/>
    <w:rsid w:val="00FC7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5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5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55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A45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55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23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5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University</Company>
  <LinksUpToDate>false</LinksUpToDate>
  <CharactersWithSpaces>7799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d.phillips</dc:creator>
  <cp:keywords/>
  <dc:description/>
  <cp:lastModifiedBy>David</cp:lastModifiedBy>
  <cp:revision>33</cp:revision>
  <dcterms:created xsi:type="dcterms:W3CDTF">2010-05-18T18:04:00Z</dcterms:created>
  <dcterms:modified xsi:type="dcterms:W3CDTF">2010-05-21T03:07:00Z</dcterms:modified>
</cp:coreProperties>
</file>