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1. Problema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abismo entre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visão estratégica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capacidade operacional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O problema não é a falta de dados, mas a fricção entre o humano e a interface. </w:t>
        <w:br w:type="textWrapping"/>
        <w:t xml:space="preserve">Atualmente, existe um abismo técnico entre a pergunta de um gestor ('Onde estamos perdendo dinheiro?') e a resposta escondida na célula AF127853. </w:t>
        <w:br w:type="textWrapping"/>
        <w:t xml:space="preserve">O Google Sheets, mundialmente usado, apesar de poderoso, é uma ferramenta passiva que exige que o usuário seja um tradutor de fórmulas. Em cenários de alta pressão, essa fricção gera perda de oportunidade e erros humanos evitáveis."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 complexidade técnica da interface cria uma barreira para gestores que possuem os dados, mas não conseguem manipulá-los com a velocidade necessária para o mercado atual.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2. Dados Estatísticos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333333"/>
          <w:sz w:val="27"/>
          <w:szCs w:val="27"/>
          <w:u w:val="none"/>
          <w:shd w:fill="fcfcfc" w:val="clear"/>
          <w:vertAlign w:val="baseline"/>
          <w:rtl w:val="0"/>
        </w:rPr>
        <w:t xml:space="preserve">57% dos cientistas de dados consideram a limpeza e organização de dados a parte menos agradável do seu trabalho e 19% dizem o mesmo sobre a coleta de conjuntos de dados.</w:t>
      </w: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333333"/>
          <w:sz w:val="27"/>
          <w:szCs w:val="27"/>
          <w:u w:val="none"/>
          <w:shd w:fill="fcfcfc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645910" cy="2929255"/>
            <wp:effectExtent b="0" l="0" r="0" t="0"/>
            <wp:docPr id="2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29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https://www.forbes.com/sites/gilpress/2016/03/23/data-preparation-most-time-consuming-least-enjoyable-data-science-task-survey-says/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cfcfc" w:val="clear"/>
        <w:spacing w:after="240" w:before="24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33333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i w:val="0"/>
          <w:iCs w:val="0"/>
          <w:smallCaps w:val="0"/>
          <w:strike w:val="0"/>
          <w:color w:val="151619"/>
          <w:sz w:val="24"/>
          <w:szCs w:val="24"/>
          <w:highlight w:val="white"/>
          <w:u w:val="none"/>
          <w:vertAlign w:val="baseline"/>
          <w:rtl w:val="0"/>
        </w:rPr>
        <w:t xml:space="preserve">Estudo constatou que os funcionários estão sobrecarregados com muitos desses aplicativos desconexos, o que leva a processos ineficientes, aumento de erros e desperdício de ações que poderiam ser automatizadas.</w:t>
      </w:r>
      <w:r w:rsidDel="00000000" w:rsidR="00000000" w:rsidRPr="00000000">
        <w:rPr>
          <w:rFonts w:ascii="Open Sans" w:cs="Open Sans" w:eastAsia="Open Sans" w:hAnsi="Open Sans"/>
          <w:b w:val="0"/>
          <w:bCs w:val="0"/>
          <w:i w:val="0"/>
          <w:iCs w:val="0"/>
          <w:smallCaps w:val="0"/>
          <w:strike w:val="0"/>
          <w:color w:val="151619"/>
          <w:sz w:val="24"/>
          <w:szCs w:val="24"/>
          <w:highlight w:val="white"/>
          <w:u w:val="none"/>
          <w:vertAlign w:val="baseline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6645910" cy="1029970"/>
            <wp:effectExtent b="57150" l="57150" r="57150" t="57150"/>
            <wp:docPr id="2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29970"/>
                    </a:xfrm>
                    <a:prstGeom prst="rect"/>
                    <a:ln w="5715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Fonte: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https://www.pega.com/about/news/press-releases/research-reveals-employees-switch-apps-over-1100-times-day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3. Impacto do Problema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Latência de Decisão: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 tempo entre a identificação de um problema e a ação corretiva é dilatado pela dificuldade técnica.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 de Oportunidade: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Executivos de alto nível desperdiçam horas em tarefas de nível operacional.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Integridade de Dados: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 manipulação manual aumenta o risco de erro humano (typos e fórmulas quebradas), comprometendo relatórios financeiros e de produção.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4. Locais com Maior Incidência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Operações de Logística e Supply Chain: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Onde os dados mudam em tempo real.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Gestão de Projetos e Maratonas de Inovação: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Ambientes de alta pressão e curtos prazos.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Pequenas e Médias Empresas (PMEs):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Onde não há orçamento para um analista de dados dedicado.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Setor Financeiro: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Dependência extrema de planilhas complexas para auditoria.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Educação e Pesquisa: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Onde o foco deveria ser a descoberta, não a sintaxe de ferramentas.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5. Solução - Data Navigator</w:t>
        <w:br w:type="textWrapping"/>
        <w:br w:type="textWrapping"/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i w:val="0"/>
            <w:iCs w:val="0"/>
            <w:smallCaps w:val="0"/>
            <w:strike w:val="0"/>
            <w:color w:val="1155cc"/>
            <w:sz w:val="40"/>
            <w:szCs w:val="40"/>
            <w:u w:val="single"/>
            <w:shd w:fill="auto" w:val="clear"/>
            <w:vertAlign w:val="baseline"/>
            <w:rtl w:val="0"/>
          </w:rPr>
          <w:t xml:space="preserve">https://datanavigator.lovable.app/spreadsheets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</w:rPr>
        <w:drawing>
          <wp:inline distB="0" distT="0" distL="0" distR="0">
            <wp:extent cx="5938838" cy="3563303"/>
            <wp:effectExtent b="0" l="0" r="0" t="0"/>
            <wp:docPr id="1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2"/>
                    <a:srcRect b="0" l="15759" r="902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8838" cy="3563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Agora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você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pode Falar com seus dados!!!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 O agente que vê, ouve e opera seu Google Sheets em tempo real, eliminando fórmulas complexas para transformar planilhas estáticas em decisões imediatas, atuando como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UI Navigator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Ele utiliza a visão computacional e o processamento de voz em tempo real para "enxergar" o que o usuário vê e "executar" o que o usuário deseja, operando o Google Sheets de forma autônoma e proativa.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Usar Google Sheets + Gemini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376863" cy="2143992"/>
            <wp:effectExtent b="0" l="0" r="0" t="0"/>
            <wp:docPr id="2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24219"/>
                    <a:stretch>
                      <a:fillRect/>
                    </a:stretch>
                  </pic:blipFill>
                  <pic:spPr>
                    <a:xfrm>
                      <a:off x="0" y="0"/>
                      <a:ext cx="5376863" cy="21439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NAVIGATOR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138738" cy="2143768"/>
            <wp:effectExtent b="0" l="0" r="0" t="0"/>
            <wp:docPr id="2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143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6. Como Funciona (Arquitetura Técnica)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1738313" cy="2669319"/>
            <wp:effectExtent b="0" l="0" r="0" t="0"/>
            <wp:docPr id="1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2001" r="4667" t="8419"/>
                    <a:stretch>
                      <a:fillRect/>
                    </a:stretch>
                  </pic:blipFill>
                  <pic:spPr>
                    <a:xfrm>
                      <a:off x="0" y="0"/>
                      <a:ext cx="1738313" cy="26693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822365" cy="4427537"/>
            <wp:effectExtent b="0" l="0" r="0" t="0"/>
            <wp:docPr id="1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2365" cy="4427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br w:type="textWrapping"/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 Google fornece a infraestrutura (Sheets) e a inteligência (Gemini), mas o Data Navigator é a mão que opera o mouse. É a ponte final entre a intenção humana e a ferramenta técnica.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Enquanto o padrão atual cria tabelas simples via texto, nosso projeto 'enxerga' o fluxo de trabalho do usuário e age em tempo real. Estamos saindo do modelo de 'Chatbot de suporte' para um 'Agente de execução' que opera os dados por voz e visão, eliminando a barreira da digitação e a latência técnica."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Entrada Multimodal: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 agente recebe um stream de vídeo da tela e áudio do usuário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WebSockets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(Multimodal Live API).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Processamento Contextual: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Gemini 1.5 Flash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(via Vertex AI) processa o layout visual da planilha e a intenção da voz simultaneamente.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Tool Use (Action):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 agente dispara comandos de API (batchUpdate) via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Google Cloud Run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para manipular o Google Sheets instantaneamente, sem necessidade de entrada via teclado.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7. Proposta de Valor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Interação Natural: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Eliminação da necessidade de memorizar fórmulas complexas.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Eficiência Operacional: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Redução de até 90% no tempo de formatação e limpeza de dados.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Acessibilidade: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Democratização da engenharia de dados para usuários não técnicos.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 Operação Hands-Free: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Permite a análise de dados durante apresentações ou reuniões em tempo real.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6645600" cy="2921000"/>
            <wp:effectExtent b="0" l="0" r="0" t="0"/>
            <wp:docPr id="18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8. Tamanho do Mercado (TAM/SAM/SOM)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TAM (Total):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Mercado global de software de produtividade e BI, estimado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$100B+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SAM (Endereçável):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Mais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 bilhões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de usuários mensais do Google Workspace.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SOM (Foco Inicial):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Gestores de projetos e analistas de operações que utilizam o Google Sheets como ferramenta principal de tomada de decisão.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 apenas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1%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desses usuários adotarem o Navigator, teremos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 milhões de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9. Estrutura Financeira (OPEX / CAPEX)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CAPEX (Investimento Inicial):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Desenvolvimento do MVP, treinamento de prompts especializados e integração de infraestrutura Cloud (fase de hackathon/P&amp;D).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OPEX (Custo Operacional):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Custos variáveis baseados em consumo de tokens da API do Gemini, hospedagem em Cloud Run e tráfego de dados (modelo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serverless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10. Monetização e Estrutura de Preços (Unit Economics)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10.1 Custo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Gemini 1.5 Flash: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É o modelo mais eficiente em custo/benefício. Custa aproximadamente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$0.10 por 1 milhão de tokens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(entrada) 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$0.40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(saída).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Multimodal Live API: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 custo é calculado por minuto de conexão ativa (streaming de vídeo/áudio). Estimamos um custo operacional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$0.05 a $0.15 por hora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de uso intenso do agente.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Infraestrutura Serverless: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O Cloud Run só cobra quando o código é executado, minimizando o desperdício.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br w:type="textWrapping"/>
        <w:t xml:space="preserve">10.2 O que o cliente paga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br w:type="textWrapping"/>
        <w:t xml:space="preserve">Para garantir o lucro e cobrir os custos de nuvem, o modelo sugerido é o Modelo "Credits-as-a-Service"</w:t>
        <w:br w:type="textWrapping"/>
        <w:t xml:space="preserve">Para evitar prejuízos com usuários pesados ("Power Users"), o sistema pode adotar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Créditos de 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Cada ação complexa (como gerar um relatório consolidado de 5 abas) consome créditos. Quando acaba, o gestor compra um "top-up", garantindo que a nossa margem nunca seja consumida pelo custo da API.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Plano Entry (Individual):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$19/mês.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Inclui 10 horas de navegação ativa/mês. Ideal para profissionais liberais. (Margem de lucro estimada: 70%).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Plano Business (Times):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$49/usuário/mês.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Horas ilimitadas de uso de ferramentas simples + Suporte a automação multi-abas.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Plano Enterprise: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Preço sob consulta com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BYOK (Bring Your Own Key)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A empresa usa sua própria conta do Google Cloud, e nós cobramos uma taxa de licenciamento fixo pela interface e inteligência do Navigator.</w:t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11. ROI (Retorno sobre Investimento) para o Gestor</w:t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 do Analista: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Um analista médio custa ~$30/hora (incluindo encargos).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Economia de Tempo: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Se o Navigator economiza 10 horas de "limpeza de dados" por mês, ele economizou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$300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em produtividade humana.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Custo da Ferramenta: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$49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Resultado: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ROI positivo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$251/mês por funcionário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12. Road Map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Março 2026 (MVP):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Lançamento do controle básico por voz e visão (Limpeza e Gráficos).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Junho 2026: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Integração com Google Meet para análise colaborativa em tempo real.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Setembro 2026: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Expansão Cross-App (Sheets para Slides e Docs).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Dezembro 2026: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Implementação de camadas de auditoria preditiva e detecção proativa de anomalias.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2027: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Lançamento da API para desenvolvedores criarem suas próprias "Navegações" e Parceria com Google Cloud Marketplace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0"/>
          <w:bCs w:val="0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Com o Data Navigator, democratizamos a engenharia de dados. </w:t>
        <w:br w:type="textWrapping"/>
        <w:t xml:space="preserve">Deixamos o trabalho pesado para a IA, para que o humano possa focar no que importa: a decisão. </w:t>
        <w:br w:type="textWrapping"/>
        <w:br w:type="textWrapping"/>
      </w:r>
      <w:r w:rsidDel="00000000" w:rsidR="00000000" w:rsidRPr="00000000">
        <w:rPr>
          <w:b w:val="0"/>
          <w:bCs w:val="0"/>
          <w:sz w:val="40"/>
          <w:szCs w:val="40"/>
          <w:rtl w:val="0"/>
        </w:rPr>
        <w:t xml:space="preserve">Data Navigator: Pergunte, veja e decida!!!!</w:t>
      </w:r>
    </w:p>
    <w:p w:rsidR="00000000" w:rsidDel="00000000" w:rsidP="00000000" w:rsidRDefault="00000000" w:rsidRPr="00000000" w14:paraId="0000005A">
      <w:pPr>
        <w:pStyle w:val="Heading2"/>
        <w:rPr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0</wp:posOffset>
            </wp:positionV>
            <wp:extent cx="1533525" cy="1963420"/>
            <wp:effectExtent b="0" l="0" r="0" t="0"/>
            <wp:wrapSquare wrapText="bothSides" distB="0" distT="0" distL="114300" distR="114300"/>
            <wp:docPr id="24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33107" r="3249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9634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B">
      <w:pPr>
        <w:spacing w:after="0" w:line="240" w:lineRule="auto"/>
        <w:rPr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rPr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>
          <w:b w:val="0"/>
          <w:bC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b w:val="0"/>
          <w:bCs w:val="0"/>
          <w:sz w:val="40"/>
          <w:szCs w:val="40"/>
          <w:rtl w:val="0"/>
        </w:rPr>
        <w:br w:type="textWrapping"/>
        <w:br w:type="textWrapping"/>
      </w:r>
      <w:r w:rsidDel="00000000" w:rsidR="00000000" w:rsidRPr="00000000">
        <w:rPr>
          <w:rtl w:val="0"/>
        </w:rPr>
        <w:t xml:space="preserve">Brand Vision: O Simbolismo do Gemini Data Navigator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Gemini Data Navigator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nasce como uma extensão natural e humanizada do ecossistema Google. Nossa visão de marca reflete a união entre a inteligência do Gemini (o cérebro) e a ação prática do Navigator (a mão que guia). Essa essência é capturada diretamente na nossa identidade visual: a logo ostenta um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'N'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icônico e facetado, construído com a paleta de cores original da Google (azul, vermelho, amarelo, verde). Esta escolha não é apenas estética; ela simboliza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modernidade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interconetividade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e, acima de tudo,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confiança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 uma solução que é 'Google-First'. O design geométrico do 'N' representa as múltiplas facetas dos dados que nosso agente organiza e simplifica, comunicando instantaneamente nossa promessa: transformar planilhas estáticas em decisões imediatas, de forma visível e tangível."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  </w:t>
      </w:r>
    </w:p>
    <w:sectPr>
      <w:footerReference r:id="rId19" w:type="default"/>
      <w:pgSz w:h="16838" w:w="11906" w:orient="portrait"/>
      <w:pgMar w:bottom="1701" w:top="1135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Open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5029200</wp:posOffset>
          </wp:positionH>
          <wp:positionV relativeFrom="paragraph">
            <wp:posOffset>-222884</wp:posOffset>
          </wp:positionV>
          <wp:extent cx="1524000" cy="495300"/>
          <wp:effectExtent b="0" l="0" r="0" t="0"/>
          <wp:wrapSquare wrapText="bothSides" distB="0" distT="0" distL="114300" distR="114300"/>
          <wp:docPr id="19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26348" l="14165" r="12728" t="19710"/>
                  <a:stretch>
                    <a:fillRect/>
                  </a:stretch>
                </pic:blipFill>
                <pic:spPr>
                  <a:xfrm>
                    <a:off x="0" y="0"/>
                    <a:ext cx="1524000" cy="495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2Char" w:customStyle="1">
    <w:name w:val="Título 2 Char"/>
    <w:basedOn w:val="Fontepargpadro"/>
    <w:link w:val="Ttulo2"/>
    <w:uiPriority w:val="9"/>
    <w:rsid w:val="007E619B"/>
    <w:rPr>
      <w:rFonts w:ascii="Times New Roman" w:cs="Times New Roman" w:eastAsia="Times New Roman" w:hAnsi="Times New Roman"/>
      <w:b w:val="1"/>
      <w:bCs w:val="1"/>
      <w:sz w:val="36"/>
      <w:szCs w:val="36"/>
      <w:lang w:eastAsia="pt-BR"/>
    </w:rPr>
  </w:style>
  <w:style w:type="paragraph" w:styleId="NormalWeb">
    <w:name w:val="Normal (Web)"/>
    <w:basedOn w:val="Normal"/>
    <w:uiPriority w:val="99"/>
    <w:unhideWhenUsed w:val="1"/>
    <w:rsid w:val="007E61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pt-BR"/>
    </w:rPr>
  </w:style>
  <w:style w:type="character" w:styleId="Ttulo1Char" w:customStyle="1">
    <w:name w:val="Título 1 Char"/>
    <w:basedOn w:val="Fontepargpadro"/>
    <w:link w:val="Ttulo1"/>
    <w:uiPriority w:val="9"/>
    <w:rsid w:val="00831EE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CdigoHTML">
    <w:name w:val="HTML Code"/>
    <w:basedOn w:val="Fontepargpadro"/>
    <w:uiPriority w:val="99"/>
    <w:semiHidden w:val="1"/>
    <w:unhideWhenUsed w:val="1"/>
    <w:rsid w:val="00831EE2"/>
    <w:rPr>
      <w:rFonts w:ascii="Courier New" w:cs="Courier New" w:eastAsia="Times New Roman" w:hAnsi="Courier New"/>
      <w:sz w:val="20"/>
      <w:szCs w:val="20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831EE2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SemEspaamento">
    <w:name w:val="No Spacing"/>
    <w:uiPriority w:val="1"/>
    <w:qFormat w:val="1"/>
    <w:rsid w:val="00831EE2"/>
    <w:pPr>
      <w:spacing w:after="0" w:line="240" w:lineRule="auto"/>
    </w:pPr>
  </w:style>
  <w:style w:type="character" w:styleId="tweetquote" w:customStyle="1">
    <w:name w:val="tweet_quote"/>
    <w:basedOn w:val="Fontepargpadro"/>
    <w:rsid w:val="00865DD5"/>
  </w:style>
  <w:style w:type="character" w:styleId="Hyperlink">
    <w:name w:val="Hyperlink"/>
    <w:basedOn w:val="Fontepargpadro"/>
    <w:uiPriority w:val="99"/>
    <w:unhideWhenUsed w:val="1"/>
    <w:rsid w:val="00865DD5"/>
    <w:rPr>
      <w:color w:val="0000ff"/>
      <w:u w:val="single"/>
    </w:rPr>
  </w:style>
  <w:style w:type="character" w:styleId="nfase">
    <w:name w:val="Emphasis"/>
    <w:basedOn w:val="Fontepargpadro"/>
    <w:uiPriority w:val="20"/>
    <w:qFormat w:val="1"/>
    <w:rsid w:val="00865DD5"/>
    <w:rPr>
      <w:i w:val="1"/>
      <w:iCs w:val="1"/>
    </w:rPr>
  </w:style>
  <w:style w:type="character" w:styleId="MenoPendente">
    <w:name w:val="Unresolved Mention"/>
    <w:basedOn w:val="Fontepargpadro"/>
    <w:uiPriority w:val="99"/>
    <w:semiHidden w:val="1"/>
    <w:unhideWhenUsed w:val="1"/>
    <w:rsid w:val="00865DD5"/>
    <w:rPr>
      <w:color w:val="605e5c"/>
      <w:shd w:color="auto" w:fill="e1dfdd" w:val="clear"/>
    </w:rPr>
  </w:style>
  <w:style w:type="paragraph" w:styleId="Cabealho">
    <w:name w:val="header"/>
    <w:basedOn w:val="Normal"/>
    <w:link w:val="CabealhoChar"/>
    <w:uiPriority w:val="99"/>
    <w:unhideWhenUsed w:val="1"/>
    <w:rsid w:val="00312F97"/>
    <w:pPr>
      <w:tabs>
        <w:tab w:val="center" w:pos="4252"/>
        <w:tab w:val="right" w:pos="8504"/>
      </w:tabs>
      <w:spacing w:after="0" w:line="240" w:lineRule="auto"/>
    </w:pPr>
  </w:style>
  <w:style w:type="character" w:styleId="CabealhoChar" w:customStyle="1">
    <w:name w:val="Cabeçalho Char"/>
    <w:basedOn w:val="Fontepargpadro"/>
    <w:link w:val="Cabealho"/>
    <w:uiPriority w:val="99"/>
    <w:rsid w:val="00312F97"/>
  </w:style>
  <w:style w:type="paragraph" w:styleId="Rodap">
    <w:name w:val="footer"/>
    <w:basedOn w:val="Normal"/>
    <w:link w:val="RodapChar"/>
    <w:uiPriority w:val="99"/>
    <w:unhideWhenUsed w:val="1"/>
    <w:rsid w:val="00312F97"/>
    <w:pPr>
      <w:tabs>
        <w:tab w:val="center" w:pos="4252"/>
        <w:tab w:val="right" w:pos="8504"/>
      </w:tabs>
      <w:spacing w:after="0" w:line="240" w:lineRule="auto"/>
    </w:pPr>
  </w:style>
  <w:style w:type="character" w:styleId="RodapChar" w:customStyle="1">
    <w:name w:val="Rodapé Char"/>
    <w:basedOn w:val="Fontepargpadro"/>
    <w:link w:val="Rodap"/>
    <w:uiPriority w:val="99"/>
    <w:rsid w:val="00312F97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atanavigator.lovable.app/spreadsheets" TargetMode="External"/><Relationship Id="rId10" Type="http://schemas.openxmlformats.org/officeDocument/2006/relationships/hyperlink" Target="https://www.pega.com/about/news/press-releases/research-reveals-employees-switch-apps-over-1100-times-day" TargetMode="External"/><Relationship Id="rId13" Type="http://schemas.openxmlformats.org/officeDocument/2006/relationships/image" Target="media/image2.pn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7.jpg"/><Relationship Id="rId14" Type="http://schemas.openxmlformats.org/officeDocument/2006/relationships/image" Target="media/image8.png"/><Relationship Id="rId17" Type="http://schemas.openxmlformats.org/officeDocument/2006/relationships/image" Target="media/image6.jpg"/><Relationship Id="rId16" Type="http://schemas.openxmlformats.org/officeDocument/2006/relationships/image" Target="media/image4.jp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image" Target="media/image10.jpg"/><Relationship Id="rId7" Type="http://schemas.openxmlformats.org/officeDocument/2006/relationships/image" Target="media/image5.png"/><Relationship Id="rId8" Type="http://schemas.openxmlformats.org/officeDocument/2006/relationships/hyperlink" Target="https://www.forbes.com/sites/gilpress/2016/03/23/data-preparation-most-time-consuming-least-enjoyable-data-science-task-survey-say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OpenSans-regular.ttf"/><Relationship Id="rId4" Type="http://schemas.openxmlformats.org/officeDocument/2006/relationships/font" Target="fonts/OpenSans-bold.ttf"/><Relationship Id="rId5" Type="http://schemas.openxmlformats.org/officeDocument/2006/relationships/font" Target="fonts/OpenSans-italic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416Lg10tLFnDAlPHJRm+6o5Gng==">CgMxLjA4AHIhMTFYUWdiMjJ1VHJBQkVmQ3dtVXhfNllGbHVKYUlfQUtG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2026-03-15T05:03:00Z</dcterms:created>
  <dc:creator>Ryan Freitas</dc:creator>
</cp:coreProperties>
</file>