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Arial" w:cs="Arial" w:ascii="Arial" w:hAnsi="Arial"/>
          <w:b/>
          <w:i/>
          <w:color w:val="000000"/>
        </w:rPr>
        <w:t>Angiotomografia Computadorizada de Art</w:t>
      </w:r>
      <w:r>
        <w:rPr>
          <w:rFonts w:ascii="Arial" w:hAnsi="Arial"/>
          <w:b/>
          <w:i/>
          <w:color w:val="000000"/>
        </w:rPr>
        <w:t>érias Coronárias</w:t>
      </w:r>
    </w:p>
    <w:p>
      <w:pPr>
        <w:pStyle w:val="Normal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  <w:u w:val="single"/>
        </w:rPr>
      </w:pPr>
      <w:r>
        <w:rPr>
          <w:rFonts w:ascii="Arial" w:hAnsi="Arial"/>
          <w:b/>
          <w:color w:val="000000"/>
          <w:u w:val="single"/>
        </w:rPr>
        <w:t>TÉCNICA:</w:t>
      </w:r>
    </w:p>
    <w:p>
      <w:pPr>
        <w:pStyle w:val="Normal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Cortes tomográficos com 64 canais, 0,5 mm de espessura, sincronizada ao ECG, pré e pós-contraste venoso não iônico (350 mg/ml). As imagens foram analisadas em reconstruções multiplanares e tridimensionais.</w:t>
      </w:r>
    </w:p>
    <w:p>
      <w:pPr>
        <w:pStyle w:val="Normal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  <w:u w:val="single"/>
        </w:rPr>
      </w:pPr>
      <w:r>
        <w:rPr>
          <w:rFonts w:ascii="Arial" w:hAnsi="Arial"/>
          <w:b/>
          <w:color w:val="000000"/>
          <w:u w:val="single"/>
        </w:rPr>
        <w:t>LAUDO:</w:t>
      </w:r>
    </w:p>
    <w:p>
      <w:pPr>
        <w:pStyle w:val="Normal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  <w:t>ESCORE DE CÁLCIO (SEM CONTRASTE)</w:t>
      </w:r>
    </w:p>
    <w:p>
      <w:pPr>
        <w:pStyle w:val="Normal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</w:r>
    </w:p>
    <w:tbl>
      <w:tblPr>
        <w:tblW w:w="6681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460"/>
        <w:gridCol w:w="3220"/>
      </w:tblGrid>
      <w:tr>
        <w:trPr>
          <w:trHeight w:val="1" w:hRule="atLeast"/>
        </w:trPr>
        <w:tc>
          <w:tcPr>
            <w:tcW w:w="34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Normal"/>
              <w:widowControl w:val="false"/>
              <w:ind w:left="720" w:hanging="0"/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color w:val="000000"/>
              </w:rPr>
            </w:r>
          </w:p>
        </w:tc>
        <w:tc>
          <w:tcPr>
            <w:tcW w:w="32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rFonts w:ascii="Arial" w:hAnsi="Arial"/>
                <w:b/>
                <w:color w:val="000000"/>
              </w:rPr>
              <w:t>UNIDADES AGATSTON (UA)</w:t>
            </w:r>
          </w:p>
        </w:tc>
      </w:tr>
      <w:tr>
        <w:trPr>
          <w:trHeight w:val="1" w:hRule="atLeast"/>
        </w:trPr>
        <w:tc>
          <w:tcPr>
            <w:tcW w:w="34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TCE</w:t>
            </w:r>
          </w:p>
        </w:tc>
        <w:tc>
          <w:tcPr>
            <w:tcW w:w="32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Normal"/>
              <w:widowControl w:val="false"/>
              <w:jc w:val="center"/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color w:val="000000"/>
              </w:rPr>
              <w:t>0</w:t>
            </w:r>
          </w:p>
        </w:tc>
      </w:tr>
      <w:tr>
        <w:trPr>
          <w:trHeight w:val="1" w:hRule="atLeast"/>
        </w:trPr>
        <w:tc>
          <w:tcPr>
            <w:tcW w:w="34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DA</w:t>
            </w:r>
          </w:p>
        </w:tc>
        <w:tc>
          <w:tcPr>
            <w:tcW w:w="32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Normal"/>
              <w:widowControl w:val="false"/>
              <w:jc w:val="center"/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color w:val="000000"/>
              </w:rPr>
              <w:t>0</w:t>
            </w:r>
          </w:p>
        </w:tc>
      </w:tr>
      <w:tr>
        <w:trPr>
          <w:trHeight w:val="1" w:hRule="atLeast"/>
        </w:trPr>
        <w:tc>
          <w:tcPr>
            <w:tcW w:w="34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CX</w:t>
            </w:r>
          </w:p>
        </w:tc>
        <w:tc>
          <w:tcPr>
            <w:tcW w:w="32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Normal"/>
              <w:widowControl w:val="false"/>
              <w:jc w:val="center"/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color w:val="000000"/>
              </w:rPr>
              <w:t>0</w:t>
            </w:r>
          </w:p>
        </w:tc>
      </w:tr>
      <w:tr>
        <w:trPr>
          <w:trHeight w:val="1" w:hRule="atLeast"/>
        </w:trPr>
        <w:tc>
          <w:tcPr>
            <w:tcW w:w="34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CD</w:t>
            </w:r>
          </w:p>
        </w:tc>
        <w:tc>
          <w:tcPr>
            <w:tcW w:w="32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Normal"/>
              <w:widowControl w:val="false"/>
              <w:jc w:val="center"/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color w:val="000000"/>
              </w:rPr>
              <w:t>0</w:t>
            </w:r>
          </w:p>
        </w:tc>
      </w:tr>
      <w:tr>
        <w:trPr>
          <w:trHeight w:val="1" w:hRule="atLeast"/>
        </w:trPr>
        <w:tc>
          <w:tcPr>
            <w:tcW w:w="34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rFonts w:ascii="Arial" w:hAnsi="Arial"/>
                <w:b/>
                <w:color w:val="000000"/>
              </w:rPr>
              <w:t>ESCORE TOTAL</w:t>
            </w:r>
          </w:p>
        </w:tc>
        <w:tc>
          <w:tcPr>
            <w:tcW w:w="32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Normal"/>
              <w:widowControl w:val="false"/>
              <w:jc w:val="center"/>
              <w:rPr>
                <w:rFonts w:ascii="Verdana" w:hAnsi="Verdana"/>
                <w:b/>
                <w:b/>
                <w:bCs/>
                <w:color w:val="000000"/>
              </w:rPr>
            </w:pPr>
            <w:r>
              <w:rPr>
                <w:rFonts w:ascii="Verdana" w:hAnsi="Verdana"/>
                <w:b/>
                <w:bCs/>
                <w:color w:val="000000"/>
              </w:rPr>
              <w:t>0</w:t>
            </w:r>
          </w:p>
        </w:tc>
      </w:tr>
    </w:tbl>
    <w:p>
      <w:pPr>
        <w:pStyle w:val="Normal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  <w:t>ANGIOTOMOGRAFIA (COM CONTRASTE)</w:t>
      </w:r>
    </w:p>
    <w:p>
      <w:pPr>
        <w:pStyle w:val="Normal"/>
        <w:ind w:left="720" w:hanging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rPr/>
      </w:pPr>
      <w:r>
        <w:rPr>
          <w:rFonts w:ascii="Arial" w:hAnsi="Arial"/>
          <w:b/>
          <w:color w:val="000000"/>
        </w:rPr>
        <w:t>Qualidade/confiabilidade:</w:t>
      </w:r>
      <w:r>
        <w:rPr>
          <w:rFonts w:ascii="Arial" w:hAnsi="Arial"/>
          <w:color w:val="000000"/>
        </w:rPr>
        <w:t xml:space="preserve"> adequada para avaliação diagnóstica.</w:t>
      </w:r>
    </w:p>
    <w:p>
      <w:pPr>
        <w:pStyle w:val="Normal"/>
        <w:rPr>
          <w:rFonts w:ascii="Arial" w:hAnsi="Arial"/>
          <w:b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</w:r>
    </w:p>
    <w:p>
      <w:pPr>
        <w:pStyle w:val="Normal"/>
        <w:rPr>
          <w:rFonts w:ascii="Arial" w:hAnsi="Arial"/>
          <w:b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  <w:t xml:space="preserve">Dominância: </w:t>
      </w:r>
      <w:r>
        <w:rPr>
          <w:rFonts w:ascii="Arial" w:hAnsi="Arial"/>
          <w:color w:val="000000"/>
        </w:rPr>
        <w:t>direita.</w:t>
      </w:r>
    </w:p>
    <w:p>
      <w:pPr>
        <w:pStyle w:val="Normal"/>
        <w:rPr>
          <w:rFonts w:ascii="Arial" w:hAnsi="Arial"/>
          <w:b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  <w:t>Origem coronária:</w:t>
      </w:r>
      <w:r>
        <w:rPr>
          <w:rFonts w:ascii="Arial" w:hAnsi="Arial"/>
          <w:color w:val="000000"/>
        </w:rPr>
        <w:t xml:space="preserve"> normal.</w:t>
      </w:r>
    </w:p>
    <w:p>
      <w:pPr>
        <w:pStyle w:val="Normal"/>
        <w:ind w:left="720" w:hang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</w:r>
    </w:p>
    <w:p>
      <w:pPr>
        <w:pStyle w:val="Normal"/>
        <w:rPr/>
      </w:pPr>
      <w:r>
        <w:rPr>
          <w:rFonts w:ascii="Arial" w:hAnsi="Arial"/>
          <w:b/>
          <w:color w:val="000000"/>
        </w:rPr>
        <w:t xml:space="preserve">TCE: </w:t>
      </w:r>
      <w:r>
        <w:rPr>
          <w:rFonts w:ascii="Arial" w:hAnsi="Arial"/>
          <w:color w:val="000000"/>
        </w:rPr>
        <w:t>bifurcado e sem placa evidente.</w:t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/>
      </w:pPr>
      <w:r>
        <w:rPr>
          <w:rFonts w:ascii="Arial" w:hAnsi="Arial"/>
          <w:b/>
          <w:color w:val="000000"/>
        </w:rPr>
        <w:t xml:space="preserve">DA: </w:t>
      </w:r>
      <w:r>
        <w:rPr>
          <w:rFonts w:ascii="Arial" w:hAnsi="Arial"/>
          <w:color w:val="000000"/>
        </w:rPr>
        <w:t>contorna o ápex, sem placa evidente.</w:t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 xml:space="preserve">  </w:t>
      </w:r>
      <w:r>
        <w:rPr>
          <w:rFonts w:ascii="Arial" w:hAnsi="Arial"/>
          <w:b/>
          <w:bCs/>
          <w:color w:val="000000"/>
        </w:rPr>
        <w:t>Dg:</w:t>
      </w:r>
      <w:r>
        <w:rPr>
          <w:rFonts w:ascii="Arial" w:hAnsi="Arial"/>
          <w:color w:val="000000"/>
        </w:rPr>
        <w:t xml:space="preserve"> X sem estenose significativa.</w:t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/>
      </w:pPr>
      <w:r>
        <w:rPr>
          <w:rFonts w:ascii="Arial" w:hAnsi="Arial"/>
          <w:b/>
          <w:color w:val="000000"/>
        </w:rPr>
        <w:t xml:space="preserve">RI: </w:t>
      </w:r>
      <w:r>
        <w:rPr>
          <w:rFonts w:ascii="Arial" w:hAnsi="Arial"/>
          <w:color w:val="000000"/>
        </w:rPr>
        <w:t>de X</w:t>
      </w:r>
      <w:r>
        <w:rPr>
          <w:rFonts w:ascii="Arial" w:hAnsi="Arial"/>
          <w:b/>
          <w:color w:val="000000"/>
        </w:rPr>
        <w:t xml:space="preserve"> </w:t>
      </w:r>
      <w:r>
        <w:rPr>
          <w:rFonts w:ascii="Arial" w:hAnsi="Arial"/>
          <w:color w:val="000000"/>
        </w:rPr>
        <w:t>calibre, sem placa evidente.</w:t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/>
      </w:pPr>
      <w:r>
        <w:rPr>
          <w:rFonts w:ascii="Arial" w:hAnsi="Arial"/>
          <w:b/>
          <w:color w:val="000000"/>
        </w:rPr>
        <w:t xml:space="preserve">Cx: </w:t>
      </w:r>
      <w:r>
        <w:rPr>
          <w:rFonts w:ascii="Arial" w:hAnsi="Arial"/>
          <w:color w:val="000000"/>
        </w:rPr>
        <w:t>sem placa evidente.</w:t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 xml:space="preserve">  </w:t>
      </w:r>
      <w:r>
        <w:rPr>
          <w:rFonts w:ascii="Arial" w:hAnsi="Arial"/>
          <w:b/>
          <w:bCs/>
          <w:color w:val="000000"/>
        </w:rPr>
        <w:t>MgE:</w:t>
      </w:r>
      <w:r>
        <w:rPr>
          <w:rFonts w:ascii="Arial" w:hAnsi="Arial"/>
          <w:color w:val="000000"/>
        </w:rPr>
        <w:t xml:space="preserve"> X sem estenose significativa.</w:t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</w:r>
    </w:p>
    <w:p>
      <w:pPr>
        <w:pStyle w:val="Normal"/>
        <w:rPr/>
      </w:pPr>
      <w:r>
        <w:rPr>
          <w:rFonts w:ascii="Arial" w:hAnsi="Arial"/>
          <w:b/>
          <w:color w:val="000000"/>
        </w:rPr>
        <w:t xml:space="preserve">CD: </w:t>
      </w:r>
      <w:r>
        <w:rPr>
          <w:rFonts w:ascii="Arial" w:hAnsi="Arial"/>
          <w:color w:val="000000"/>
        </w:rPr>
        <w:t>sem placa evidente.</w:t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 xml:space="preserve">  </w:t>
      </w:r>
      <w:r>
        <w:rPr>
          <w:rFonts w:ascii="Arial" w:hAnsi="Arial"/>
          <w:b/>
          <w:bCs/>
          <w:color w:val="000000"/>
        </w:rPr>
        <w:t>DP e VP:</w:t>
      </w:r>
      <w:r>
        <w:rPr>
          <w:rFonts w:ascii="Arial" w:hAnsi="Arial"/>
          <w:color w:val="000000"/>
        </w:rPr>
        <w:t xml:space="preserve"> sem estenose significativa.</w:t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</w:rPr>
      </w:pPr>
      <w:r>
        <w:rPr>
          <w:rFonts w:ascii="Arial" w:hAnsi="Arial"/>
          <w:b/>
          <w:color w:val="000000"/>
        </w:rPr>
        <w:t>Outros achados:</w:t>
      </w:r>
    </w:p>
    <w:p>
      <w:pPr>
        <w:pStyle w:val="Normal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</w:r>
    </w:p>
    <w:p>
      <w:pPr>
        <w:pStyle w:val="Normal"/>
        <w:rPr>
          <w:rFonts w:ascii="Arial" w:hAnsi="Arial"/>
          <w:b/>
          <w:b/>
          <w:color w:val="000000"/>
          <w:u w:val="single"/>
        </w:rPr>
      </w:pPr>
      <w:r>
        <w:rPr>
          <w:rFonts w:ascii="Arial" w:hAnsi="Arial"/>
          <w:b/>
          <w:color w:val="000000"/>
          <w:u w:val="single"/>
        </w:rPr>
        <w:t>CONCLUSÃO:</w:t>
      </w:r>
    </w:p>
    <w:p>
      <w:pPr>
        <w:pStyle w:val="Normal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</w:r>
    </w:p>
    <w:p>
      <w:pPr>
        <w:pStyle w:val="Normal"/>
        <w:ind w:left="709" w:hanging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Escore de cálcio coronariano igual a X UA (percentil &lt; 75% para sexo, idade e etnia), indicando X risco cardiovascular.</w:t>
      </w:r>
    </w:p>
    <w:p>
      <w:pPr>
        <w:pStyle w:val="Normal"/>
        <w:ind w:left="720" w:hanging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ind w:left="720" w:hanging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Ausência de placa aterosclerótica evidente ou estenose significativa nas artérias coronárias. </w:t>
      </w:r>
    </w:p>
    <w:p>
      <w:pPr>
        <w:pStyle w:val="Normal"/>
        <w:ind w:left="720" w:hang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</w:r>
    </w:p>
    <w:p>
      <w:pPr>
        <w:pStyle w:val="Normal"/>
        <w:rPr/>
      </w:pPr>
      <w:r>
        <w:rPr>
          <w:rFonts w:ascii="Arial" w:hAnsi="Arial"/>
          <w:color w:val="000000"/>
          <w:sz w:val="16"/>
        </w:rPr>
        <w:t>*Estenose (redução luminal): mínima/irregularidades (1-24%), discreta (25-49%), moderada (50-69%) e importante (70-99%).</w:t>
      </w:r>
    </w:p>
    <w:p>
      <w:pPr>
        <w:pStyle w:val="Normal"/>
        <w:rPr>
          <w:rFonts w:ascii="Arial" w:hAnsi="Arial"/>
          <w:color w:val="000000"/>
          <w:sz w:val="16"/>
        </w:rPr>
      </w:pPr>
      <w:r>
        <w:rPr>
          <w:rFonts w:ascii="Arial" w:hAnsi="Arial"/>
          <w:color w:val="000000"/>
          <w:sz w:val="16"/>
        </w:rPr>
        <w:t>*Estenose significativa quando &gt; 50%.</w:t>
      </w:r>
    </w:p>
    <w:p>
      <w:pPr>
        <w:pStyle w:val="Normal"/>
        <w:rPr>
          <w:rFonts w:ascii="Arial" w:hAnsi="Arial"/>
          <w:color w:val="000000"/>
          <w:sz w:val="16"/>
        </w:rPr>
      </w:pPr>
      <w:r>
        <w:rPr>
          <w:rFonts w:ascii="Arial" w:hAnsi="Arial"/>
          <w:color w:val="000000"/>
          <w:sz w:val="16"/>
        </w:rPr>
        <w:t xml:space="preserve">*TCE: tronco da coronária esquerda; DA: descendente anterior; Dg: diagonais; RI: ramo intermédio; Cx: circunflexa; MgE: marginais esquerdos; CD: coronária direita; DP: descendente posterior; VP: ventricular posterior. </w:t>
      </w:r>
    </w:p>
    <w:p>
      <w:pPr>
        <w:pStyle w:val="Normal"/>
        <w:rPr>
          <w:rFonts w:ascii="Arial" w:hAnsi="Arial" w:eastAsia="Arial"/>
          <w:b/>
          <w:b/>
          <w:i/>
          <w:i/>
          <w:color w:val="000000"/>
          <w:sz w:val="16"/>
        </w:rPr>
      </w:pPr>
      <w:r>
        <w:rPr/>
      </w:r>
      <w:bookmarkStart w:id="0" w:name="__DdeLink__391_1480770003"/>
      <w:bookmarkStart w:id="1" w:name="__DdeLink__391_1480770003"/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Verdan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7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2a10"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BR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aa2a10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a2a10"/>
    <w:rPr>
      <w:rFonts w:ascii="Times New Roman" w:hAnsi="Times New Roman" w:eastAsia="Times New Roman" w:cs="Times New Roman"/>
      <w:b/>
      <w:bCs/>
      <w:kern w:val="2"/>
      <w:sz w:val="48"/>
      <w:szCs w:val="48"/>
      <w:lang w:val="en-BR" w:eastAsia="en-US" w:bidi="ar-SA"/>
    </w:rPr>
  </w:style>
  <w:style w:type="character" w:styleId="Strong">
    <w:name w:val="Strong"/>
    <w:basedOn w:val="DefaultParagraphFont"/>
    <w:uiPriority w:val="22"/>
    <w:qFormat/>
    <w:rsid w:val="00aa2a10"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tulo" w:customStyle="1">
    <w:name w:val="Título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ableNormal1" w:customStyle="1">
    <w:name w:val="Table Normal1"/>
    <w:qFormat/>
    <w:pPr>
      <w:widowControl w:val="false"/>
      <w:suppressAutoHyphens w:val="true"/>
      <w:bidi w:val="0"/>
      <w:spacing w:before="0" w:after="0"/>
      <w:jc w:val="left"/>
    </w:pPr>
    <w:rPr>
      <w:rFonts w:ascii="Verdana" w:hAnsi="Verdana" w:eastAsia="Arial" w:cs="Arial"/>
      <w:color w:val="auto"/>
      <w:kern w:val="2"/>
      <w:sz w:val="22"/>
      <w:szCs w:val="24"/>
      <w:lang w:val="pt-BR" w:eastAsia="zh-CN" w:bidi="hi-IN"/>
    </w:rPr>
  </w:style>
  <w:style w:type="paragraph" w:styleId="TableSimple11" w:customStyle="1">
    <w:name w:val="Table Simple 11"/>
    <w:basedOn w:val="TableNormal1"/>
    <w:qFormat/>
    <w:pPr/>
    <w:rPr/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NormalWeb">
    <w:name w:val="Normal (Web)"/>
    <w:basedOn w:val="Normal"/>
    <w:uiPriority w:val="99"/>
    <w:semiHidden/>
    <w:unhideWhenUsed/>
    <w:qFormat/>
    <w:rsid w:val="00aa2a10"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2</Pages>
  <Words>190</Words>
  <Characters>1209</Characters>
  <CharactersWithSpaces>1372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2026-08-24T15:52:00Z</dcterms:created>
  <dc:creator>Bernardo Baptista da Cunha Lopes</dc:creator>
  <dc:description/>
  <dc:language>pt-BR</dc:language>
  <cp:lastModifiedBy/>
  <dcterms:modified xsi:type="dcterms:W3CDTF">2026-08-29T15:54:37Z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