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3B1E833E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 xml:space="preserve">Test Data for </w:t>
      </w:r>
      <w:proofErr w:type="spellStart"/>
      <w:r w:rsidR="003D513E">
        <w:rPr>
          <w:u w:val="single"/>
        </w:rPr>
        <w:t>for</w:t>
      </w:r>
      <w:proofErr w:type="spellEnd"/>
      <w:r w:rsidR="003D513E">
        <w:rPr>
          <w:u w:val="single"/>
        </w:rPr>
        <w:t xml:space="preserve"> </w:t>
      </w:r>
      <w:r w:rsidR="00B03CF1">
        <w:rPr>
          <w:u w:val="single"/>
        </w:rPr>
        <w:t>170.315(e</w:t>
      </w:r>
      <w:proofErr w:type="gramStart"/>
      <w:r w:rsidR="00B03CF1">
        <w:rPr>
          <w:u w:val="single"/>
        </w:rPr>
        <w:t>)(</w:t>
      </w:r>
      <w:proofErr w:type="gramEnd"/>
      <w:r w:rsidR="00B03CF1">
        <w:rPr>
          <w:u w:val="single"/>
        </w:rPr>
        <w:t xml:space="preserve">1) View, Download and Transmit 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7E00F4B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 w:rsidR="00B03CF1">
        <w:t xml:space="preserve"> and </w:t>
      </w:r>
      <w:r w:rsidR="00B03CF1" w:rsidRPr="00B03CF1">
        <w:t>170.315(e)(1)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</w:t>
      </w:r>
      <w:r w:rsidR="00151E98">
        <w:t>provide a patient the capability to View, Download and Transmit a care summary record</w:t>
      </w:r>
      <w:bookmarkStart w:id="0" w:name="_GoBack"/>
      <w:bookmarkEnd w:id="0"/>
      <w:r w:rsidR="003D513E">
        <w:t xml:space="preserve"> </w:t>
      </w:r>
      <w:r>
        <w:t>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0232862F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B03CF1" w:rsidRPr="00B03CF1">
        <w:t>(e)(1)</w:t>
      </w:r>
    </w:p>
    <w:p w14:paraId="0784B5D5" w14:textId="28FABB0C" w:rsidR="00015DD7" w:rsidRDefault="00AB73E9" w:rsidP="00015DD7">
      <w:r>
        <w:t>&lt;Include text of 45 CFR 170.315</w:t>
      </w:r>
      <w:r w:rsidR="00B03CF1" w:rsidRPr="00B03CF1">
        <w:t>(e</w:t>
      </w:r>
      <w:proofErr w:type="gramStart"/>
      <w:r w:rsidR="00B03CF1" w:rsidRPr="00B03CF1">
        <w:t>)(</w:t>
      </w:r>
      <w:proofErr w:type="gramEnd"/>
      <w:r w:rsidR="00B03CF1" w:rsidRPr="00B03CF1">
        <w:t>1)</w:t>
      </w:r>
      <w:r w:rsidR="00015DD7">
        <w:t>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3EA9E466" w:rsidR="00AB73E9" w:rsidRDefault="00AB73E9" w:rsidP="00015DD7">
      <w:r>
        <w:t>To exemplify 170.</w:t>
      </w:r>
      <w:r w:rsidR="003D513E">
        <w:t>315</w:t>
      </w:r>
      <w:r w:rsidR="00B03CF1" w:rsidRPr="00B03CF1">
        <w:t>(e)(1)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lastRenderedPageBreak/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50240BE2" w:rsidR="00E208B6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5B392501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Jones(Spouse)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7B4AD" w14:textId="77777777" w:rsidR="00693B5C" w:rsidRDefault="00693B5C" w:rsidP="00856AD7">
      <w:pPr>
        <w:spacing w:after="0" w:line="240" w:lineRule="auto"/>
      </w:pPr>
      <w:r>
        <w:separator/>
      </w:r>
    </w:p>
  </w:endnote>
  <w:endnote w:type="continuationSeparator" w:id="0">
    <w:p w14:paraId="1688AA64" w14:textId="77777777" w:rsidR="00693B5C" w:rsidRDefault="00693B5C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E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278C9" w14:textId="77777777" w:rsidR="00693B5C" w:rsidRDefault="00693B5C" w:rsidP="00856AD7">
      <w:pPr>
        <w:spacing w:after="0" w:line="240" w:lineRule="auto"/>
      </w:pPr>
      <w:r>
        <w:separator/>
      </w:r>
    </w:p>
  </w:footnote>
  <w:footnote w:type="continuationSeparator" w:id="0">
    <w:p w14:paraId="3287A993" w14:textId="77777777" w:rsidR="00693B5C" w:rsidRDefault="00693B5C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D04D4"/>
    <w:rsid w:val="000E2850"/>
    <w:rsid w:val="000F21A3"/>
    <w:rsid w:val="000F523B"/>
    <w:rsid w:val="000F6A89"/>
    <w:rsid w:val="000F6B07"/>
    <w:rsid w:val="00141143"/>
    <w:rsid w:val="00151E98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1741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3D513E"/>
    <w:rsid w:val="00416D62"/>
    <w:rsid w:val="0045409A"/>
    <w:rsid w:val="00487C16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3B5C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01C9"/>
    <w:rsid w:val="00AC6149"/>
    <w:rsid w:val="00AF699F"/>
    <w:rsid w:val="00B03CF1"/>
    <w:rsid w:val="00B20F4B"/>
    <w:rsid w:val="00B2365C"/>
    <w:rsid w:val="00B32883"/>
    <w:rsid w:val="00B37F18"/>
    <w:rsid w:val="00B40147"/>
    <w:rsid w:val="00B46066"/>
    <w:rsid w:val="00B80BEF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7</cp:revision>
  <cp:lastPrinted>2015-08-13T13:26:00Z</cp:lastPrinted>
  <dcterms:created xsi:type="dcterms:W3CDTF">2015-08-18T07:44:00Z</dcterms:created>
  <dcterms:modified xsi:type="dcterms:W3CDTF">2015-08-18T08:55:00Z</dcterms:modified>
</cp:coreProperties>
</file>