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Field Codes Case</w:t>
      </w:r>
    </w:p>
    <w:p>
      <w:r>
        <w:t xml:space="preserve">Prepared for: </w:t>
      </w:r>
      <w:r>
        <w:fldChar w:fldCharType="begin"/>
      </w:r>
      <w:r>
        <w:instrText xml:space="preserve"> MERGEFIELD ParticipantName </w:instrText>
      </w:r>
      <w:r>
        <w:fldChar w:fldCharType="separate"/>
      </w:r>
      <w:r>
        <w:t>Marcus Whitfield</w:t>
      </w:r>
      <w:r>
        <w:fldChar w:fldCharType="end"/>
      </w:r>
    </w:p>
    <w:p>
      <w:r>
        <w:t xml:space="preserve">Generated on: </w:t>
      </w:r>
      <w:r>
        <w:fldChar w:fldCharType="begin"/>
      </w:r>
      <w:r>
        <w:instrText xml:space="preserve"> DATE \@ "MM/dd/yyyy" </w:instrText>
      </w:r>
      <w:r>
        <w:fldChar w:fldCharType="separate"/>
      </w:r>
      <w:r>
        <w:t>01/12/2026</w:t>
      </w:r>
      <w:r>
        <w:fldChar w:fldCharType="end"/>
      </w:r>
    </w:p>
    <w:p>
      <w:r>
        <w:t>Marcus Whitfield also appears here in plain text, at marcus.whitfield@example.edu, for contrast with the field-code occurrence above.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Synthetic Author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