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Semantic Relationships Phase 2 — Browser Validation Document</w:t>
      </w:r>
    </w:p>
    <w:p>
      <w:r>
        <w:t>This reusable test document exercises full-value alias proposals (v2026-07-30.05). Reviewed by Andrew Goodloe.</w:t>
      </w:r>
    </w:p>
    <w:p>
      <w:r>
        <w:t>The National Student Clearinghouse provides enrollment verification. We submitted the roster to NSC on Monday, and N.S.C. confirmed receipt on Tuesday.</w:t>
      </w:r>
    </w:p>
    <w:p>
      <w:r>
        <w:t>Note that NSC is deliberately ambiguous here: the National Safety Council also uses the same acronym in our vendor list.</w:t>
      </w:r>
    </w:p>
    <w:p>
      <w:r>
        <w:t>DegreeVerify results arrived late; DV shows two outstanding requests.</w:t>
      </w:r>
    </w:p>
    <w:p>
      <w:r>
        <w:t>All exports must exclude Personally Identifiable Information. Flag any PII before transmission.</w:t>
      </w:r>
    </w:p>
    <w:p>
      <w:r>
        <w:t>California State University, Los Angeles hosted the workshop. Cal State LA staff coordinated logistics, and CSULA provided the 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