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Drawing Objects Case</w:t>
      </w:r>
    </w:p>
    <w:p>
      <w:r>
        <w:t>Screenshot shared by Diane Okafor (diane.okafor@example.edu) is shown below:</w:t>
      </w:r>
    </w:p>
    <w:p>
      <w:r>
        <w:drawing>
          <wp:inline xmlns:a="http://schemas.openxmlformats.org/drawingml/2006/main" xmlns:pic="http://schemas.openxmlformats.org/drawingml/2006/picture">
            <wp:extent cx="812800" cy="8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Diane Okafor confirmed the attachment in a follow-up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