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Entity Resolution Case</w:t>
      </w:r>
    </w:p>
    <w:p>
      <w:r>
        <w:t>Maria Alvarez opened the meeting and introduced the agenda.</w:t>
      </w:r>
    </w:p>
    <w:p>
      <w:r>
        <w:t>Alvarez, Maria then reviewed last quarter's numbers.</w:t>
      </w:r>
    </w:p>
    <w:p>
      <w:r>
        <w:t>Maria confirmed the new deadline soon after.</w:t>
      </w:r>
    </w:p>
    <w:p>
      <w:r>
        <w:t>Later, the team asked Maria for the updated schedule.</w:t>
      </w:r>
    </w:p>
    <w:p>
      <w:r>
        <w:t>Andrew Goodloe opened the budget discussion.</w:t>
      </w:r>
    </w:p>
    <w:p>
      <w:r>
        <w:t>Andy Goodloe followed up with additional context.</w:t>
      </w:r>
    </w:p>
    <w:p>
      <w:r>
        <w:t>Andrew Jackson responded with an alternative proposal.</w:t>
      </w:r>
    </w:p>
    <w:p>
      <w:r>
        <w:t>Andy Jackson provided supporting data for that proposal.</w:t>
      </w:r>
    </w:p>
    <w:p>
      <w:r>
        <w:t>Andrew agreed to follow up after the call.</w:t>
      </w:r>
    </w:p>
    <w:p>
      <w:r>
        <w:t>Afterward, everyone thanked Andrew for the clarification.</w:t>
      </w:r>
    </w:p>
    <w:p>
      <w:r>
        <w:t>Carlos Mendez signed off on the vendor contract.</w:t>
      </w:r>
    </w:p>
    <w:p>
      <w:r>
        <w:t>Elena Mendez filed the compliance report separately.</w:t>
      </w:r>
    </w:p>
    <w:p>
      <w:r>
        <w:t>Dr Susan Whitmore presented the quarterly research findings.</w:t>
      </w:r>
    </w:p>
    <w:p>
      <w:r>
        <w:t>Susan Whitmore later answered follow-up questions from the board.</w:t>
      </w:r>
    </w:p>
    <w:p>
      <w:r>
        <w:t>Priya Natarajan will finalize the vendor selection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