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left"/>
      </w:pPr>
      <w:r>
        <w:rPr>
          <w:b/>
          <w:color w:val="1F2D3D"/>
          <w:sz w:val="52"/>
        </w:rPr>
        <w:t>Architecture Review Report</w:t>
      </w:r>
    </w:p>
    <w:p>
      <w:pPr>
        <w:spacing w:after="40"/>
      </w:pPr>
      <w:r>
        <w:rPr>
          <w:color w:val="3A5063"/>
          <w:sz w:val="30"/>
        </w:rPr>
        <w:t>DocScrub-Web Target Architecture — v0.1</w:t>
      </w:r>
    </w:p>
    <w:p>
      <w:pPr>
        <w:spacing w:after="600"/>
      </w:pPr>
      <w:r>
        <w:rPr>
          <w:i/>
          <w:color w:val="55606B"/>
          <w:sz w:val="22"/>
        </w:rPr>
        <w:t>Architecture Review Board — pre-implementation review</w:t>
      </w:r>
    </w:p>
    <w:tbl>
      <w:tblPr>
        <w:tblW w:type="auto" w:w="0"/>
        <w:jc w:val="left"/>
        <w:tblLayout w:type="fixed"/>
        <w:tblLook w:firstColumn="1" w:firstRow="1" w:lastColumn="0" w:lastRow="0" w:noHBand="0" w:noVBand="1" w:val="04A0"/>
      </w:tblPr>
      <w:tblGrid>
        <w:gridCol w:w="4680"/>
        <w:gridCol w:w="4680"/>
      </w:tblGrid>
      <w:tr>
        <w:tc>
          <w:tcPr>
            <w:tcW w:type="dxa" w:w="2448"/>
            <w:shd w:val="clear" w:color="auto" w:fill="EEF1F4"/>
          </w:tcPr>
          <w:p>
            <w:r/>
            <w:r>
              <w:rPr>
                <w:b/>
                <w:color w:val="3A5063"/>
                <w:sz w:val="20"/>
              </w:rPr>
              <w:t>Reviewed document</w:t>
            </w:r>
          </w:p>
        </w:tc>
        <w:tc>
          <w:tcPr>
            <w:tcW w:type="dxa" w:w="6912"/>
          </w:tcPr>
          <w:p>
            <w:r/>
            <w:r>
              <w:rPr>
                <w:b w:val="0"/>
                <w:sz w:val="20"/>
              </w:rPr>
              <w:t>DocScrub-Web_Target_Architecture.docx (v0.1, 2026-07-27)</w:t>
            </w:r>
          </w:p>
        </w:tc>
      </w:tr>
      <w:tr>
        <w:tc>
          <w:tcPr>
            <w:tcW w:type="dxa" w:w="2448"/>
            <w:shd w:val="clear" w:color="auto" w:fill="EEF1F4"/>
          </w:tcPr>
          <w:p>
            <w:r/>
            <w:r>
              <w:rPr>
                <w:b/>
                <w:color w:val="3A5063"/>
                <w:sz w:val="20"/>
              </w:rPr>
              <w:t>Reviewed against</w:t>
            </w:r>
          </w:p>
        </w:tc>
        <w:tc>
          <w:tcPr>
            <w:tcW w:type="dxa" w:w="6912"/>
          </w:tcPr>
          <w:p>
            <w:r/>
            <w:r>
              <w:rPr>
                <w:b w:val="0"/>
                <w:sz w:val="20"/>
              </w:rPr>
              <w:t>work/pii_docx_redactor — current Python implementation (local_web_app.py, redactor/ modules, README.md)</w:t>
            </w:r>
          </w:p>
        </w:tc>
      </w:tr>
      <w:tr>
        <w:tc>
          <w:tcPr>
            <w:tcW w:type="dxa" w:w="2448"/>
            <w:shd w:val="clear" w:color="auto" w:fill="EEF1F4"/>
          </w:tcPr>
          <w:p>
            <w:r/>
            <w:r>
              <w:rPr>
                <w:b/>
                <w:color w:val="3A5063"/>
                <w:sz w:val="20"/>
              </w:rPr>
              <w:t>Review date</w:t>
            </w:r>
          </w:p>
        </w:tc>
        <w:tc>
          <w:tcPr>
            <w:tcW w:type="dxa" w:w="6912"/>
          </w:tcPr>
          <w:p>
            <w:r/>
            <w:r>
              <w:rPr>
                <w:b w:val="0"/>
                <w:sz w:val="20"/>
              </w:rPr>
              <w:t>July 27, 2026</w:t>
            </w:r>
          </w:p>
        </w:tc>
      </w:tr>
      <w:tr>
        <w:tc>
          <w:tcPr>
            <w:tcW w:type="dxa" w:w="2448"/>
            <w:shd w:val="clear" w:color="auto" w:fill="EEF1F4"/>
          </w:tcPr>
          <w:p>
            <w:r/>
            <w:r>
              <w:rPr>
                <w:b/>
                <w:color w:val="3A5063"/>
                <w:sz w:val="20"/>
              </w:rPr>
              <w:t>Disposition</w:t>
            </w:r>
          </w:p>
        </w:tc>
        <w:tc>
          <w:tcPr>
            <w:tcW w:type="dxa" w:w="6912"/>
          </w:tcPr>
          <w:p>
            <w:r/>
            <w:r>
              <w:rPr>
                <w:b w:val="0"/>
                <w:sz w:val="20"/>
              </w:rPr>
              <w:t>Conditional approval — direction sound; required changes before Phase 2 contracts are locked</w:t>
            </w:r>
          </w:p>
        </w:tc>
      </w:tr>
    </w:tbl>
    <w:p>
      <w:pPr>
        <w:spacing w:after="400"/>
      </w:pPr>
    </w:p>
    <w:p>
      <w:r>
        <w:rPr>
          <w:i/>
          <w:color w:val="6B6B6B"/>
          <w:sz w:val="19"/>
        </w:rPr>
        <w:t>Note on paths: this review cites specific files under work/pii_docx_redactor as it exists today. Those paths will likely differ by the time implementation begins — treat file references as pointers to current behavior, not as a claim about future repository layout.</w:t>
      </w:r>
    </w:p>
    <w:p>
      <w:r>
        <w:br w:type="page"/>
      </w:r>
    </w:p>
    <w:p>
      <w:pPr>
        <w:pStyle w:val="Heading1"/>
      </w:pPr>
      <w:r>
        <w:t>1. Verdict</w:t>
      </w:r>
    </w:p>
    <w:p>
      <w:r>
        <w:rPr>
          <w:b w:val="0"/>
          <w:i w:val="0"/>
        </w:rPr>
        <w:t>Conditional approval. The overall direction — browser-local processing, a rebuilt host around preserved domain logic, an explicit cloud trust boundary, and a phased migration with fallback positions per phase — is sound and well-justified. It correctly treats the existing Python application as a regression oracle rather than something to be thrown away, and its state-architecture split (document / durable review / temporary UI / settings) is the right foundational decomposition.</w:t>
      </w:r>
    </w:p>
    <w:p>
      <w:r>
        <w:rPr>
          <w:b w:val="0"/>
          <w:i w:val="0"/>
        </w:rPr>
        <w:t>It should not proceed to Phase 2 (domain contracts) without resolving five items below marked Required — each represents either a real product invariant that the target architecture currently fails to model, or a decision (async-everywhere interfaces, one flat command channel) that has been made implicitly and earlier than the document itself says it should be made.</w:t>
      </w:r>
    </w:p>
    <w:p>
      <w:r>
        <w:rPr>
          <w:b w:val="0"/>
          <w:i w:val="0"/>
        </w:rPr>
        <w:t>The remaining findings are Recommended (should be addressed, but would not block Phase 1/2 start) or Open (product/policy decisions the document correctly leaves open — flagged here only where the current draft creates a false impression that they are already settled).</w:t>
      </w:r>
    </w:p>
    <w:p>
      <w:pPr>
        <w:pStyle w:val="Heading1"/>
      </w:pPr>
      <w:r>
        <w:t>2. What the Document Gets Right</w:t>
      </w:r>
    </w:p>
    <w:p>
      <w:r>
        <w:rPr>
          <w:b w:val="0"/>
          <w:i w:val="0"/>
        </w:rPr>
        <w:t>Worth stating plainly, since an ARB review that only lists problems is as misleading as one that only lists praise:</w:t>
      </w:r>
    </w:p>
    <w:p>
      <w:pPr>
        <w:pStyle w:val="ListBullet"/>
        <w:spacing w:after="80"/>
      </w:pPr>
      <w:r>
        <w:rPr>
          <w:b/>
        </w:rPr>
        <w:t xml:space="preserve">Per-phase fallback positions (Table, Section 14). </w:t>
      </w:r>
      <w:r>
        <w:t>Almost every migration phase names an explicit fallback ("Python app remains canonical," "Continue using Python parser"). This is the single strongest risk-reducing feature in the document and is exactly what an incremental, reversible migration should look like. Keep this pattern; do not let later revisions drop it for schedule pressure.</w:t>
      </w:r>
    </w:p>
    <w:p>
      <w:pPr>
        <w:pStyle w:val="ListBullet"/>
        <w:spacing w:after="80"/>
      </w:pPr>
      <w:r>
        <w:rPr>
          <w:b/>
        </w:rPr>
        <w:t xml:space="preserve">The cloud trust boundary (Section 11) </w:t>
      </w:r>
      <w:r>
        <w:t>is specific and falsifiable — it names concrete data categories that must not cross the boundary, rather than a vague "we respect privacy" statement. That specificity is what makes it testable.</w:t>
      </w:r>
    </w:p>
    <w:p>
      <w:pPr>
        <w:pStyle w:val="ListBullet"/>
        <w:spacing w:after="80"/>
      </w:pPr>
      <w:r>
        <w:rPr>
          <w:b/>
        </w:rPr>
        <w:t xml:space="preserve">Golden fixtures as a migration requirement (Section 13) </w:t>
      </w:r>
      <w:r>
        <w:t>correctly treats the existing Python behavior as the specification, avoiding a "rewrite from the doc" trap where the new system quietly drifts from proven behavior.</w:t>
      </w:r>
    </w:p>
    <w:p>
      <w:pPr>
        <w:pStyle w:val="ListBullet"/>
        <w:spacing w:after="80"/>
      </w:pPr>
      <w:r>
        <w:rPr>
          <w:b/>
        </w:rPr>
        <w:t xml:space="preserve">The document/durable-review/UI/settings state split (Section 7) </w:t>
      </w:r>
      <w:r>
        <w:t>mirrors what mature frontend architectures converge on independently (e.g., domain state vs. view state). It gives implementers a real test for "where does this field live" instead of leaving it to instinct.</w:t>
      </w:r>
    </w:p>
    <w:p>
      <w:pPr>
        <w:pStyle w:val="ListBullet"/>
        <w:spacing w:after="80"/>
      </w:pPr>
      <w:r>
        <w:rPr>
          <w:b/>
        </w:rPr>
        <w:t xml:space="preserve">DocumentParser as the format boundary (Section 6.1) </w:t>
      </w:r>
      <w:r>
        <w:t>correctly isolates DOCX-specific unpacking behind an interface that returns a format-neutral model — the one abstraction boundary in the document that is placed exactly where future extensibility (another format, someday) would need it, without over-building for that future today.</w:t>
      </w:r>
    </w:p>
    <w:p>
      <w:r>
        <w:br w:type="page"/>
      </w:r>
    </w:p>
    <w:p>
      <w:pPr>
        <w:pStyle w:val="Heading1"/>
      </w:pPr>
      <w:r>
        <w:t>3. Required Before Phase 2 Contracts Are Locked</w:t>
      </w:r>
    </w:p>
    <w:p>
      <w:r>
        <w:rPr>
          <w:b w:val="0"/>
          <w:i w:val="0"/>
        </w:rPr>
        <w:t>These are not style preferences. Each one is either a documented product invariant the target architecture currently fails to represent, or a technical decision the document itself says is still open (Section 15, ADR register) that has nonetheless already been baked into the conceptual interfaces (Section 12).</w:t>
      </w:r>
    </w:p>
    <w:p>
      <w:pPr>
        <w:spacing w:before="200" w:after="40"/>
      </w:pPr>
      <w:r>
        <w:rPr>
          <w:b/>
          <w:color w:val="1F2D3D"/>
          <w:sz w:val="22"/>
        </w:rPr>
        <w:t>R1  Model "Not Quite" as a first-class ReviewEngine sub-state — it is currently invisible in the target architecture.</w:t>
      </w:r>
      <w:r>
        <w:t xml:space="preserve">   </w:t>
      </w:r>
      <w:r>
        <w:rPr>
          <w:i/>
          <w:color w:val="8A2B2B"/>
          <w:sz w:val="18"/>
        </w:rPr>
        <w:t>[Required]</w:t>
      </w:r>
    </w:p>
    <w:p>
      <w:pPr>
        <w:spacing w:after="120"/>
      </w:pPr>
      <w:r>
        <w:t>The current application implements "Not Quite" as the one deliberate, documented exception to the platform’s central invariant: "Items Do Not Disappear on Click" (README, "Workflow Philosophy"; target doc Section 4.5). It is not a minor feature — it is the concrete embodiment of the Sock Principle ("Completion Beats Movement," Section 4.4), which the README calls out by name as core product philosophy.</w:t>
      </w:r>
    </w:p>
    <w:p>
      <w:pPr>
        <w:spacing w:after="120"/>
      </w:pPr>
      <w:r>
        <w:t>In the current implementation this is real, non-trivial state: local_web_app.py tracks six distinct pieces of client state for it (notQuiteGroups, notQuiteRemaining, notQuiteEditor, notQuiteEditorDrafts, notQuiteActiveMember, notQuiteControlIndex), plus two durable action values ("Not Quite" and "Not Quite Complete") persisted through the decision pipeline.</w:t>
      </w:r>
    </w:p>
    <w:p>
      <w:pPr>
        <w:spacing w:after="120"/>
      </w:pPr>
      <w:r>
        <w:t>None of this appears in the target document. ReviewEngine’s responsibility list (Section 6.7) does not mention it. The command vocabulary (Section 9) has no NOT_QUITE_* commands alongside KEEP_CANDIDATE / RENAME_CANDIDATE / etc. The glossary (Section 18) defines Group Check, Ambiguity Check, and Category Check, but never defines Not Quite.</w:t>
      </w:r>
    </w:p>
    <w:p>
      <w:pPr>
        <w:spacing w:after="120"/>
      </w:pPr>
      <w:r>
        <w:t>An architecture that states an invariant and documents one deliberate exception to it should model that exception as explicitly as the invariant itself. Recommend adding a named sub-state (e.g., a NotQuiteSession scoped to one candidate group) to ReviewEngine, with its own commands and its own row in the golden-fixture parity list (Section 13) — not left to be improvised during Phase 5.</w:t>
      </w:r>
    </w:p>
    <w:p>
      <w:pPr>
        <w:spacing w:before="200" w:after="40"/>
      </w:pPr>
      <w:r>
        <w:rPr>
          <w:b/>
          <w:color w:val="1F2D3D"/>
          <w:sz w:val="22"/>
        </w:rPr>
        <w:t>R2  Split GroupingEngine — it currently conflates two different responsibilities that have different audit and testing obligations.</w:t>
      </w:r>
      <w:r>
        <w:t xml:space="preserve">   </w:t>
      </w:r>
      <w:r>
        <w:rPr>
          <w:i/>
          <w:color w:val="8A2B2B"/>
          <w:sz w:val="18"/>
        </w:rPr>
        <w:t>[Required]</w:t>
      </w:r>
    </w:p>
    <w:p>
      <w:pPr>
        <w:spacing w:after="120"/>
      </w:pPr>
      <w:r>
        <w:t>Section 6.6 assigns GroupingEngine the job of proposing "Ambiguity Check items," proposing "Group Check entity groups," and "group[ing] related candidates and occurrences" — presented as one responsibility. In the current codebase these are two different modules with two different natures: redactor/entity_resolution.py performs identity resolution (which occurrences are the same entity) — stateful, reviewer-decided, durable, and audit-relevant. redactor/occurrence_groups.py performs structural classification (standalone vs. contextual vs. quoted vs. header/footer/table occurrence) — a pure, deterministic, non-reviewable function used only to organize the occurrence browser display.</w:t>
      </w:r>
    </w:p>
    <w:p>
      <w:pPr>
        <w:spacing w:after="120"/>
      </w:pPr>
      <w:r>
        <w:t>Merging these under one "GroupingEngine" creates a component whose test suite must simultaneously cover reviewer-decision fixtures (durable, audit-bearing) and pure-function display classification (no review implications at all) — and a change intended for one can silently leak into the other because they nominally share a module.</w:t>
      </w:r>
    </w:p>
    <w:p>
      <w:pPr>
        <w:spacing w:after="120"/>
      </w:pPr>
      <w:r>
        <w:t>Recommend keeping the reviewer-facing name "Group Check" for the UI stage exactly as the README already establishes it (don’t touch reviewer vocabulary), but naming the backend component that proposes identity groups something distinct from the component that classifies occurrence structure — the existing module name entity_resolution.py is a reasonable anchor for the former. The latter is arguably not a "detection pipeline engine" at all; it is closer to a DocumentModel-adjacent view helper and should not sit at the same architectural tier as ReviewEngine-facing proposal logic.</w:t>
      </w:r>
    </w:p>
    <w:p>
      <w:pPr>
        <w:spacing w:before="200" w:after="40"/>
      </w:pPr>
      <w:r>
        <w:rPr>
          <w:b/>
          <w:color w:val="1F2D3D"/>
          <w:sz w:val="22"/>
        </w:rPr>
        <w:t>R3  Do not commit to Promise-wrapped, async-everywhere interfaces before ADR-011 (worker-thread processing) is resolved.</w:t>
      </w:r>
      <w:r>
        <w:t xml:space="preserve">   </w:t>
      </w:r>
      <w:r>
        <w:rPr>
          <w:i/>
          <w:color w:val="8A2B2B"/>
          <w:sz w:val="18"/>
        </w:rPr>
        <w:t>[Required]</w:t>
      </w:r>
    </w:p>
    <w:p>
      <w:pPr>
        <w:spacing w:after="120"/>
      </w:pPr>
      <w:r>
        <w:t>Section 12’s conceptual interfaces wrap every pipeline stage in a Promise — DetectionEngine.detect, CandidateQualityEngine.evaluate, GroupingEngine.propose, ReviewEngine.dispatch (via CommandDispatcher) — even though, per the current Python implementation, detection/scoring/grouping are synchronous, in-memory, deterministic functions with no inherent I/O.</w:t>
      </w:r>
    </w:p>
    <w:p>
      <w:pPr>
        <w:spacing w:after="120"/>
      </w:pPr>
      <w:r>
        <w:t>The ADR register (Section 16) lists ADR-011, "Worker-thread processing," as Open, and Section 15.2 says worker-thread architecture "may be required earlier than expected" — i.e., the document itself says this is undecided. Yet Section 12 already encodes one specific answer to that open question (async-everywhere, implying eventual worker/streaming execution) in its conceptual interfaces.</w:t>
      </w:r>
    </w:p>
    <w:p>
      <w:pPr>
        <w:spacing w:after="120"/>
      </w:pPr>
      <w:r>
        <w:t>This matters beyond consistency: an all-async command/dispatch surface is materially harder to unit test than a synchronous reducer core wrapped by an async shell only where genuine I/O exists (File reads, IndexedDB writes) — see Section 6 (K2) below. Recommend keeping DetectionEngine, CandidateQualityEngine, and GroupingEngine synchronous and pure; reserve async signatures for the components that have a genuine async boundary today: DocumentParser (File API), LocalSessionRepository (IndexedDB/OPFS), DocumentRebuilder and AuditExporter (Blob generation). Revisit once ADR-011 is actually decided.</w:t>
      </w:r>
    </w:p>
    <w:p>
      <w:pPr>
        <w:spacing w:before="200" w:after="40"/>
      </w:pPr>
      <w:r>
        <w:rPr>
          <w:b/>
          <w:color w:val="1F2D3D"/>
          <w:sz w:val="22"/>
        </w:rPr>
        <w:t>R4  Pin scoring weights per review session, or the deterministic-and-explainable principle (4.2) is not actually guaranteed.</w:t>
      </w:r>
      <w:r>
        <w:t xml:space="preserve">   </w:t>
      </w:r>
      <w:r>
        <w:rPr>
          <w:i/>
          <w:color w:val="8A2B2B"/>
          <w:sz w:val="18"/>
        </w:rPr>
        <w:t>[Required]</w:t>
      </w:r>
    </w:p>
    <w:p>
      <w:pPr>
        <w:spacing w:after="120"/>
      </w:pPr>
      <w:r>
        <w:t>Section 7.4 allows scoring weights, thresholds, and lexicons to come from cloud account or organization configuration. Section 6.4 requires CandidateQualityEngine to "support tunable thresholds without changing architecture" and to ensure "every recommendation must be traceable to structured evidence" (Section 4.2).</w:t>
      </w:r>
    </w:p>
    <w:p>
      <w:pPr>
        <w:spacing w:after="120"/>
      </w:pPr>
      <w:r>
        <w:t>Nowhere does the document say what happens if an org admin changes a threshold or weight in the middle of, or after, an existing review session. If weights are read live at render/re-score time rather than pinned when a session’s candidates were first scored, a previously "explained" recommendation can silently change or become unreproducible on reload — which directly undermines the explainability principle the whole scoring model exists to satisfy, and is exactly the kind of audit gap a FERPA-sensitive workflow (Section 15.4) cannot absorb quietly.</w:t>
      </w:r>
    </w:p>
    <w:p>
      <w:pPr>
        <w:spacing w:after="120"/>
      </w:pPr>
      <w:r>
        <w:t>Recommend: the weights/thresholds in effect at scoring time are captured into the session’s durable state (Section 7.2) alongside the evidence, not re-read from live settings on every render. This is a small addition now and a real gap later if left unstated.</w:t>
      </w:r>
    </w:p>
    <w:p>
      <w:pPr>
        <w:spacing w:before="200" w:after="40"/>
      </w:pPr>
      <w:r>
        <w:rPr>
          <w:b/>
          <w:color w:val="1F2D3D"/>
          <w:sz w:val="22"/>
        </w:rPr>
        <w:t>R5  Add focus/keyboard-navigation and large-document performance fixtures to the golden-fixture parity list — the stated risks have no matching test requirement.</w:t>
      </w:r>
      <w:r>
        <w:t xml:space="preserve">   </w:t>
      </w:r>
      <w:r>
        <w:rPr>
          <w:i/>
          <w:color w:val="8A2B2B"/>
          <w:sz w:val="18"/>
        </w:rPr>
        <w:t>[Required]</w:t>
      </w:r>
    </w:p>
    <w:p>
      <w:pPr>
        <w:spacing w:after="120"/>
      </w:pPr>
      <w:r>
        <w:t>Section 15.3 explicitly names "Keyboard and focus regressions" as an implementation risk, and Section 15.2 names browser memory usage on large documents as a risk. Section 13’s parity list, however, covers extracted text, candidates, occurrences, scores, recommendations, grouping proposals, exports, and DOCX/rescan behavior — it has no line for focus/navigation behavior or for a realistic large-document scale target.</w:t>
      </w:r>
    </w:p>
    <w:p>
      <w:pPr>
        <w:spacing w:after="120"/>
      </w:pPr>
      <w:r>
        <w:t>This omission is notable because the current codebase already contains headless, framework-agnostic, tested logic for exactly this (redactor/review_queue.py: active-item movement across ArrowUp/Down/PageUp/Down/Home/End, reconciling active focus against visibility, "next undecided after decision") — it is directly portable and directly fixture-able, and its absence from Section 13 is a gap, not a hard problem. Recommend adding both to the parity list before Phase 4/5 acceptance criteria are written, since a criterion that’s absent from the spec tends to stay absent from the test suite.</w:t>
      </w:r>
    </w:p>
    <w:p>
      <w:r>
        <w:br w:type="page"/>
      </w:r>
    </w:p>
    <w:p>
      <w:pPr>
        <w:pStyle w:val="Heading1"/>
      </w:pPr>
      <w:r>
        <w:t>4. Findings by Category</w:t>
      </w:r>
    </w:p>
    <w:p>
      <w:r>
        <w:rPr>
          <w:b w:val="0"/>
          <w:i w:val="0"/>
        </w:rPr>
        <w:t>Everything below is Recommended severity unless noted otherwise — none of it should block Phase 1, but it should inform Phase 2–5 design.</w:t>
      </w:r>
    </w:p>
    <w:p>
      <w:pPr>
        <w:pStyle w:val="Heading2"/>
      </w:pPr>
      <w:r>
        <w:t>4.1 Unnecessary Complexity</w:t>
      </w:r>
    </w:p>
    <w:p>
      <w:pPr>
        <w:pStyle w:val="ListBullet"/>
        <w:spacing w:after="80"/>
      </w:pPr>
      <w:r>
        <w:t>Uniform Promise-returning interfaces across all seven components (Section 12), when only two of them (DocumentParser, LocalSessionRepository) have a demonstrated async need today. See R3 — the fix there resolves this too.</w:t>
      </w:r>
    </w:p>
    <w:p>
      <w:pPr>
        <w:pStyle w:val="ListBullet"/>
        <w:spacing w:after="80"/>
      </w:pPr>
      <w:r>
        <w:t>ExplanationEngine is drawn as a peer pipeline stage in the component list (Section 6.5) but is absent from the primary pipeline chain in the overview diagram (Section 5: "DocumentParser → DocumentModel → DetectionEngine → CandidateQualityEngine → GroupingEngine → ReviewEngine"). If it is actually invoked on demand per-candidate by the UI and by AuditExporter — which matches how redactor/explanations.py is used today — it is better modeled as a shared, stateless utility consumed by two callers than as a numbered pipeline stage. This is a diagram/component-list consistency defect worth fixing in the next revision so the two views of the architecture agree.</w:t>
      </w:r>
    </w:p>
    <w:p>
      <w:pPr>
        <w:pStyle w:val="ListBullet"/>
        <w:spacing w:after="80"/>
      </w:pPr>
      <w:r>
        <w:t>A full 15-command enumeration in Section 9 before any UI exists is fine as illustration (the document says names may change), but committing to one flat dispatch signature for all of them in Section 12’s CommandDispatcher interface pre-decides an information architecture question. See 4.12 (naming/extensibility) below.</w:t>
      </w:r>
    </w:p>
    <w:p>
      <w:pPr>
        <w:pStyle w:val="Heading2"/>
      </w:pPr>
      <w:r>
        <w:t>4.2 Missing Abstractions</w:t>
      </w:r>
    </w:p>
    <w:p>
      <w:pPr>
        <w:pStyle w:val="ListBullet"/>
        <w:spacing w:after="80"/>
      </w:pPr>
      <w:r>
        <w:t>Not Quite as a first-class sub-state — see R1.</w:t>
      </w:r>
    </w:p>
    <w:p>
      <w:pPr>
        <w:pStyle w:val="ListBullet"/>
        <w:spacing w:after="80"/>
      </w:pPr>
      <w:r>
        <w:t>A distinct identity-resolution vs. occurrence-structural-classification split — see R2.</w:t>
      </w:r>
    </w:p>
    <w:p>
      <w:pPr>
        <w:pStyle w:val="ListBullet"/>
        <w:spacing w:after="80"/>
      </w:pPr>
      <w:r>
        <w:t>A named FocusNavigator (or equivalent) abstraction that acknowledges review_queue.py’s existing, tested, portable logic as domain logic worth porting deliberately — rather than treating keyboard/focus behavior as something to be rebuilt ad hoc inside React components under "UIStore or focus services" (Section 6.8).</w:t>
      </w:r>
    </w:p>
    <w:p>
      <w:pPr>
        <w:pStyle w:val="ListBullet"/>
        <w:spacing w:after="80"/>
      </w:pPr>
      <w:r>
        <w:t>An explicit resolved-coverage computation. Per the current README, a candidate becomes "Resolved" only when every occurrence is covered by a resolved canonical group, and partial coverage must be surfaced distinctly. Section 7.2 lists "completion state" as a durable field but never says whether resolved status is stored or computed from group/occurrence coverage at read time. Given Section 4.7’s own principle ("durable review state must not be inferred from temporary UI state"), this value’s source of truth should be named explicitly — treat it as a derived selector over durable decisions and group membership, not a separately stored field that can drift out of sync with the decisions that produced it.</w:t>
      </w:r>
    </w:p>
    <w:p>
      <w:pPr>
        <w:pStyle w:val="Heading2"/>
      </w:pPr>
      <w:r>
        <w:t>4.3 Premature Abstractions</w:t>
      </w:r>
    </w:p>
    <w:p>
      <w:pPr>
        <w:pStyle w:val="ListBullet"/>
        <w:spacing w:after="80"/>
      </w:pPr>
      <w:r>
        <w:t>Async-everywhere interfaces ahead of the open worker-thread decision — see R3.</w:t>
      </w:r>
    </w:p>
    <w:p>
      <w:pPr>
        <w:pStyle w:val="ListBullet"/>
        <w:spacing w:after="80"/>
      </w:pPr>
      <w:r>
        <w:t>A single unified ApplicationCommand dispatch signature (Section 12) covering domain, navigation, and application commands, despite Section 6.8 explicitly warning CommandDispatcher "should not become a dumping ground." Recommend keeping domain / navigation / application as three distinct dispatch surfaces or a discriminated union with different result types per category, decided incrementally per migration phase, rather than one flat command type committed to this early.</w:t>
      </w:r>
    </w:p>
    <w:p>
      <w:pPr>
        <w:pStyle w:val="ListBullet"/>
        <w:spacing w:after="80"/>
      </w:pPr>
      <w:r>
        <w:t>A generalized schema-migration framework for LocalSessionRepository, if built now. Requiring schema versioning as a policy (ADR-012, "Required") is correct; building the general migration machinery before 2–3 real schema versions exist to learn from is the more common trap and should be resisted even though the policy is right.</w:t>
      </w:r>
    </w:p>
    <w:p>
      <w:pPr>
        <w:pStyle w:val="Heading2"/>
      </w:pPr>
      <w:r>
        <w:t>4.4 Responsibilities Assigned to the Wrong Component / Boundaries That Should Move</w:t>
      </w:r>
    </w:p>
    <w:p>
      <w:pPr>
        <w:pStyle w:val="ListBullet"/>
        <w:spacing w:after="80"/>
      </w:pPr>
      <w:r>
        <w:t>AuditExporter (Section 6.12) takes "verification results" as an input, while DocumentRebuilder (Section 6.11) owns "post-generation verification or rescan." Whoever runs the rescan produces those results — if that’s DocumentRebuilder, AuditExporter ends up depending on another output module’s internals, which cuts against Section 10’s own claim that rebuilding and audit export "should remain separate modules." Recommend a small shared value object (a rescan/verification report) that both modules consume, rather than one depending on the other directly.</w:t>
      </w:r>
    </w:p>
    <w:p>
      <w:pPr>
        <w:pStyle w:val="ListBullet"/>
        <w:spacing w:after="80"/>
      </w:pPr>
      <w:r>
        <w:t>Enforcement of "content-derived settings values must stay local" (Section 7.4) has no named owner. Section 11 is where all other trust-boundary enforcement logically lives; without an explicit owner here, a plausible future feature ("sync my thresholds to my account") could be built by someone who never reads Section 7.4’s prose and never crosses paths with Section 11’s enforcement code. Recommend tagging each setting as cloud-syncable or local-only at the SettingsService level, not relying on a policy paragraph alone.</w:t>
      </w:r>
    </w:p>
    <w:p>
      <w:pPr>
        <w:pStyle w:val="Heading2"/>
      </w:pPr>
      <w:r>
        <w:t>4.5 Naming</w:t>
      </w:r>
    </w:p>
    <w:p>
      <w:pPr>
        <w:pStyle w:val="ListBullet"/>
        <w:spacing w:after="80"/>
      </w:pPr>
      <w:r>
        <w:t>"GroupingEngine" / "Group Check" / "Occurrence Groups" use the same root word for at least two distinct concepts (see R2). At minimum, rename the backend engine so it doesn’t collide with the display-only occurrence classification.</w:t>
      </w:r>
    </w:p>
    <w:p>
      <w:pPr>
        <w:pStyle w:val="ListBullet"/>
        <w:spacing w:after="80"/>
      </w:pPr>
      <w:r>
        <w:t>"CandidateQualityEngine" / "Candidate Score" / "Likelihood" is a longer chain of near-synonyms than most readers will hold in their head at once, though the glossary’s explicit score→Likelihood mapping mitigates this. Low severity; "Quality" reads as "confidence in the match" when the component’s real job is review-priority scoring — worth a naming pass, not blocking.</w:t>
      </w:r>
    </w:p>
    <w:p>
      <w:pPr>
        <w:pStyle w:val="ListBullet"/>
        <w:spacing w:after="80"/>
      </w:pPr>
      <w:r>
        <w:t>"DocumentRebuilder" builds a new, redacted document; it does not modify the original (the README is explicit that the tool "does not modify the original document"). Given the FERPA-sensitive context (Section 15.4), a name that reinforces "generates a new file" rather than "rebuilds" may better protect that trust story in audit and legal conversations. Minor; a product/comms call, not an architecture defect.</w:t>
      </w:r>
    </w:p>
    <w:p>
      <w:pPr>
        <w:pStyle w:val="Heading2"/>
      </w:pPr>
      <w:r>
        <w:t>4.6 Ambiguous State Ownership</w:t>
      </w:r>
    </w:p>
    <w:p>
      <w:pPr>
        <w:pStyle w:val="ListBullet"/>
        <w:spacing w:after="80"/>
      </w:pPr>
      <w:r>
        <w:t>Resolved/coverage computation — see 4.2 above.</w:t>
      </w:r>
    </w:p>
    <w:p>
      <w:pPr>
        <w:pStyle w:val="ListBullet"/>
        <w:spacing w:after="80"/>
      </w:pPr>
      <w:r>
        <w:t>Not Quite in-progress draft values (notQuiteEditorDrafts today) sit uncomfortably between "Temporary UI State" and "Durable Review State" in the current four-way split (Section 7). They hold real, review-affecting values (draft rename/redact text) before confirmation, which the README says persist "if you reopen it in the same browser session" — implying they survive a panel close but not necessarily a crash. Section 4.7 states durable decisions "must not be inferred from temporary UI state," which is in tension with holding literal candidate replacement text as UI state. Recommend an explicit decision: either Not Quite drafts are a durable, ReviewEngine-owned "open transaction" (if they must survive refresh/crash) or they are deliberately excluded from crash recovery (if not) — but the document should say which, since both the invariant and the current implementation currently point in different directions.</w:t>
      </w:r>
    </w:p>
    <w:p>
      <w:pPr>
        <w:pStyle w:val="ListBullet"/>
        <w:spacing w:after="80"/>
      </w:pPr>
      <w:r>
        <w:t>The README describes two confidence values per proposed group: an "original proposal confidence" retained for diagnostics, and a "live" confidence recalculated from the currently selected members. Section 7’s Document State / Durable Review State split doesn’t say which state each lives in. Recommend stating explicitly: original proposal confidence is part of the GroupingEngine output (document state, immutable once generated), live confidence is a ReviewEngine-derived value (computed from current member selection, not separately stored).</w:t>
      </w:r>
    </w:p>
    <w:p>
      <w:r>
        <w:br w:type="page"/>
      </w:r>
    </w:p>
    <w:p>
      <w:pPr>
        <w:pStyle w:val="Heading2"/>
      </w:pPr>
      <w:r>
        <w:t>4.7 Migration Plan — Does It Minimize Risk?</w:t>
      </w:r>
    </w:p>
    <w:p>
      <w:r>
        <w:rPr>
          <w:b w:val="0"/>
          <w:i w:val="0"/>
        </w:rPr>
        <w:t>Mostly yes — the fallback column is genuinely strong (see Section 2). Two sequencing concerns and one gap:</w:t>
      </w:r>
    </w:p>
    <w:p>
      <w:pPr>
        <w:pStyle w:val="ListBullet"/>
        <w:spacing w:after="80"/>
      </w:pPr>
      <w:r>
        <w:rPr>
          <w:b/>
        </w:rPr>
        <w:t xml:space="preserve">Phase ordering risk. </w:t>
      </w:r>
      <w:r>
        <w:t>Phase 5 (ReviewEngine + CommandDispatcher — the most architecturally load-bearing phase) is scheduled before Phase 6/7 (browser DocumentParser/DocumentRebuilder proof-of-concept), even though Phase 6/7’s own risk list includes "OOXML complexity" and "Run splitting and unsupported parts." If the parser/rebuilder POC surfaces a fidelity blocker that forces a DocumentModel shape change, that change ripples back into the already-built ReviewEngine/CommandDispatcher that consumed the earlier model shape. Recommend running the parser POC (Phase 6, at minimum) earlier or in parallel with Phase 5, since OOXML fidelity is the single largest named technical unknown in the whole plan.</w:t>
      </w:r>
    </w:p>
    <w:p>
      <w:pPr>
        <w:pStyle w:val="ListBullet"/>
        <w:spacing w:after="80"/>
      </w:pPr>
      <w:r>
        <w:rPr>
          <w:b/>
        </w:rPr>
        <w:t xml:space="preserve">A single big-bang final gate. </w:t>
      </w:r>
      <w:r>
        <w:t>Phase 11 ("Side-by-side acceptance... All prior phases") is one large acceptance step after ten incremental phases — which reintroduces, at the very end, the same all-at-once risk the rest of the plan is designed to avoid. Recommend interim acceptance gates after Phase 7 (parser/rebuilder fidelity) and Phase 9 (audit parity) rather than deferring all UX/parity acceptance to the end.</w:t>
      </w:r>
    </w:p>
    <w:p>
      <w:pPr>
        <w:pStyle w:val="ListBullet"/>
        <w:spacing w:after="80"/>
      </w:pPr>
      <w:r>
        <w:rPr>
          <w:b/>
        </w:rPr>
        <w:t xml:space="preserve">No phase owns a performance/scale checkpoint. </w:t>
      </w:r>
      <w:r>
        <w:t>Despite Section 15.2 naming browser memory usage on large documents as a risk, no phase’s completion criteria mention document scale. Recommend folding a large realistic fixture and a load-time budget into Phase 6/7’s completion criteria rather than discovering scale problems at Phase 11.</w:t>
      </w:r>
    </w:p>
    <w:p>
      <w:pPr>
        <w:pStyle w:val="Heading2"/>
      </w:pPr>
      <w:r>
        <w:t>4.8 Is the Browser-Local Philosophy Realistically Achievable?</w:t>
      </w:r>
    </w:p>
    <w:p>
      <w:r>
        <w:rPr>
          <w:b w:val="0"/>
          <w:i w:val="0"/>
        </w:rPr>
        <w:t>Directionally yes, and the FERPA sensitivity named in Section 15.4 is a legitimate, non-ideological driver for it — this isn’t privacy-as-slogan. Two caveats:</w:t>
      </w:r>
    </w:p>
    <w:p>
      <w:pPr>
        <w:pStyle w:val="ListBullet"/>
        <w:spacing w:after="80"/>
      </w:pPr>
      <w:r>
        <w:t>In-browser OOXML round-trip fidelity (runs, relationships, headers/footers/tables/hyperlinks, tracked changes, protected documents) is a genuinely hard, well-known weak spot for browser JS DOCX libraries compared to python-docx plus raw XML manipulation. The document is appropriately honest about this — it names it as a POC risk rather than assuming success (Section 15.2, Phase 6/7) — which is the correct posture. No change needed here beyond R5’s fixture addition.</w:t>
      </w:r>
    </w:p>
    <w:p>
      <w:pPr>
        <w:pStyle w:val="ListBullet"/>
        <w:spacing w:after="80"/>
      </w:pPr>
      <w:r>
        <w:t>Section 11’s "accidental leakage must be prevented in error reporting, analytics, logs, browser tracing, support tooling, third-party SDKs" correctly names the highest-consequence failure mode in this entire architecture (a crash reporter serializing a candidate’s text into a breadcrumb is a privacy incident, not a bug), but proposes no enforcement mechanism — only policy language. Given Section 15.4 still lists "what telemetry is acceptable for a FERPA-sensitive workflow" as an open question, recommend a concrete mechanism alongside the policy: e.g., telemetry events use a closed, reviewed schema with no free-form object logging permitted, enforced by a lint rule or type boundary — not left to individual engineer discipline.</w:t>
      </w:r>
    </w:p>
    <w:p>
      <w:pPr>
        <w:pStyle w:val="Heading2"/>
      </w:pPr>
      <w:r>
        <w:t>4.9 Hidden Coupling</w:t>
      </w:r>
    </w:p>
    <w:p>
      <w:pPr>
        <w:pStyle w:val="ListBullet"/>
        <w:spacing w:after="80"/>
      </w:pPr>
      <w:r>
        <w:t>AuditExporter ↔ DocumentRebuilder via verification results — see 4.4.</w:t>
      </w:r>
    </w:p>
    <w:p>
      <w:pPr>
        <w:pStyle w:val="ListBullet"/>
        <w:spacing w:after="80"/>
      </w:pPr>
      <w:r>
        <w:t>GroupingEngine’s dual responsibility (identity resolution + occurrence classification) — a change aimed at one can silently affect the other if they remain one module. See R2.</w:t>
      </w:r>
    </w:p>
    <w:p>
      <w:pPr>
        <w:pStyle w:val="ListBullet"/>
        <w:spacing w:after="80"/>
      </w:pPr>
      <w:r>
        <w:t>ExplanationEngine consumes CandidateQualityEngine’s evidence structure directly, but Section 12’s conceptual interfaces leave "QualityResult" opaque — there is no named shared Evidence/EvidenceItem type. If the evidence shape changes in CandidateQualityEngine without an explicit contract, ExplanationEngine breaks silently (stale or incorrect prose) with no type system to catch it. Recommend naming the shared evidence type explicitly in Section 12.</w:t>
      </w:r>
    </w:p>
    <w:p>
      <w:pPr>
        <w:pStyle w:val="ListBullet"/>
        <w:spacing w:after="80"/>
      </w:pPr>
      <w:r>
        <w:t>Settings-driven scoring weights (Section 7.4) feed CandidateQualityEngine, but no component in Section 6 names SettingsService as a dependency — this coupling is real (cloud-configured weights affecting a component whose entire premise is deterministic explainability) but currently invisible in the component diagram. See R4 for the resulting audit-reproducibility risk.</w:t>
      </w:r>
    </w:p>
    <w:p>
      <w:pPr>
        <w:pStyle w:val="Heading2"/>
      </w:pPr>
      <w:r>
        <w:t>4.10 Scalability Concerns</w:t>
      </w:r>
    </w:p>
    <w:p>
      <w:pPr>
        <w:pStyle w:val="ListBullet"/>
        <w:spacing w:after="80"/>
      </w:pPr>
      <w:r>
        <w:t>No stated target for "large document" (page count / candidate count) and no load-time budget in any phase’s completion criteria — see 4.7.</w:t>
      </w:r>
    </w:p>
    <w:p>
      <w:pPr>
        <w:pStyle w:val="ListBullet"/>
        <w:spacing w:after="80"/>
      </w:pPr>
      <w:r>
        <w:t>IndexedDB/OPFS storage quota behavior is named as a risk (Section 8, 15.3) but no fallback UX is specified for hitting the quota mid-session. For a tool whose core promise is never losing reviewer progress (autosave, crash recovery — directly serving "Completion Beats Movement"), silently failing to persist because of a quota ceiling would be a severe, principle-violating failure mode. This deserves an explicit UX contract (e.g., a blocking warning well before quota is reached, plus a forced export path), not just an engineering risk bullet.</w:t>
      </w:r>
    </w:p>
    <w:p>
      <w:pPr>
        <w:pStyle w:val="Heading2"/>
      </w:pPr>
      <w:r>
        <w:t>4.11 Testing Difficulties</w:t>
      </w:r>
    </w:p>
    <w:p>
      <w:pPr>
        <w:pStyle w:val="ListBullet"/>
        <w:spacing w:after="80"/>
      </w:pPr>
      <w:r>
        <w:t>Cross-runtime parity (Python vs. TypeScript, Section 13) is honestly flagged, but the document doesn’t say how fixtures are executed against both runtimes — a shared fixture schema and runner should be a named component of its own (it will outlive individual contributors), not left as an unstated testing policy.</w:t>
      </w:r>
    </w:p>
    <w:p>
      <w:pPr>
        <w:pStyle w:val="ListBullet"/>
        <w:spacing w:after="80"/>
      </w:pPr>
      <w:r>
        <w:t>All-async dispatch interfaces are materially harder to test (real await/flush semantics) than a synchronous reducer wrapped by an async shell only at genuine I/O boundaries — a concrete cost of R3, not just a style concern.</w:t>
      </w:r>
    </w:p>
    <w:p>
      <w:pPr>
        <w:pStyle w:val="ListBullet"/>
        <w:spacing w:after="80"/>
      </w:pPr>
      <w:r>
        <w:t>GroupingEngine’s conflated responsibilities (R2) force one test suite to cover both durable, audit-bearing review fixtures and a pure display-classification function — over-testing the simple part, under-testing the higher-stakes part.</w:t>
      </w:r>
    </w:p>
    <w:p>
      <w:pPr>
        <w:pStyle w:val="Heading2"/>
      </w:pPr>
      <w:r>
        <w:t>4.12 Future Extensibility Problems</w:t>
      </w:r>
    </w:p>
    <w:p>
      <w:pPr>
        <w:pStyle w:val="ListBullet"/>
        <w:spacing w:after="80"/>
      </w:pPr>
      <w:r>
        <w:rPr>
          <w:b/>
        </w:rPr>
        <w:t xml:space="preserve">Command vocabulary is flat with no namespacing. </w:t>
      </w:r>
      <w:r>
        <w:t>Section 9’s command list has no grouping by domain area, and Section 6.8 already warns against CommandDispatcher becoming "a dumping ground." Adding Not Quite’s own commands (R1) on top of the existing 15 makes this concrete: recommend namespacing now (e.g., REVIEW.KEEP_CANDIDATE, NOT_QUITE.APPLY_MEMBER, NAV.MOVE_RESULT_FOCUS) while the vocabulary is still small, rather than retrofitting structure after dozens of flat names exist.</w:t>
      </w:r>
    </w:p>
    <w:p>
      <w:pPr>
        <w:pStyle w:val="ListBullet"/>
        <w:spacing w:after="80"/>
      </w:pPr>
      <w:r>
        <w:rPr>
          <w:b/>
        </w:rPr>
        <w:t xml:space="preserve">Single-document assumption is baked into naming. </w:t>
      </w:r>
      <w:r>
        <w:t>ReviewSession and LocalSessionRepository.load(sessionId) both assume one document per session. Multi-document/batch review is a plausible future ask for a registrar-style workflow processing many files, and isn’t mentioned anywhere in Sections 6–17. Not a defect for v1 scope, but Section 17 (Open Decisions) should say a sentence about whether batch review is deferred or permanently out of scope, so a future contributor isn’t left to infer it.</w:t>
      </w:r>
    </w:p>
    <w:p>
      <w:r>
        <w:br w:type="page"/>
      </w:r>
    </w:p>
    <w:p>
      <w:pPr>
        <w:pStyle w:val="Heading1"/>
      </w:pPr>
      <w:r>
        <w:t>5. Internal Consistency Check</w:t>
      </w:r>
    </w:p>
    <w:p>
      <w:r>
        <w:rPr>
          <w:b w:val="0"/>
          <w:i w:val="0"/>
        </w:rPr>
        <w:t>One direct contradiction worth flagging on its own: the ADR register (Section 16) lists ADR-011 ("Worker-thread processing") with status Open — yet Section 12’s conceptual interfaces already assume the async/Promise-returning shape that a worker-thread or streaming architecture would require. The document’s own register says this question isn’t settled; its own interfaces say otherwise. This is the same issue as R3, restated as a direct self-contradiction rather than a design preference, which is why it’s listed as Required rather than Recommended.</w:t>
      </w:r>
    </w:p>
    <w:p>
      <w:pPr>
        <w:pStyle w:val="Heading1"/>
      </w:pPr>
      <w:r>
        <w:t>6. Summary of Required Items</w:t>
      </w:r>
    </w:p>
    <w:tbl>
      <w:tblPr>
        <w:tblStyle w:val="LightGrid-Accent1"/>
        <w:tblW w:type="auto" w:w="0"/>
        <w:tblLook w:firstColumn="1" w:firstRow="1" w:lastColumn="0" w:lastRow="0" w:noHBand="0" w:noVBand="1" w:val="04A0"/>
      </w:tblPr>
      <w:tblGrid>
        <w:gridCol w:w="720"/>
        <w:gridCol w:w="6768"/>
        <w:gridCol w:w="2304"/>
      </w:tblGrid>
      <w:tr>
        <w:tc>
          <w:tcPr>
            <w:tcW w:type="dxa" w:w="3120"/>
            <w:shd w:val="clear" w:color="auto" w:fill="2A4055"/>
          </w:tcPr>
          <w:p>
            <w:r/>
            <w:r>
              <w:rPr>
                <w:b/>
                <w:color w:val="FFFFFF"/>
                <w:sz w:val="20"/>
              </w:rPr>
              <w:t>#</w:t>
            </w:r>
          </w:p>
        </w:tc>
        <w:tc>
          <w:tcPr>
            <w:tcW w:type="dxa" w:w="3120"/>
            <w:shd w:val="clear" w:color="auto" w:fill="2A4055"/>
          </w:tcPr>
          <w:p>
            <w:r/>
            <w:r>
              <w:rPr>
                <w:b/>
                <w:color w:val="FFFFFF"/>
                <w:sz w:val="20"/>
              </w:rPr>
              <w:t>Item</w:t>
            </w:r>
          </w:p>
        </w:tc>
        <w:tc>
          <w:tcPr>
            <w:tcW w:type="dxa" w:w="3120"/>
            <w:shd w:val="clear" w:color="auto" w:fill="2A4055"/>
          </w:tcPr>
          <w:p>
            <w:r/>
            <w:r>
              <w:rPr>
                <w:b/>
                <w:color w:val="FFFFFF"/>
                <w:sz w:val="20"/>
              </w:rPr>
              <w:t>Blocks</w:t>
            </w:r>
          </w:p>
        </w:tc>
      </w:tr>
      <w:tr>
        <w:tc>
          <w:tcPr>
            <w:tcW w:type="dxa" w:w="3120"/>
          </w:tcPr>
          <w:p>
            <w:r/>
            <w:r>
              <w:rPr>
                <w:b/>
                <w:sz w:val="20"/>
              </w:rPr>
              <w:t>R1</w:t>
            </w:r>
          </w:p>
        </w:tc>
        <w:tc>
          <w:tcPr>
            <w:tcW w:type="dxa" w:w="3120"/>
          </w:tcPr>
          <w:p>
            <w:r/>
            <w:r>
              <w:rPr>
                <w:b w:val="0"/>
                <w:sz w:val="20"/>
              </w:rPr>
              <w:t>Model "Not Quite" as a first-class ReviewEngine sub-state with its own commands and fixtures</w:t>
            </w:r>
          </w:p>
        </w:tc>
        <w:tc>
          <w:tcPr>
            <w:tcW w:type="dxa" w:w="3120"/>
          </w:tcPr>
          <w:p>
            <w:r/>
            <w:r>
              <w:rPr>
                <w:b w:val="0"/>
                <w:sz w:val="19"/>
              </w:rPr>
              <w:t>Phase 5 command design</w:t>
            </w:r>
          </w:p>
        </w:tc>
      </w:tr>
      <w:tr>
        <w:tc>
          <w:tcPr>
            <w:tcW w:type="dxa" w:w="3120"/>
          </w:tcPr>
          <w:p>
            <w:r/>
            <w:r>
              <w:rPr>
                <w:b/>
                <w:sz w:val="20"/>
              </w:rPr>
              <w:t>R2</w:t>
            </w:r>
          </w:p>
        </w:tc>
        <w:tc>
          <w:tcPr>
            <w:tcW w:type="dxa" w:w="3120"/>
          </w:tcPr>
          <w:p>
            <w:r/>
            <w:r>
              <w:rPr>
                <w:b w:val="0"/>
                <w:sz w:val="20"/>
              </w:rPr>
              <w:t>Split GroupingEngine into identity resolution vs. occurrence structural classification</w:t>
            </w:r>
          </w:p>
        </w:tc>
        <w:tc>
          <w:tcPr>
            <w:tcW w:type="dxa" w:w="3120"/>
          </w:tcPr>
          <w:p>
            <w:r/>
            <w:r>
              <w:rPr>
                <w:b w:val="0"/>
                <w:sz w:val="19"/>
              </w:rPr>
              <w:t>Phase 2 contracts</w:t>
            </w:r>
          </w:p>
        </w:tc>
      </w:tr>
      <w:tr>
        <w:tc>
          <w:tcPr>
            <w:tcW w:type="dxa" w:w="3120"/>
          </w:tcPr>
          <w:p>
            <w:r/>
            <w:r>
              <w:rPr>
                <w:b/>
                <w:sz w:val="20"/>
              </w:rPr>
              <w:t>R3</w:t>
            </w:r>
          </w:p>
        </w:tc>
        <w:tc>
          <w:tcPr>
            <w:tcW w:type="dxa" w:w="3120"/>
          </w:tcPr>
          <w:p>
            <w:r/>
            <w:r>
              <w:rPr>
                <w:b w:val="0"/>
                <w:sz w:val="20"/>
              </w:rPr>
              <w:t>Keep pipeline interfaces synchronous except at genuine I/O boundaries; do not pre-decide ADR-011</w:t>
            </w:r>
          </w:p>
        </w:tc>
        <w:tc>
          <w:tcPr>
            <w:tcW w:type="dxa" w:w="3120"/>
          </w:tcPr>
          <w:p>
            <w:r/>
            <w:r>
              <w:rPr>
                <w:b w:val="0"/>
                <w:sz w:val="19"/>
              </w:rPr>
              <w:t>Phase 2 contracts</w:t>
            </w:r>
          </w:p>
        </w:tc>
      </w:tr>
      <w:tr>
        <w:tc>
          <w:tcPr>
            <w:tcW w:type="dxa" w:w="3120"/>
          </w:tcPr>
          <w:p>
            <w:r/>
            <w:r>
              <w:rPr>
                <w:b/>
                <w:sz w:val="20"/>
              </w:rPr>
              <w:t>R4</w:t>
            </w:r>
          </w:p>
        </w:tc>
        <w:tc>
          <w:tcPr>
            <w:tcW w:type="dxa" w:w="3120"/>
          </w:tcPr>
          <w:p>
            <w:r/>
            <w:r>
              <w:rPr>
                <w:b w:val="0"/>
                <w:sz w:val="20"/>
              </w:rPr>
              <w:t>Pin scoring weights per session for audit reproducibility</w:t>
            </w:r>
          </w:p>
        </w:tc>
        <w:tc>
          <w:tcPr>
            <w:tcW w:type="dxa" w:w="3120"/>
          </w:tcPr>
          <w:p>
            <w:r/>
            <w:r>
              <w:rPr>
                <w:b w:val="0"/>
                <w:sz w:val="19"/>
              </w:rPr>
              <w:t>Phase 2 contracts, Phase 3 porting</w:t>
            </w:r>
          </w:p>
        </w:tc>
      </w:tr>
      <w:tr>
        <w:tc>
          <w:tcPr>
            <w:tcW w:type="dxa" w:w="3120"/>
          </w:tcPr>
          <w:p>
            <w:r/>
            <w:r>
              <w:rPr>
                <w:b/>
                <w:sz w:val="20"/>
              </w:rPr>
              <w:t>R5</w:t>
            </w:r>
          </w:p>
        </w:tc>
        <w:tc>
          <w:tcPr>
            <w:tcW w:type="dxa" w:w="3120"/>
          </w:tcPr>
          <w:p>
            <w:r/>
            <w:r>
              <w:rPr>
                <w:b w:val="0"/>
                <w:sz w:val="20"/>
              </w:rPr>
              <w:t>Add focus/navigation and large-document fixtures to the Section 13 parity list</w:t>
            </w:r>
          </w:p>
        </w:tc>
        <w:tc>
          <w:tcPr>
            <w:tcW w:type="dxa" w:w="3120"/>
          </w:tcPr>
          <w:p>
            <w:r/>
            <w:r>
              <w:rPr>
                <w:b w:val="0"/>
                <w:sz w:val="19"/>
              </w:rPr>
              <w:t>Phase 4/5 acceptance criteria</w:t>
            </w:r>
          </w:p>
        </w:tc>
      </w:tr>
    </w:tbl>
    <w:p>
      <w:pPr>
        <w:spacing w:before="280"/>
      </w:pPr>
    </w:p>
    <w:p>
      <w:r>
        <w:rPr>
          <w:i/>
        </w:rPr>
        <w:t>None of the above requires rewriting the document. Each is a scoped edit to Sections 6, 7, 9, 12, or 13. Recommend a v0.2 pass addressing R1–R5 before Phase 2 contracts are treated as stable.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A4055"/>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3A50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