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b/>
          <w:color w:val="1F2D3D"/>
          <w:sz w:val="52"/>
        </w:rPr>
        <w:t>DocScrub-Web</w:t>
      </w:r>
    </w:p>
    <w:p>
      <w:r>
        <w:rPr>
          <w:color w:val="3A5063"/>
          <w:sz w:val="32"/>
        </w:rPr>
        <w:t>Target Architecture — v0.2</w:t>
      </w:r>
    </w:p>
    <w:p>
      <w:pPr>
        <w:spacing w:after="480"/>
      </w:pPr>
      <w:r>
        <w:rPr>
          <w:i/>
          <w:color w:val="55606B"/>
          <w:sz w:val="22"/>
        </w:rPr>
        <w:t>Revision incorporating Architecture Review Board findings from the v0.1 review</w:t>
      </w:r>
    </w:p>
    <w:tbl>
      <w:tblPr>
        <w:tblW w:type="auto" w:w="0"/>
        <w:jc w:val="left"/>
        <w:tblLook w:firstColumn="1" w:firstRow="1" w:lastColumn="0" w:lastRow="0" w:noHBand="0" w:noVBand="1" w:val="04A0"/>
      </w:tblPr>
      <w:tblGrid>
        <w:gridCol w:w="4680"/>
        <w:gridCol w:w="4680"/>
      </w:tblGrid>
      <w:tr>
        <w:tc>
          <w:tcPr>
            <w:tcW w:type="dxa" w:w="2448"/>
            <w:shd w:val="clear" w:color="auto" w:fill="EEF1F4"/>
          </w:tcPr>
          <w:p>
            <w:r/>
            <w:r>
              <w:rPr>
                <w:b/>
                <w:color w:val="3A5063"/>
                <w:sz w:val="20"/>
              </w:rPr>
              <w:t>Version</w:t>
            </w:r>
          </w:p>
        </w:tc>
        <w:tc>
          <w:tcPr>
            <w:tcW w:type="dxa" w:w="6912"/>
          </w:tcPr>
          <w:p>
            <w:r/>
            <w:r>
              <w:rPr>
                <w:b w:val="0"/>
                <w:sz w:val="20"/>
              </w:rPr>
              <w:t>0.2</w:t>
            </w:r>
          </w:p>
        </w:tc>
      </w:tr>
      <w:tr>
        <w:tc>
          <w:tcPr>
            <w:tcW w:type="dxa" w:w="2448"/>
            <w:shd w:val="clear" w:color="auto" w:fill="EEF1F4"/>
          </w:tcPr>
          <w:p>
            <w:r/>
            <w:r>
              <w:rPr>
                <w:b/>
                <w:color w:val="3A5063"/>
                <w:sz w:val="20"/>
              </w:rPr>
              <w:t>Date</w:t>
            </w:r>
          </w:p>
        </w:tc>
        <w:tc>
          <w:tcPr>
            <w:tcW w:type="dxa" w:w="6912"/>
          </w:tcPr>
          <w:p>
            <w:r/>
            <w:r>
              <w:rPr>
                <w:b w:val="0"/>
                <w:sz w:val="20"/>
              </w:rPr>
              <w:t>2026-07-27</w:t>
            </w:r>
          </w:p>
        </w:tc>
      </w:tr>
      <w:tr>
        <w:tc>
          <w:tcPr>
            <w:tcW w:type="dxa" w:w="2448"/>
            <w:shd w:val="clear" w:color="auto" w:fill="EEF1F4"/>
          </w:tcPr>
          <w:p>
            <w:r/>
            <w:r>
              <w:rPr>
                <w:b/>
                <w:color w:val="3A5063"/>
                <w:sz w:val="20"/>
              </w:rPr>
              <w:t>Supersedes</w:t>
            </w:r>
          </w:p>
        </w:tc>
        <w:tc>
          <w:tcPr>
            <w:tcW w:type="dxa" w:w="6912"/>
          </w:tcPr>
          <w:p>
            <w:r/>
            <w:r>
              <w:rPr>
                <w:b w:val="0"/>
                <w:sz w:val="20"/>
              </w:rPr>
              <w:t>DocScrub-Web_Target_Architecture.docx v0.1</w:t>
            </w:r>
          </w:p>
        </w:tc>
      </w:tr>
      <w:tr>
        <w:tc>
          <w:tcPr>
            <w:tcW w:type="dxa" w:w="2448"/>
            <w:shd w:val="clear" w:color="auto" w:fill="EEF1F4"/>
          </w:tcPr>
          <w:p>
            <w:r/>
            <w:r>
              <w:rPr>
                <w:b/>
                <w:color w:val="3A5063"/>
                <w:sz w:val="20"/>
              </w:rPr>
              <w:t>Basis for revision</w:t>
            </w:r>
          </w:p>
        </w:tc>
        <w:tc>
          <w:tcPr>
            <w:tcW w:type="dxa" w:w="6912"/>
          </w:tcPr>
          <w:p>
            <w:r/>
            <w:r>
              <w:rPr>
                <w:b w:val="0"/>
                <w:sz w:val="20"/>
              </w:rPr>
              <w:t>ARB Architecture Review Report on v0.1 (accepted in full: 5 Required findings + all Recommended refinements)</w:t>
            </w:r>
          </w:p>
        </w:tc>
      </w:tr>
    </w:tbl>
    <w:p>
      <w:pPr>
        <w:spacing w:after="320"/>
      </w:pPr>
    </w:p>
    <w:p>
      <w:r>
        <w:rPr>
          <w:i/>
          <w:color w:val="6B6B6B"/>
          <w:sz w:val="19"/>
        </w:rPr>
        <w:t>Change markers: sections carried forward from v0.1 with only light edits are presented in condensed form. Sections with substantive changes are marked NEW IN v0.2 or CHANGED IN v0.2 and explain what changed and why, so the diff against v0.1 stays legible without a side-by-side comparison.</w:t>
      </w:r>
    </w:p>
    <w:p>
      <w:r>
        <w:br w:type="page"/>
      </w:r>
    </w:p>
    <w:p>
      <w:pPr>
        <w:pStyle w:val="Heading1"/>
      </w:pPr>
      <w:r>
        <w:t>1. Purpose and Scope</w:t>
      </w:r>
    </w:p>
    <w:p>
      <w:r>
        <w:rPr>
          <w:b w:val="0"/>
          <w:i w:val="0"/>
        </w:rPr>
        <w:t>This document defines the target architecture for DocScrub-Web: a browser-based, subscription-enabled application for reviewing and redacting personally identifiable information from Word documents while keeping document contents on the user’s computer.</w:t>
      </w:r>
    </w:p>
    <w:p>
      <w:r>
        <w:rPr>
          <w:b w:val="0"/>
          <w:i w:val="0"/>
        </w:rPr>
        <w:t>The existing Python application remains a behavioral reference and regression oracle. It is not the long-term host architecture. The migration preserves tested product intelligence while rebuilding the UI shell, persistence model, browser document handling, and cloud boundary around a browser-local processing model.</w:t>
      </w:r>
    </w:p>
    <w:p>
      <w:r>
        <w:rPr>
          <w:b w:val="0"/>
          <w:i w:val="0"/>
        </w:rPr>
        <w:t>This document does not authorize application feature work. It defines the destination architecture, migration phases, risks, contracts, and acceptance principles that implementation work should follow. v0.2 additionally records the disposition of the ARB review of v0.1: which findings were accepted, and how each changes the architecture below.</w:t>
      </w:r>
    </w:p>
    <w:p>
      <w:pPr>
        <w:pStyle w:val="Heading1"/>
      </w:pPr>
      <w:r>
        <w:t>2. Executive Summary</w:t>
      </w:r>
    </w:p>
    <w:p>
      <w:r>
        <w:rPr>
          <w:b w:val="0"/>
          <w:i w:val="0"/>
        </w:rPr>
        <w:t>DocScrub migrates incrementally, preserving deterministic detection, Candidate Quality scoring, explanation generation, group and ambiguity proposals, replacement rules, and audit concepts as behavior and tests, then porting them behind explicit browser-oriented interfaces. The current single-file host (local_web_app.py — over 5,000 lines covering web serving, rendering, persistence, keyboard handling, and orchestration in one file) is replaced; the domain logic it wraps is not.</w:t>
      </w:r>
    </w:p>
    <w:p>
      <w:r>
        <w:rPr>
          <w:b w:val="0"/>
          <w:i w:val="0"/>
        </w:rPr>
        <w:t>The target is a browser-first application: the browser receives a user-selected file, parses OOXML locally, builds a format-neutral DocumentModel, runs deterministic detection and analysis locally, lets the reviewer decide through a keyboard-first React UI, persists sessions locally, and rebuilds the output DOCX locally. Cloud services handle authentication, licensing, subscription, organization settings, and optional privacy-preserving telemetry — and must not ordinarily receive document contents, candidates, occurrences, decisions, generated documents, or audit contents.</w:t>
      </w:r>
    </w:p>
    <w:p>
      <w:pPr>
        <w:spacing w:before="40" w:after="40"/>
      </w:pPr>
      <w:r>
        <w:rPr>
          <w:b/>
          <w:color w:val="B05A00"/>
          <w:sz w:val="17"/>
        </w:rPr>
        <w:t>CHANGED IN v0.2</w:t>
      </w:r>
    </w:p>
    <w:p>
      <w:r>
        <w:rPr>
          <w:b w:val="0"/>
          <w:i w:val="0"/>
        </w:rPr>
        <w:t>v0.2 changes, at a glance: the former GroupingEngine is split into EntityResolutionEngine and OccurrenceClassifier (§6.6–6.7); a FocusNavigator is introduced as a named component (§6.9); commands are namespaced by domain (§9); the Not Quite workflow is modeled explicitly as ReviewEngine sub-state (§6.8); scoring is made reproducible via a durable ScoringProfileSnapshot (§6.5, §7.2); resolved status is defined as derived, not stored (§7.2); DocumentRebuilder and AuditExporter are decoupled through a new OutputVerifier (§6.13, §10); pipeline interfaces stay synchronous except at genuine I/O boundaries (§12); telemetry uses a closed schema (§11); golden fixtures split into three named families (§13); and the migration sequence moves the OOXML feasibility spike earlier, with interim acceptance gates (§14).</w:t>
      </w:r>
    </w:p>
    <w:p>
      <w:pPr>
        <w:pStyle w:val="Heading1"/>
      </w:pPr>
      <w:r>
        <w:t>3. Current-State Summary</w:t>
      </w:r>
    </w:p>
    <w:p>
      <w:r>
        <w:rPr>
          <w:b w:val="0"/>
          <w:i w:val="0"/>
        </w:rPr>
        <w:t>Unchanged from v0.1. The current application is a local Python utility under work/pii_docx_redactor. Its active experience is local_web_app.py (a single Python HTTP server at 127.0.0.1:8765), supported by reusable modules under redactor/ and a Streamlit fallback in app.py. Flow: upload → local DOCX parse → deterministic detection → Candidate Quality scoring → Ambiguity/Group/Category Check payloads → reviewer decisions posted back → review state persisted to .local_web_state/review_state.json → output generation (DOCX, CSV, decisions JSON, QA metrics). This remains the regression oracle; it is not copied as the target browser architecture.</w:t>
      </w:r>
    </w:p>
    <w:p>
      <w:pPr>
        <w:pStyle w:val="Heading1"/>
      </w:pPr>
      <w:r>
        <w:t>4. Architectural Principles</w:t>
      </w:r>
    </w:p>
    <w:p>
      <w:pPr>
        <w:pStyle w:val="Heading2"/>
      </w:pPr>
      <w:r>
        <w:t>4.1 Browser-Local Processing</w:t>
      </w:r>
    </w:p>
    <w:p>
      <w:r>
        <w:rPr>
          <w:b w:val="0"/>
          <w:i w:val="0"/>
        </w:rPr>
        <w:t>Document contents remain local. Ordinary operation must not upload source files, extracted text, candidates, occurrences, review decisions, replacements, generated documents, or audit artifacts.</w:t>
      </w:r>
    </w:p>
    <w:p>
      <w:pPr>
        <w:pStyle w:val="Heading2"/>
      </w:pPr>
      <w:r>
        <w:t>4.2 Deterministic and Explainable Review</w:t>
      </w:r>
    </w:p>
    <w:p>
      <w:r>
        <w:rPr>
          <w:b w:val="0"/>
          <w:i w:val="0"/>
        </w:rPr>
        <w:t>DocScrub is not an automatic PII judge. It prioritizes human review using deterministic evidence. Every recommendation must be traceable to structured evidence.</w:t>
      </w:r>
    </w:p>
    <w:p>
      <w:pPr>
        <w:spacing w:before="40" w:after="40"/>
      </w:pPr>
      <w:r>
        <w:rPr>
          <w:b/>
          <w:color w:val="B05A00"/>
          <w:sz w:val="17"/>
        </w:rPr>
        <w:t>CHANGED IN v0.2</w:t>
      </w:r>
    </w:p>
    <w:p>
      <w:r>
        <w:rPr>
          <w:b w:val="0"/>
          <w:i w:val="0"/>
        </w:rPr>
        <w:t>v0.2 strengthens this principle: traceability must hold not only at the moment a recommendation is shown, but on every later reload of that session. See ScoringProfileSnapshot, §6.5 and §7.2.</w:t>
      </w:r>
    </w:p>
    <w:p>
      <w:pPr>
        <w:pStyle w:val="Heading2"/>
      </w:pPr>
      <w:r>
        <w:t>4.3 Preserve Product Intelligence, Rebuild the Host</w:t>
      </w:r>
    </w:p>
    <w:p>
      <w:r>
        <w:rPr>
          <w:b w:val="0"/>
          <w:i w:val="0"/>
        </w:rPr>
        <w:t>Existing algorithms and tests are preserved as behavior. The single-file Python web host, mutable global state, and raw DOM event wiring are replaced.</w:t>
      </w:r>
    </w:p>
    <w:p>
      <w:pPr>
        <w:pStyle w:val="Heading2"/>
      </w:pPr>
      <w:r>
        <w:t>4.4 Completion Beats Movement</w:t>
      </w:r>
    </w:p>
    <w:p>
      <w:r>
        <w:rPr>
          <w:b w:val="0"/>
          <w:i w:val="0"/>
        </w:rPr>
        <w:t>When a reviewer touches a piece of work, the UI helps them finish it rather than moving it into another queue. Moving work is not progress; completion is progress.</w:t>
      </w:r>
    </w:p>
    <w:p>
      <w:pPr>
        <w:pStyle w:val="Heading2"/>
      </w:pPr>
      <w:r>
        <w:t>4.5 Items Do Not Disappear on Click</w:t>
      </w:r>
    </w:p>
    <w:p>
      <w:r>
        <w:rPr>
          <w:b w:val="0"/>
          <w:i w:val="0"/>
        </w:rPr>
        <w:t>Rows and cells must not disappear merely because a reviewer selected an action. Completion may update color, status, checkmarks, and derived counts, but visibility changes only through explicit stage completion or accepted recategorization.</w:t>
      </w:r>
    </w:p>
    <w:p>
      <w:pPr>
        <w:spacing w:before="40" w:after="40"/>
      </w:pPr>
      <w:r>
        <w:rPr>
          <w:b/>
          <w:color w:val="B05A00"/>
          <w:sz w:val="17"/>
        </w:rPr>
        <w:t>CHANGED IN v0.2</w:t>
      </w:r>
    </w:p>
    <w:p>
      <w:r>
        <w:rPr>
          <w:b w:val="0"/>
          <w:i w:val="0"/>
        </w:rPr>
        <w:t>Not Quite is the one deliberate, documented exception to this invariant (README, "Workflow Philosophy"). v0.1 stated the invariant but never modeled its exception. v0.2 gives Not Quite an explicit, named sub-state so the exception is as visible in the architecture as the rule it exempts. See §6.8.</w:t>
      </w:r>
    </w:p>
    <w:p>
      <w:pPr>
        <w:pStyle w:val="Heading2"/>
      </w:pPr>
      <w:r>
        <w:t>4.6 Commands Are Centralized</w:t>
      </w:r>
    </w:p>
    <w:p>
      <w:r>
        <w:rPr>
          <w:b w:val="0"/>
          <w:i w:val="0"/>
        </w:rPr>
        <w:t>Keyboard, pointer, toolbar, menu, and future accessibility inputs all express commands through a central command path. Domain state changes occur through the appropriate owner, not ad hoc component callbacks.</w:t>
      </w:r>
    </w:p>
    <w:p>
      <w:pPr>
        <w:pStyle w:val="Heading2"/>
      </w:pPr>
      <w:r>
        <w:t>4.7 State Ownership Is Explicit</w:t>
      </w:r>
    </w:p>
    <w:p>
      <w:r>
        <w:rPr>
          <w:b w:val="0"/>
          <w:i w:val="0"/>
        </w:rPr>
        <w:t>Durable review state must not be inferred from temporary UI state. Review lifecycle, decisions, timestamps, and occurrence coverage require explicit durable state.</w:t>
      </w:r>
    </w:p>
    <w:p>
      <w:pPr>
        <w:spacing w:before="40" w:after="40"/>
      </w:pPr>
      <w:r>
        <w:rPr>
          <w:b/>
          <w:color w:val="B05A00"/>
          <w:sz w:val="17"/>
        </w:rPr>
        <w:t>CHANGED IN v0.2</w:t>
      </w:r>
    </w:p>
    <w:p>
      <w:r>
        <w:rPr>
          <w:b w:val="0"/>
          <w:i w:val="0"/>
        </w:rPr>
        <w:t>v0.2 adds a corollary made necessary by the Not Quite finding: values that affect what gets written to the output document (draft replacement text, in-progress member decisions) are never UI-only state, even while unconfirmed — see §6.8 and §7.3.</w:t>
      </w:r>
    </w:p>
    <w:p>
      <w:r>
        <w:br w:type="page"/>
      </w:r>
    </w:p>
    <w:p>
      <w:pPr>
        <w:pStyle w:val="Heading1"/>
      </w:pPr>
      <w:r>
        <w:t>5. Target Architecture Overview</w:t>
      </w:r>
    </w:p>
    <w:p>
      <w:pPr>
        <w:spacing w:before="40" w:after="40"/>
      </w:pPr>
      <w:r>
        <w:rPr>
          <w:b/>
          <w:color w:val="B05A00"/>
          <w:sz w:val="17"/>
        </w:rPr>
        <w:t>CHANGED IN v0.2</w:t>
      </w:r>
    </w:p>
    <w:p>
      <w:r>
        <w:rPr>
          <w:b w:val="0"/>
          <w:i w:val="0"/>
        </w:rPr>
        <w:t>Browser File API → DocumentParser → DocumentModel → DetectionEngine → CandidateQualityEngine → EntityResolutionEngine → ReviewEngine ↔ CommandDispatcher ↔ React Review UI.</w:t>
      </w:r>
    </w:p>
    <w:p>
      <w:r>
        <w:rPr>
          <w:b w:val="0"/>
          <w:i w:val="0"/>
        </w:rPr>
        <w:t>OccurrenceClassifier sits beside DocumentModel, not in the review-decision chain: it classifies occurrence structure for display (standalone, contextual, quoted, header/footer, table, other) and is consumed by the UI’s occurrence browser and by FocusNavigator for grouping in navigation — it never produces a reviewable proposal and carries no durable review state.</w:t>
      </w:r>
    </w:p>
    <w:p>
      <w:r>
        <w:rPr>
          <w:b w:val="0"/>
          <w:i w:val="0"/>
        </w:rPr>
        <w:t>ExplanationEngine is not a pipeline stage; it is a shared, stateless service invoked on demand by the UI and by AuditExporter, consuming a named Evidence contract produced by CandidateQualityEngine (§12). Supporting services: LocalSessionRepository, DocumentRebuilder, OutputVerifier, AuditExporter, SettingsService, FocusNavigator, and telemetry infrastructure constrained by the trust boundary.</w:t>
      </w:r>
    </w:p>
    <w:p>
      <w:pPr>
        <w:pStyle w:val="Heading1"/>
      </w:pPr>
      <w:r>
        <w:t>6. Component Responsibilities</w:t>
      </w:r>
    </w:p>
    <w:p>
      <w:pPr>
        <w:pStyle w:val="Heading2"/>
      </w:pPr>
      <w:r>
        <w:t>6.1 DocumentParser</w:t>
      </w:r>
    </w:p>
    <w:p>
      <w:r>
        <w:rPr>
          <w:b w:val="0"/>
          <w:i w:val="0"/>
        </w:rPr>
        <w:t>Unchanged from v0.1. Accepts a user-selected local file, unpacks and parses OOXML locally, extracts document content and structural references, identifies supported/unsupported features, produces a stable DocumentModel. Avoids all network transfer of document contents.</w:t>
      </w:r>
    </w:p>
    <w:p>
      <w:pPr>
        <w:pStyle w:val="Heading2"/>
      </w:pPr>
      <w:r>
        <w:t>6.2 DocumentModel</w:t>
      </w:r>
    </w:p>
    <w:p>
      <w:r>
        <w:rPr>
          <w:b w:val="0"/>
          <w:i w:val="0"/>
        </w:rPr>
        <w:t>Unchanged from v0.1. Format-neutral internal representation: document metadata, ordered content blocks, runs and structural references, stable occurrence locations, source OOXML relationships, format/version info, document identity hash, supported/unsupported feature indicators, processing warnings.</w:t>
      </w:r>
    </w:p>
    <w:p>
      <w:pPr>
        <w:pStyle w:val="Heading2"/>
      </w:pPr>
      <w:r>
        <w:t>6.3 DetectionEngine</w:t>
      </w:r>
    </w:p>
    <w:p>
      <w:r>
        <w:rPr>
          <w:b w:val="0"/>
          <w:i w:val="0"/>
        </w:rPr>
        <w:t>Unchanged from v0.1. Runs regex and deterministic detectors against DocumentModel; normalizes values; creates candidates and occurrences; preserves detector source evidence; stays out of UI, persistence, and review-decision responsibilities.</w:t>
      </w:r>
    </w:p>
    <w:p>
      <w:pPr>
        <w:pStyle w:val="Heading2"/>
      </w:pPr>
      <w:r>
        <w:t>6.4 CandidateQualityEngine</w:t>
      </w:r>
    </w:p>
    <w:p>
      <w:r>
        <w:rPr>
          <w:b w:val="0"/>
          <w:i w:val="0"/>
        </w:rPr>
        <w:t>Accumulates deterministic evidence and assigns an internal Candidate Score displayed as Likelihood: positive/neutral/negative evidence, deterministic scores from serializable weights, To Review / Unlikely recommendation, evidence IDs, tunable thresholds without architecture changes. Never makes final PII decisions.</w:t>
      </w:r>
    </w:p>
    <w:p>
      <w:pPr>
        <w:spacing w:before="40" w:after="40"/>
      </w:pPr>
      <w:r>
        <w:rPr>
          <w:b/>
          <w:color w:val="B05A00"/>
          <w:sz w:val="17"/>
        </w:rPr>
        <w:t>NEW IN v0.2</w:t>
      </w:r>
    </w:p>
    <w:p>
      <w:r>
        <w:rPr>
          <w:b w:val="0"/>
          <w:i w:val="0"/>
        </w:rPr>
        <w:t>CandidateQualityEngine now also emits a ScoringProfileSnapshot at the moment a document is first scored: scoring profile ID and version, weights, thresholds, detector/ruleset version, lexicon versions or hashes, application version, and scoring timestamp. This snapshot is written into the session’s durable state (§7.2), not re-derived from live settings. A later change to org-level weights or thresholds must not silently alter an already-scored session’s Likelihood or explanation on reload. A deliberate rescan under new rules produces a new processing revision, explicitly recorded, rather than overwriting the prior one. This closes the gap the ARB review identified: §4.2’s explainability principle previously had no mechanism preventing configuration drift from invalidating historical explanations.</w:t>
      </w:r>
    </w:p>
    <w:p>
      <w:pPr>
        <w:pStyle w:val="Heading2"/>
      </w:pPr>
      <w:r>
        <w:t>6.5 ExplanationEngine</w:t>
      </w:r>
    </w:p>
    <w:p>
      <w:r>
        <w:rPr>
          <w:b w:val="0"/>
          <w:i w:val="0"/>
        </w:rPr>
        <w:t>Converts structured evidence into user-facing and audit-facing explanations. Must not invent evidence: produces Standard View explanations, Advanced/Expert View evidence breakdowns, audit-oriented summaries; stays separate from scoring; keeps prose out of detector and scoring code.</w:t>
      </w:r>
    </w:p>
    <w:p>
      <w:pPr>
        <w:spacing w:before="40" w:after="40"/>
      </w:pPr>
      <w:r>
        <w:rPr>
          <w:b/>
          <w:color w:val="B05A00"/>
          <w:sz w:val="17"/>
        </w:rPr>
        <w:t>NEW IN v0.2</w:t>
      </w:r>
    </w:p>
    <w:p>
      <w:r>
        <w:rPr>
          <w:b w:val="0"/>
          <w:i w:val="0"/>
        </w:rPr>
        <w:t>ExplanationEngine is repositioned from a pipeline stage to a shared, stateless service consumed by the React UI (on demand, per candidate) and by AuditExporter (in batch, for audit narrative) — matching how redactor/explanations.py is actually used today. It depends on an explicit, named Evidence/EvidenceItem contract emitted by CandidateQualityEngine (see §12); QualityResult is no longer treated as opaque where explanation correctness depends on its internal shape. This removes the hidden coupling the ARB review identified between these two components.</w:t>
      </w:r>
    </w:p>
    <w:p>
      <w:pPr>
        <w:pStyle w:val="Heading2"/>
      </w:pPr>
      <w:r>
        <w:t>6.6 EntityResolutionEngine (formerly part of GroupingEngine)</w:t>
      </w:r>
    </w:p>
    <w:p>
      <w:pPr>
        <w:spacing w:before="40" w:after="40"/>
      </w:pPr>
      <w:r>
        <w:rPr>
          <w:b/>
          <w:color w:val="B05A00"/>
          <w:sz w:val="17"/>
        </w:rPr>
        <w:t>NEW IN v0.2</w:t>
      </w:r>
    </w:p>
    <w:p>
      <w:r>
        <w:rPr>
          <w:b w:val="0"/>
          <w:i w:val="0"/>
        </w:rPr>
        <w:t>Owns reviewer-relevant identity-resolution proposals: which occurrences plausibly represent the same entity. Responsibilities: propose Ambiguity Check items; propose Group Check entity groups; produce proposals, not silent human decisions; remain deterministic and testable; retain original proposal confidence (immutable, part of document state) distinct from the live confidence ReviewEngine derives from the currently selected members (see §7.1/§7.2). This is durable-state-adjacent, audit-relevant logic and is tested with reviewer-decision fixtures.</w:t>
      </w:r>
    </w:p>
    <w:p>
      <w:pPr>
        <w:pStyle w:val="Heading2"/>
      </w:pPr>
      <w:r>
        <w:t>6.7 OccurrenceClassifier (formerly part of GroupingEngine)</w:t>
      </w:r>
    </w:p>
    <w:p>
      <w:pPr>
        <w:spacing w:before="40" w:after="40"/>
      </w:pPr>
      <w:r>
        <w:rPr>
          <w:b/>
          <w:color w:val="B05A00"/>
          <w:sz w:val="17"/>
        </w:rPr>
        <w:t>NEW IN v0.2</w:t>
      </w:r>
    </w:p>
    <w:p>
      <w:r>
        <w:rPr>
          <w:b w:val="0"/>
          <w:i w:val="0"/>
        </w:rPr>
        <w:t>A pure, deterministic function that classifies occurrence structure for display and navigation — standalone, contextual, quoted, header/footer, table, OCR, other — matching the existing redactor/occurrence_groups.py behavior. It does not propose review decisions, does not produce durable review state, and is not audit-bearing. It sits conceptually beside DocumentModel rather than in the review pipeline, and its test suite is ordinary pure-function fixtures with no session/reviewer scaffolding. Separating this from EntityResolutionEngine removes the hidden-coupling risk the ARB review identified: a change to display classification can no longer silently affect what is exposed to Group Check review, or vice versa.</w:t>
      </w:r>
    </w:p>
    <w:p>
      <w:pPr>
        <w:pStyle w:val="Heading2"/>
      </w:pPr>
      <w:r>
        <w:t>6.8 ReviewEngine</w:t>
      </w:r>
    </w:p>
    <w:p>
      <w:r>
        <w:rPr>
          <w:b w:val="0"/>
          <w:i w:val="0"/>
        </w:rPr>
        <w:t>Owns durable review behavior: candidate decisions; Keep/Rename/Redact/Ignore semantics; Ambiguity Check and Group Check lifecycle; review-stage state; completion rules; replacement assignments and manual overrides; review events and timestamps; transaction boundaries; undoable domain actions; the invariant that items do not disappear merely because an action was selected. Does not own DOM focus or visual presentation.</w:t>
      </w:r>
    </w:p>
    <w:p>
      <w:pPr>
        <w:spacing w:before="40" w:after="40"/>
      </w:pPr>
      <w:r>
        <w:rPr>
          <w:b/>
          <w:color w:val="B05A00"/>
          <w:sz w:val="17"/>
        </w:rPr>
        <w:t>NEW IN v0.2</w:t>
      </w:r>
    </w:p>
    <w:p>
      <w:r>
        <w:rPr>
          <w:b w:val="0"/>
          <w:i w:val="0"/>
        </w:rPr>
        <w:t xml:space="preserve">ReviewEngine now explicitly owns a Not Quite sub-state, scoped to one candidate group at a time, matching the product’s one documented exception to §4.5. The sub-state includes: candidate group identity; selected members; unresolved members; per-member actions (Keep/Rename/Redact); replacement drafts; active member; completion state; transaction status; and an explicit durable-vs-temporary draft policy. The product-facing label remains "Not Quite." </w:t>
      </w:r>
    </w:p>
    <w:p>
      <w:r>
        <w:rPr>
          <w:b w:val="0"/>
          <w:i w:val="0"/>
        </w:rPr>
        <w:t>On the durable-vs-temporary question the ARB review raised: in-progress Not Quite drafts (unconfirmed per-member rename/redact text) are treated as an open domain transaction owned by ReviewEngine, not as temporary UI state — because they hold literal values that could affect the output document. They are persisted by LocalSessionRepository on the same autosave cadence as confirmed decisions, so a browser refresh mid-edit does not silently discard reviewer work (consistent with §4.4, Completion Beats Movement). Only presentation concerns of the Not Quite panel — which row is scrolled into view, whether the panel is expanded — remain temporary UI state (§7.3).</w:t>
      </w:r>
    </w:p>
    <w:p>
      <w:r>
        <w:rPr>
          <w:b w:val="0"/>
          <w:i w:val="0"/>
        </w:rPr>
        <w:t>Corresponding commands: review.enterNotQuite, review.applyNotQuiteMember, review.completeNotQuite, review.exitNotQuite (see §9). Corresponding glossary entry added (§18). Corresponding parity fixtures added (§13, Domain Parity Fixtures and Interaction Fixtures).</w:t>
      </w:r>
    </w:p>
    <w:p>
      <w:pPr>
        <w:pStyle w:val="Heading2"/>
      </w:pPr>
      <w:r>
        <w:t>6.9 FocusNavigator</w:t>
      </w:r>
    </w:p>
    <w:p>
      <w:pPr>
        <w:spacing w:before="40" w:after="40"/>
      </w:pPr>
      <w:r>
        <w:rPr>
          <w:b/>
          <w:color w:val="B05A00"/>
          <w:sz w:val="17"/>
        </w:rPr>
        <w:t>NEW IN v0.2</w:t>
      </w:r>
    </w:p>
    <w:p>
      <w:r>
        <w:rPr>
          <w:b w:val="0"/>
          <w:i w:val="0"/>
        </w:rPr>
        <w:t>A new, named component recognizing that keyboard/focus navigation is portable, testable domain logic, not an ad hoc UI concern — matching the existing, already-tested redactor/review_queue.py behavior (active-item movement across ArrowUp/Down/PageUp/PageDown/Home/End; reconciling active focus against visibility; "next undecided after decision"). Responsibilities: active result; focused control; geometric focus movement; text-input exceptions (e.g., arrow keys inside an open text field move the caret, not the selection); focus restoration after rerender; next-unreviewed navigation; visibility reconciliation. It must not own durable review decisions — it reads visibility and decision state from ReviewEngine but writes only ephemeral focus position. This was previously left to be improvised inside React components under a vague "UIStore or focus services" mention; it is now a first-class ported component with its own fixtures (§13, Interaction Fixtures).</w:t>
      </w:r>
    </w:p>
    <w:p>
      <w:pPr>
        <w:pStyle w:val="Heading2"/>
      </w:pPr>
      <w:r>
        <w:t>6.10 CommandDispatcher</w:t>
      </w:r>
    </w:p>
    <w:p>
      <w:r>
        <w:rPr>
          <w:b w:val="0"/>
          <w:i w:val="0"/>
        </w:rPr>
        <w:t>Provides a single command path for keyboard, pointer, toolbar, menu, and future alternative inputs.</w:t>
      </w:r>
    </w:p>
    <w:p>
      <w:pPr>
        <w:spacing w:before="40" w:after="40"/>
      </w:pPr>
      <w:r>
        <w:rPr>
          <w:b/>
          <w:color w:val="B05A00"/>
          <w:sz w:val="17"/>
        </w:rPr>
        <w:t>CHANGED IN v0.2</w:t>
      </w:r>
    </w:p>
    <w:p>
      <w:r>
        <w:rPr>
          <w:b w:val="0"/>
          <w:i w:val="0"/>
        </w:rPr>
        <w:t>Commands are namespaced by domain area rather than living in one flat vocabulary, so the dispatcher can route by family without becoming, in its own words, "a dumping ground": review.* for domain commands handled by ReviewEngine, navigation.* for commands handled by FocusNavigator, document.* and history.* for application-level commands (load, generate output, undo, redo). See §9 for the full vocabulary and §12 for the resulting interface shape — domain, navigation, and application commands are no longer forced through one flat dispatch signature.</w:t>
      </w:r>
    </w:p>
    <w:p>
      <w:pPr>
        <w:pStyle w:val="Heading2"/>
      </w:pPr>
      <w:r>
        <w:t>6.11 React Review UI</w:t>
      </w:r>
    </w:p>
    <w:p>
      <w:r>
        <w:rPr>
          <w:b w:val="0"/>
          <w:i w:val="0"/>
        </w:rPr>
        <w:t>Unchanged in role from v0.1: a rendering and input surface. Renders derived state, dispatches commands, holds temporary presentation state where appropriate, avoids owning durable review decisions. Anticipated components: AppShell, DocumentLoader, AmbiguityCheck, GroupCheck, CategoryCheckNavigator, CandidateResultsGrid, CandidateDetailPanel, OccurrenceBrowser, RedactionRulesPanel, CommandBar, ActionToast, BulkActionToolbar, and a NotQuitePanel driven by ReviewEngine’s Not Quite sub-state.</w:t>
      </w:r>
    </w:p>
    <w:p>
      <w:pPr>
        <w:pStyle w:val="Heading2"/>
      </w:pPr>
      <w:r>
        <w:t>6.12 LocalSessionRepository</w:t>
      </w:r>
    </w:p>
    <w:p>
      <w:r>
        <w:rPr>
          <w:b w:val="0"/>
          <w:i w:val="0"/>
        </w:rPr>
        <w:t>Owns local persistence: autosave, explicit save, crash/refresh recovery, schema versioning, session export and import, user-controlled deletion, migration of saved sessions, browser storage quota handling, IndexedDB and/or OPFS, File System Access API where supported.</w:t>
      </w:r>
    </w:p>
    <w:p>
      <w:pPr>
        <w:spacing w:before="40" w:after="40"/>
      </w:pPr>
      <w:r>
        <w:rPr>
          <w:b/>
          <w:color w:val="B05A00"/>
          <w:sz w:val="17"/>
        </w:rPr>
        <w:t>CHANGED IN v0.2</w:t>
      </w:r>
    </w:p>
    <w:p>
      <w:r>
        <w:rPr>
          <w:b w:val="0"/>
          <w:i w:val="0"/>
        </w:rPr>
        <w:t>Autosave now explicitly covers Not Quite in-progress drafts (§6.8), not only confirmed decisions. Storage quota handling is upgraded from a risk bullet to a stated UX contract: the UI must surface a blocking warning well before quota is reached and offer a forced export path, rather than silently failing to persist — a quota failure that loses reviewer progress directly violates §4.4.</w:t>
      </w:r>
    </w:p>
    <w:p>
      <w:pPr>
        <w:pStyle w:val="Heading2"/>
      </w:pPr>
      <w:r>
        <w:t>6.13 DocumentRebuilder</w:t>
      </w:r>
    </w:p>
    <w:p>
      <w:r>
        <w:rPr>
          <w:b w:val="0"/>
          <w:i w:val="0"/>
        </w:rPr>
        <w:t>Creates the revised DOCX from the original DocumentModel, a completed ReviewSession, and a replacement plan: applies reviewed replacements, rebuilds/modifies OOXML, preserves runs/formatting/relationships/document parts, handles replacements spanning multiple runs, detects unsupported or fidelity-risking constructs, generates the final DOCX locally.</w:t>
      </w:r>
    </w:p>
    <w:p>
      <w:pPr>
        <w:spacing w:before="40" w:after="40"/>
      </w:pPr>
      <w:r>
        <w:rPr>
          <w:b/>
          <w:color w:val="B05A00"/>
          <w:sz w:val="17"/>
        </w:rPr>
        <w:t>CHANGED IN v0.2</w:t>
      </w:r>
    </w:p>
    <w:p>
      <w:r>
        <w:rPr>
          <w:b w:val="0"/>
          <w:i w:val="0"/>
        </w:rPr>
        <w:t>DocumentRebuilder no longer owns "support post-generation verification or rescan" — that responsibility moves to a new OutputVerifier (§6.14) to remove the hidden coupling the ARB review identified between rebuilding and audit export. DocumentRebuilder’s output is the generated DOCX; nothing else.</w:t>
      </w:r>
    </w:p>
    <w:p>
      <w:pPr>
        <w:pStyle w:val="Heading2"/>
      </w:pPr>
      <w:r>
        <w:t>6.14 OutputVerifier</w:t>
      </w:r>
    </w:p>
    <w:p>
      <w:pPr>
        <w:spacing w:before="40" w:after="40"/>
      </w:pPr>
      <w:r>
        <w:rPr>
          <w:b/>
          <w:color w:val="B05A00"/>
          <w:sz w:val="17"/>
        </w:rPr>
        <w:t>NEW IN v0.2</w:t>
      </w:r>
    </w:p>
    <w:p>
      <w:r>
        <w:rPr>
          <w:b w:val="0"/>
          <w:i w:val="0"/>
        </w:rPr>
        <w:t>A new component that performs post-generation verification/rescan and produces a VerificationReport value object. Flow: DocumentRebuilder → generated DOCX → OutputVerifier → VerificationReport. AuditExporter may consume VerificationReport, but does not depend on DocumentRebuilder’s internals — this is the concrete fix for the coupling the ARB review flagged in v0.1 (AuditExporter took "verification results" as an input while DocumentRebuilder owned producing them, with no stated boundary between two components that Section 10 claimed were separate).</w:t>
      </w:r>
    </w:p>
    <w:p>
      <w:pPr>
        <w:pStyle w:val="Heading2"/>
      </w:pPr>
      <w:r>
        <w:t>6.15 AuditExporter</w:t>
      </w:r>
    </w:p>
    <w:p>
      <w:r>
        <w:rPr>
          <w:b w:val="0"/>
          <w:i w:val="0"/>
        </w:rPr>
        <w:t>Generates audit artifacts separately from document rebuilding. Inputs: ReviewSession; candidate and evidence data; processing metadata; VerificationReport (from OutputVerifier, not DocumentRebuilder directly). Outputs: CSV, JSON, QA metrics, audit report, review event history.</w:t>
      </w:r>
    </w:p>
    <w:p>
      <w:pPr>
        <w:pStyle w:val="Heading2"/>
      </w:pPr>
      <w:r>
        <w:t>6.16 SettingsService</w:t>
      </w:r>
    </w:p>
    <w:p>
      <w:pPr>
        <w:spacing w:before="40" w:after="40"/>
      </w:pPr>
      <w:r>
        <w:rPr>
          <w:b/>
          <w:color w:val="B05A00"/>
          <w:sz w:val="17"/>
        </w:rPr>
        <w:t>NEW IN v0.2</w:t>
      </w:r>
    </w:p>
    <w:p>
      <w:r>
        <w:rPr>
          <w:b w:val="0"/>
          <w:i w:val="0"/>
        </w:rPr>
        <w:t>Promoted from an implied dependency to a named component. Owns thresholds, scoring weights, lexicons, replacement rules, keyboard legend preference, and organization-level configuration, and classifies every setting into one of four trust categories: cloud-syncable; local-only; session-pinned (captured into a session’s ScoringProfileSnapshot and not subsequently live-updated for that session, see §6.4); and content-derived values that must never sync regardless of account or organization configuration. This classification is enforced at the SettingsService level — each setting carries its category as data — rather than relying on the prose policy in §7.4 alone, which the ARB review noted had no named enforcement point.</w:t>
      </w:r>
    </w:p>
    <w:p>
      <w:r>
        <w:br w:type="page"/>
      </w:r>
    </w:p>
    <w:p>
      <w:pPr>
        <w:pStyle w:val="Heading1"/>
      </w:pPr>
      <w:r>
        <w:t>7. State Architecture</w:t>
      </w:r>
    </w:p>
    <w:p>
      <w:r>
        <w:rPr>
          <w:b w:val="0"/>
          <w:i w:val="0"/>
        </w:rPr>
        <w:t>DocScrub-Web separates state into document state, durable review state, temporary UI state, and settings/configuration.</w:t>
      </w:r>
    </w:p>
    <w:p>
      <w:pPr>
        <w:pStyle w:val="Heading2"/>
      </w:pPr>
      <w:r>
        <w:t>7.1 Document State</w:t>
      </w:r>
    </w:p>
    <w:p>
      <w:r>
        <w:rPr>
          <w:b w:val="0"/>
          <w:i w:val="0"/>
        </w:rPr>
        <w:t>Source document identity; parsed DocumentModel; candidates; occurrences; metadata; source mappings; processing warnings; EntityResolutionEngine’s original proposal confidence per group (immutable once generated).</w:t>
      </w:r>
    </w:p>
    <w:p>
      <w:pPr>
        <w:pStyle w:val="Heading2"/>
      </w:pPr>
      <w:r>
        <w:t>7.2 Durable Review State</w:t>
      </w:r>
    </w:p>
    <w:p>
      <w:r>
        <w:rPr>
          <w:b w:val="0"/>
          <w:i w:val="0"/>
        </w:rPr>
        <w:t>Decisions; canonical groups; ambiguity resolutions; replacement assignments; manual replacements; review events; completion state; schema version; timestamps; Not Quite sub-state (§6.8), including in-progress drafts; ScoringProfileSnapshot per scored session (§6.4); live group confidence, derived from currently selected members rather than separately stored.</w:t>
      </w:r>
    </w:p>
    <w:p>
      <w:pPr>
        <w:spacing w:before="40" w:after="40"/>
      </w:pPr>
      <w:r>
        <w:rPr>
          <w:b/>
          <w:color w:val="B05A00"/>
          <w:sz w:val="17"/>
        </w:rPr>
        <w:t>CHANGED IN v0.2</w:t>
      </w:r>
    </w:p>
    <w:p>
      <w:r>
        <w:rPr>
          <w:b w:val="0"/>
          <w:i w:val="0"/>
        </w:rPr>
        <w:t>"Resolved" status is explicitly defined as derived state, computed from occurrence coverage over completed group decisions, ambiguity decisions, and candidate decisions — not an independently stored mutable flag that can drift out of sync with the facts that produced it. Selectors are required for: resolved; partially resolved; unresolved occurrence count; covered occurrence count. This directly applies §4.7 ("durable review state must not be inferred from temporary UI state") to a case v0.1 left ambiguous: whether "completion state" meant a stored field or a computed value.</w:t>
      </w:r>
    </w:p>
    <w:p>
      <w:r>
        <w:rPr>
          <w:b w:val="0"/>
          <w:i w:val="0"/>
        </w:rPr>
        <w:t>Durable review state uses a pragmatic combination of reducer-based transitions and transaction-backed persistence; full event sourcing is not required initially, but enough review events are persisted to support audit, undo/redo, diagnostics, and migration.</w:t>
      </w:r>
    </w:p>
    <w:p>
      <w:pPr>
        <w:pStyle w:val="Heading2"/>
      </w:pPr>
      <w:r>
        <w:t>7.3 Temporary UI State</w:t>
      </w:r>
    </w:p>
    <w:p>
      <w:r>
        <w:rPr>
          <w:b w:val="0"/>
          <w:i w:val="0"/>
        </w:rPr>
        <w:t>Active category; focused result; focused control; expanded panels; search and sorting; transient toast visibility; currently open dialog; Not Quite panel presentation details (scroll position, expand/collapse) as distinct from Not Quite’s durable draft values (§6.8, §7.2). Temporary UI state may be lost or reset without corrupting review decisions.</w:t>
      </w:r>
    </w:p>
    <w:p>
      <w:pPr>
        <w:pStyle w:val="Heading2"/>
      </w:pPr>
      <w:r>
        <w:t>7.4 Settings and Configuration</w:t>
      </w:r>
    </w:p>
    <w:p>
      <w:r>
        <w:rPr>
          <w:b w:val="0"/>
          <w:i w:val="0"/>
        </w:rPr>
        <w:t>Thresholds; scoring weights; lexicons; replacement rules; keyboard legend preference; organization-level configuration.</w:t>
      </w:r>
    </w:p>
    <w:p>
      <w:pPr>
        <w:spacing w:before="40" w:after="40"/>
      </w:pPr>
      <w:r>
        <w:rPr>
          <w:b/>
          <w:color w:val="B05A00"/>
          <w:sz w:val="17"/>
        </w:rPr>
        <w:t>CHANGED IN v0.2</w:t>
      </w:r>
    </w:p>
    <w:p>
      <w:r>
        <w:rPr>
          <w:b w:val="0"/>
          <w:i w:val="0"/>
        </w:rPr>
        <w:t>Each setting is tagged at the SettingsService level (§6.16) as cloud-syncable, local-only, session-pinned, or content-derived-never-sync. Document-specific settings and content-derived values stay local unless explicitly exported by the user, and this is now a structural property of the setting, not only a paragraph of policy.</w:t>
      </w:r>
    </w:p>
    <w:p>
      <w:pPr>
        <w:pStyle w:val="Heading1"/>
      </w:pPr>
      <w:r>
        <w:t>8. Local Persistence Architecture</w:t>
      </w:r>
    </w:p>
    <w:p>
      <w:r>
        <w:rPr>
          <w:b w:val="0"/>
          <w:i w:val="0"/>
        </w:rPr>
        <w:t>ReviewEngine → LocalSessionRepository → IndexedDB and/or OPFS. IndexedDB for structured session state, OPFS for larger local artifacts where supported; File System Access API considered for explicit user-selected project folders or export locations, with fallbacks.</w:t>
      </w:r>
    </w:p>
    <w:p>
      <w:r>
        <w:rPr>
          <w:b w:val="0"/>
          <w:i w:val="0"/>
        </w:rPr>
        <w:t>Persistence requirements: autosave review changes (including Not Quite in-progress drafts) after successful domain transitions; support explicit save/export; recover after refresh or crash; version schemas and migrate saved sessions; allow user-controlled deletion; expose storage limitations with a blocking warning and forced-export path before quota is reached; never sync document content to cloud by default.</w:t>
      </w:r>
    </w:p>
    <w:p>
      <w:pPr>
        <w:pStyle w:val="Heading1"/>
      </w:pPr>
      <w:r>
        <w:t>9. Review and Command Architecture</w:t>
      </w:r>
    </w:p>
    <w:p>
      <w:pPr>
        <w:spacing w:before="40" w:after="40"/>
      </w:pPr>
      <w:r>
        <w:rPr>
          <w:b/>
          <w:color w:val="B05A00"/>
          <w:sz w:val="17"/>
        </w:rPr>
        <w:t>CHANGED IN v0.2</w:t>
      </w:r>
    </w:p>
    <w:p>
      <w:r>
        <w:rPr>
          <w:b w:val="0"/>
          <w:i w:val="0"/>
        </w:rPr>
        <w:t>EntityResolutionEngine → ReviewEngine ↔ CommandDispatcher ↔ React Review UI, with FocusNavigator consuming visibility/decision state from ReviewEngine and OccurrenceClassifier feeding the occurrence browser and FocusNavigator’s grouping.</w:t>
      </w:r>
    </w:p>
    <w:p>
      <w:r>
        <w:rPr>
          <w:b w:val="0"/>
          <w:i w:val="0"/>
        </w:rPr>
        <w:t>Commands are namespaced by domain area:</w:t>
      </w:r>
    </w:p>
    <w:p>
      <w:pPr>
        <w:spacing w:after="0"/>
        <w:ind w:left="432"/>
      </w:pPr>
      <w:r>
        <w:rPr>
          <w:rFonts w:ascii="Consolas" w:hAnsi="Consolas"/>
          <w:color w:val="222222"/>
          <w:sz w:val="18"/>
        </w:rPr>
        <w:t>review.keepCandidate</w:t>
      </w:r>
    </w:p>
    <w:p>
      <w:pPr>
        <w:spacing w:after="0"/>
        <w:ind w:left="432"/>
      </w:pPr>
      <w:r>
        <w:rPr>
          <w:rFonts w:ascii="Consolas" w:hAnsi="Consolas"/>
          <w:color w:val="222222"/>
          <w:sz w:val="18"/>
        </w:rPr>
        <w:t>review.renameCandidate</w:t>
      </w:r>
    </w:p>
    <w:p>
      <w:pPr>
        <w:spacing w:after="0"/>
        <w:ind w:left="432"/>
      </w:pPr>
      <w:r>
        <w:rPr>
          <w:rFonts w:ascii="Consolas" w:hAnsi="Consolas"/>
          <w:color w:val="222222"/>
          <w:sz w:val="18"/>
        </w:rPr>
        <w:t>review.redactCandidate</w:t>
      </w:r>
    </w:p>
    <w:p>
      <w:pPr>
        <w:spacing w:after="0"/>
        <w:ind w:left="432"/>
      </w:pPr>
      <w:r>
        <w:rPr>
          <w:rFonts w:ascii="Consolas" w:hAnsi="Consolas"/>
          <w:color w:val="222222"/>
          <w:sz w:val="18"/>
        </w:rPr>
        <w:t>review.ignoreCandidate</w:t>
      </w:r>
    </w:p>
    <w:p>
      <w:pPr>
        <w:spacing w:after="0"/>
        <w:ind w:left="432"/>
      </w:pPr>
      <w:r>
        <w:rPr>
          <w:rFonts w:ascii="Consolas" w:hAnsi="Consolas"/>
          <w:color w:val="222222"/>
          <w:sz w:val="18"/>
        </w:rPr>
        <w:t>review.enterNotQuite</w:t>
      </w:r>
    </w:p>
    <w:p>
      <w:pPr>
        <w:spacing w:after="0"/>
        <w:ind w:left="432"/>
      </w:pPr>
      <w:r>
        <w:rPr>
          <w:rFonts w:ascii="Consolas" w:hAnsi="Consolas"/>
          <w:color w:val="222222"/>
          <w:sz w:val="18"/>
        </w:rPr>
        <w:t>review.applyNotQuiteMember</w:t>
      </w:r>
    </w:p>
    <w:p>
      <w:pPr>
        <w:spacing w:after="0"/>
        <w:ind w:left="432"/>
      </w:pPr>
      <w:r>
        <w:rPr>
          <w:rFonts w:ascii="Consolas" w:hAnsi="Consolas"/>
          <w:color w:val="222222"/>
          <w:sz w:val="18"/>
        </w:rPr>
        <w:t>review.completeNotQuite</w:t>
      </w:r>
    </w:p>
    <w:p>
      <w:pPr>
        <w:spacing w:after="0"/>
        <w:ind w:left="432"/>
      </w:pPr>
      <w:r>
        <w:rPr>
          <w:rFonts w:ascii="Consolas" w:hAnsi="Consolas"/>
          <w:color w:val="222222"/>
          <w:sz w:val="18"/>
        </w:rPr>
        <w:t>review.exitNotQuite</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navigation.moveResult</w:t>
      </w:r>
    </w:p>
    <w:p>
      <w:pPr>
        <w:spacing w:after="0"/>
        <w:ind w:left="432"/>
      </w:pPr>
      <w:r>
        <w:rPr>
          <w:rFonts w:ascii="Consolas" w:hAnsi="Consolas"/>
          <w:color w:val="222222"/>
          <w:sz w:val="18"/>
        </w:rPr>
        <w:t>navigation.moveControl</w:t>
      </w:r>
    </w:p>
    <w:p>
      <w:pPr>
        <w:spacing w:after="0"/>
        <w:ind w:left="432"/>
      </w:pPr>
      <w:r>
        <w:rPr>
          <w:rFonts w:ascii="Consolas" w:hAnsi="Consolas"/>
          <w:color w:val="222222"/>
          <w:sz w:val="18"/>
        </w:rPr>
        <w:t>navigation.moveCategory</w:t>
      </w:r>
    </w:p>
    <w:p>
      <w:pPr>
        <w:spacing w:after="0"/>
        <w:ind w:left="432"/>
      </w:pPr>
      <w:r>
        <w:rPr>
          <w:rFonts w:ascii="Consolas" w:hAnsi="Consolas"/>
          <w:color w:val="222222"/>
          <w:sz w:val="18"/>
        </w:rPr>
        <w:t>navigation.selectControl</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document.load</w:t>
      </w:r>
    </w:p>
    <w:p>
      <w:pPr>
        <w:spacing w:after="0"/>
        <w:ind w:left="432"/>
      </w:pPr>
      <w:r>
        <w:rPr>
          <w:rFonts w:ascii="Consolas" w:hAnsi="Consolas"/>
          <w:color w:val="222222"/>
          <w:sz w:val="18"/>
        </w:rPr>
        <w:t>document.generateOutput</w:t>
      </w:r>
    </w:p>
    <w:p>
      <w:pPr>
        <w:spacing w:after="0"/>
        <w:ind w:left="432"/>
      </w:pPr>
      <w:r>
        <w:rPr>
          <w:rFonts w:ascii="Consolas" w:hAnsi="Consolas"/>
          <w:color w:val="222222"/>
          <w:sz w:val="18"/>
        </w:rPr>
        <w:t>document.saveReviewSession</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history.undo</w:t>
      </w:r>
    </w:p>
    <w:p>
      <w:pPr>
        <w:spacing w:after="0"/>
        <w:ind w:left="432"/>
      </w:pPr>
      <w:r>
        <w:rPr>
          <w:rFonts w:ascii="Consolas" w:hAnsi="Consolas"/>
          <w:color w:val="222222"/>
          <w:sz w:val="18"/>
        </w:rPr>
        <w:t>history.redo</w:t>
      </w:r>
    </w:p>
    <w:p>
      <w:pPr>
        <w:spacing w:after="120"/>
      </w:pPr>
    </w:p>
    <w:p>
      <w:r>
        <w:rPr>
          <w:b w:val="0"/>
          <w:i w:val="0"/>
        </w:rPr>
        <w:t>Exact syntax may change, but domain, navigation, application, and history commands remain distinguishable families rather than one flat vocabulary — see §12 for the resulting discriminated interface shape.</w:t>
      </w:r>
    </w:p>
    <w:p>
      <w:pPr>
        <w:pStyle w:val="Heading1"/>
      </w:pPr>
      <w:r>
        <w:t>10. Output Architecture</w:t>
      </w:r>
    </w:p>
    <w:p>
      <w:pPr>
        <w:spacing w:before="40" w:after="40"/>
      </w:pPr>
      <w:r>
        <w:rPr>
          <w:b/>
          <w:color w:val="B05A00"/>
          <w:sz w:val="17"/>
        </w:rPr>
        <w:t>CHANGED IN v0.2</w:t>
      </w:r>
    </w:p>
    <w:p>
      <w:r>
        <w:rPr>
          <w:b w:val="0"/>
          <w:i w:val="0"/>
        </w:rPr>
        <w:t>Document rebuilding, output verification, and audit export are three separate responsibilities:</w:t>
      </w:r>
    </w:p>
    <w:p>
      <w:pPr>
        <w:spacing w:after="0"/>
        <w:ind w:left="432"/>
      </w:pPr>
      <w:r>
        <w:rPr>
          <w:rFonts w:ascii="Consolas" w:hAnsi="Consolas"/>
          <w:color w:val="222222"/>
          <w:sz w:val="18"/>
        </w:rPr>
        <w:t>DocumentRebuilder</w:t>
      </w:r>
    </w:p>
    <w:p>
      <w:pPr>
        <w:spacing w:after="0"/>
        <w:ind w:left="432"/>
      </w:pPr>
      <w:r>
        <w:rPr>
          <w:rFonts w:ascii="Consolas" w:hAnsi="Consolas"/>
          <w:color w:val="222222"/>
          <w:sz w:val="18"/>
        </w:rPr>
        <w:t xml:space="preserve">    -&gt; Generated DOCX</w:t>
      </w:r>
    </w:p>
    <w:p>
      <w:pPr>
        <w:spacing w:after="0"/>
        <w:ind w:left="432"/>
      </w:pPr>
      <w:r>
        <w:rPr>
          <w:rFonts w:ascii="Consolas" w:hAnsi="Consolas"/>
          <w:color w:val="222222"/>
          <w:sz w:val="18"/>
        </w:rPr>
        <w:t xml:space="preserve">    -&gt; OutputVerifier</w:t>
      </w:r>
    </w:p>
    <w:p>
      <w:pPr>
        <w:spacing w:after="0"/>
        <w:ind w:left="432"/>
      </w:pPr>
      <w:r>
        <w:rPr>
          <w:rFonts w:ascii="Consolas" w:hAnsi="Consolas"/>
          <w:color w:val="222222"/>
          <w:sz w:val="18"/>
        </w:rPr>
        <w:t xml:space="preserve">    -&gt; VerificationReport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AuditExporter consumes: ReviewSession, candidate/evidence data,</w:t>
      </w:r>
    </w:p>
    <w:p>
      <w:pPr>
        <w:spacing w:after="0"/>
        <w:ind w:left="432"/>
      </w:pPr>
      <w:r>
        <w:rPr>
          <w:rFonts w:ascii="Consolas" w:hAnsi="Consolas"/>
          <w:color w:val="222222"/>
          <w:sz w:val="18"/>
        </w:rPr>
        <w:t>processing metadata, VerificationReport</w:t>
      </w:r>
    </w:p>
    <w:p>
      <w:pPr>
        <w:spacing w:after="120"/>
      </w:pPr>
    </w:p>
    <w:p>
      <w:r>
        <w:rPr>
          <w:b w:val="0"/>
          <w:i w:val="0"/>
        </w:rPr>
        <w:t>AuditExporter may consume VerificationReport but does not depend on DocumentRebuilder internals. A higher-level application command may invoke all three, but they remain separate modules with a value object (VerificationReport) as the seam between them — replacing v0.1’s undefined dependency between AuditExporter and DocumentRebuilder.</w:t>
      </w:r>
    </w:p>
    <w:p>
      <w:r>
        <w:br w:type="page"/>
      </w:r>
    </w:p>
    <w:p>
      <w:pPr>
        <w:pStyle w:val="Heading1"/>
      </w:pPr>
      <w:r>
        <w:t>11. Privacy and Cloud Trust Boundary</w:t>
      </w:r>
    </w:p>
    <w:p>
      <w:r>
        <w:rPr>
          <w:b w:val="0"/>
          <w:i w:val="0"/>
        </w:rPr>
        <w:t>Cloud services may provide: authentication; licensing and entitlement; subscriptions and billing; account and organization management; application configuration; optional privacy-preserving telemetry. Cloud services must not ordinarily receive: source files; document text; candidates; occurrences; replacement values; review decisions; generated documents; audit contents.</w:t>
      </w:r>
    </w:p>
    <w:p>
      <w:pPr>
        <w:spacing w:before="40" w:after="40"/>
      </w:pPr>
      <w:r>
        <w:rPr>
          <w:b/>
          <w:color w:val="B05A00"/>
          <w:sz w:val="17"/>
        </w:rPr>
        <w:t>NEW IN v0.2</w:t>
      </w:r>
    </w:p>
    <w:p>
      <w:r>
        <w:rPr>
          <w:b w:val="0"/>
          <w:i w:val="0"/>
        </w:rPr>
        <w:t>Telemetry uses a closed, typed schema. Free-form object logging and arbitrary document-derived payloads are not permitted anywhere in the system — this is an architectural prohibition, not a coding-style guideline, because it is enforced by the shape of the TelemetryEvent type itself rather than by review discipline. Document content is explicitly prohibited from entering crash reports, breadcrumbs, logs, analytics, support tooling, and third-party SDK payloads. This replaces v0.1’s policy-only language in this section, which named the risk (accidental leakage in error reporting, analytics, logs, browser tracing, support tooling, third-party SDKs) but proposed no mechanism to prevent it.</w:t>
      </w:r>
    </w:p>
    <w:p>
      <w:r>
        <w:rPr>
          <w:b w:val="0"/>
          <w:i w:val="0"/>
        </w:rPr>
        <w:t>Potentially acceptable metadata: application version; entitlement status; coarse feature-use counts; crash information stripped of document content, validated against the closed telemetry schema.</w:t>
      </w:r>
    </w:p>
    <w:p>
      <w:pPr>
        <w:pStyle w:val="Heading1"/>
      </w:pPr>
      <w:r>
        <w:t>12. Conceptual Interfaces</w:t>
      </w:r>
    </w:p>
    <w:p>
      <w:pPr>
        <w:spacing w:before="40" w:after="40"/>
      </w:pPr>
      <w:r>
        <w:rPr>
          <w:b/>
          <w:color w:val="B05A00"/>
          <w:sz w:val="17"/>
        </w:rPr>
        <w:t>CHANGED IN v0.2</w:t>
      </w:r>
    </w:p>
    <w:p>
      <w:r>
        <w:rPr>
          <w:b w:val="0"/>
          <w:i w:val="0"/>
        </w:rPr>
        <w:t>Deterministic domain interfaces are synchronous. Async signatures are reserved for components with a genuine I/O boundary today (file reads, IndexedDB/OPFS, Blob generation) rather than applied uniformly for consistency — this was an open question in v0.1 (ADR-011 was listed Open while §12 already assumed async-everywhere); v0.2 resolves the inconsistency by not pre-deciding it. If the OOXML spike (§14) shows a genuine need for worker-thread execution, the async boundary moves to wrap these calls rather than threading Promises through every layer.</w:t>
      </w:r>
    </w:p>
    <w:p>
      <w:pPr>
        <w:spacing w:after="0"/>
        <w:ind w:left="432"/>
      </w:pPr>
      <w:r>
        <w:rPr>
          <w:rFonts w:ascii="Consolas" w:hAnsi="Consolas"/>
          <w:color w:val="222222"/>
          <w:sz w:val="18"/>
        </w:rPr>
        <w:t>interface DocumentParser {</w:t>
      </w:r>
    </w:p>
    <w:p>
      <w:pPr>
        <w:spacing w:after="0"/>
        <w:ind w:left="432"/>
      </w:pPr>
      <w:r>
        <w:rPr>
          <w:rFonts w:ascii="Consolas" w:hAnsi="Consolas"/>
          <w:color w:val="222222"/>
          <w:sz w:val="18"/>
        </w:rPr>
        <w:t xml:space="preserve">  parse(file: File): Promise&lt;DocumentModel&gt;;  // genuine I/O boundary</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DetectionEngine {</w:t>
      </w:r>
    </w:p>
    <w:p>
      <w:pPr>
        <w:spacing w:after="0"/>
        <w:ind w:left="432"/>
      </w:pPr>
      <w:r>
        <w:rPr>
          <w:rFonts w:ascii="Consolas" w:hAnsi="Consolas"/>
          <w:color w:val="222222"/>
          <w:sz w:val="18"/>
        </w:rPr>
        <w:t xml:space="preserve">  detect(document: DocumentModel): DetectionResult;  // synchronous, pure</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CandidateQualityEngine {</w:t>
      </w:r>
    </w:p>
    <w:p>
      <w:pPr>
        <w:spacing w:after="0"/>
        <w:ind w:left="432"/>
      </w:pPr>
      <w:r>
        <w:rPr>
          <w:rFonts w:ascii="Consolas" w:hAnsi="Consolas"/>
          <w:color w:val="222222"/>
          <w:sz w:val="18"/>
        </w:rPr>
        <w:t xml:space="preserve">  evaluate(input: DetectionResult, profile: ScoringProfileSnapshot): QualityResult;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Evidence {</w:t>
      </w:r>
    </w:p>
    <w:p>
      <w:pPr>
        <w:spacing w:after="0"/>
        <w:ind w:left="432"/>
      </w:pPr>
      <w:r>
        <w:rPr>
          <w:rFonts w:ascii="Consolas" w:hAnsi="Consolas"/>
          <w:color w:val="222222"/>
          <w:sz w:val="18"/>
        </w:rPr>
        <w:t xml:space="preserve">  id: string;</w:t>
      </w:r>
    </w:p>
    <w:p>
      <w:pPr>
        <w:spacing w:after="0"/>
        <w:ind w:left="432"/>
      </w:pPr>
      <w:r>
        <w:rPr>
          <w:rFonts w:ascii="Consolas" w:hAnsi="Consolas"/>
          <w:color w:val="222222"/>
          <w:sz w:val="18"/>
        </w:rPr>
        <w:t xml:space="preserve">  kind: "positive" | "neutral" | "negative";</w:t>
      </w:r>
    </w:p>
    <w:p>
      <w:pPr>
        <w:spacing w:after="0"/>
        <w:ind w:left="432"/>
      </w:pPr>
      <w:r>
        <w:rPr>
          <w:rFonts w:ascii="Consolas" w:hAnsi="Consolas"/>
          <w:color w:val="222222"/>
          <w:sz w:val="18"/>
        </w:rPr>
        <w:t xml:space="preserve">  category: string;       // e.g. "known-name-structure", "nearby-title"</w:t>
      </w:r>
    </w:p>
    <w:p>
      <w:pPr>
        <w:spacing w:after="0"/>
        <w:ind w:left="432"/>
      </w:pPr>
      <w:r>
        <w:rPr>
          <w:rFonts w:ascii="Consolas" w:hAnsi="Consolas"/>
          <w:color w:val="222222"/>
          <w:sz w:val="18"/>
        </w:rPr>
        <w:t xml:space="preserve">  weight: number;</w:t>
      </w:r>
    </w:p>
    <w:p>
      <w:pPr>
        <w:spacing w:after="0"/>
        <w:ind w:left="432"/>
      </w:pPr>
      <w:r>
        <w:rPr>
          <w:rFonts w:ascii="Consolas" w:hAnsi="Consolas"/>
          <w:color w:val="222222"/>
          <w:sz w:val="18"/>
        </w:rPr>
        <w:t xml:space="preserve">  source: string;         // detector or rule that produced it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QualityResult {</w:t>
      </w:r>
    </w:p>
    <w:p>
      <w:pPr>
        <w:spacing w:after="0"/>
        <w:ind w:left="432"/>
      </w:pPr>
      <w:r>
        <w:rPr>
          <w:rFonts w:ascii="Consolas" w:hAnsi="Consolas"/>
          <w:color w:val="222222"/>
          <w:sz w:val="18"/>
        </w:rPr>
        <w:t xml:space="preserve">  evidenceByCandidate: Map&lt;string, Evidence[]&gt;;</w:t>
      </w:r>
    </w:p>
    <w:p>
      <w:pPr>
        <w:spacing w:after="0"/>
        <w:ind w:left="432"/>
      </w:pPr>
      <w:r>
        <w:rPr>
          <w:rFonts w:ascii="Consolas" w:hAnsi="Consolas"/>
          <w:color w:val="222222"/>
          <w:sz w:val="18"/>
        </w:rPr>
        <w:t xml:space="preserve">  scoreByCandidate: Map&lt;string, number&gt;;</w:t>
      </w:r>
    </w:p>
    <w:p>
      <w:pPr>
        <w:spacing w:after="0"/>
        <w:ind w:left="432"/>
      </w:pPr>
      <w:r>
        <w:rPr>
          <w:rFonts w:ascii="Consolas" w:hAnsi="Consolas"/>
          <w:color w:val="222222"/>
          <w:sz w:val="18"/>
        </w:rPr>
        <w:t xml:space="preserve">  recommendationByCandidate: Map&lt;string, "ToReview" | "Unlikely"&gt;;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ExplanationEngine {</w:t>
      </w:r>
    </w:p>
    <w:p>
      <w:pPr>
        <w:spacing w:after="0"/>
        <w:ind w:left="432"/>
      </w:pPr>
      <w:r>
        <w:rPr>
          <w:rFonts w:ascii="Consolas" w:hAnsi="Consolas"/>
          <w:color w:val="222222"/>
          <w:sz w:val="18"/>
        </w:rPr>
        <w:t xml:space="preserve">  explain(evidence: Evidence[], view: "standard" | "expert"): Explanation;  // synchronous</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EntityResolutionEngine {</w:t>
      </w:r>
    </w:p>
    <w:p>
      <w:pPr>
        <w:spacing w:after="0"/>
        <w:ind w:left="432"/>
      </w:pPr>
      <w:r>
        <w:rPr>
          <w:rFonts w:ascii="Consolas" w:hAnsi="Consolas"/>
          <w:color w:val="222222"/>
          <w:sz w:val="18"/>
        </w:rPr>
        <w:t xml:space="preserve">  propose(input: QualityResult): GroupingResult;  // synchronous, pure</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OccurrenceClassifier {</w:t>
      </w:r>
    </w:p>
    <w:p>
      <w:pPr>
        <w:spacing w:after="0"/>
        <w:ind w:left="432"/>
      </w:pPr>
      <w:r>
        <w:rPr>
          <w:rFonts w:ascii="Consolas" w:hAnsi="Consolas"/>
          <w:color w:val="222222"/>
          <w:sz w:val="18"/>
        </w:rPr>
        <w:t xml:space="preserve">  classify(occurrences: Occurrence[]): OccurrenceGroup[];  // synchronous, pure</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ReviewEngine {</w:t>
      </w:r>
    </w:p>
    <w:p>
      <w:pPr>
        <w:spacing w:after="0"/>
        <w:ind w:left="432"/>
      </w:pPr>
      <w:r>
        <w:rPr>
          <w:rFonts w:ascii="Consolas" w:hAnsi="Consolas"/>
          <w:color w:val="222222"/>
          <w:sz w:val="18"/>
        </w:rPr>
        <w:t xml:space="preserve">  getState(): ReviewSession;</w:t>
      </w:r>
    </w:p>
    <w:p>
      <w:pPr>
        <w:spacing w:after="0"/>
        <w:ind w:left="432"/>
      </w:pPr>
      <w:r>
        <w:rPr>
          <w:rFonts w:ascii="Consolas" w:hAnsi="Consolas"/>
          <w:color w:val="222222"/>
          <w:sz w:val="18"/>
        </w:rPr>
        <w:t xml:space="preserve">  dispatch(command: ReviewCommand): ReviewTransactionResult;  // synchronous core;</w:t>
      </w:r>
    </w:p>
    <w:p>
      <w:pPr>
        <w:spacing w:after="0"/>
        <w:ind w:left="432"/>
      </w:pPr>
      <w:r>
        <w:rPr>
          <w:rFonts w:ascii="Consolas" w:hAnsi="Consolas"/>
          <w:color w:val="222222"/>
          <w:sz w:val="18"/>
        </w:rPr>
        <w:t xml:space="preserve">                                                              // persistence side-effect is async</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FocusNavigator {</w:t>
      </w:r>
    </w:p>
    <w:p>
      <w:pPr>
        <w:spacing w:after="0"/>
        <w:ind w:left="432"/>
      </w:pPr>
      <w:r>
        <w:rPr>
          <w:rFonts w:ascii="Consolas" w:hAnsi="Consolas"/>
          <w:color w:val="222222"/>
          <w:sz w:val="18"/>
        </w:rPr>
        <w:t xml:space="preserve">  getFocus(): FocusState;</w:t>
      </w:r>
    </w:p>
    <w:p>
      <w:pPr>
        <w:spacing w:after="0"/>
        <w:ind w:left="432"/>
      </w:pPr>
      <w:r>
        <w:rPr>
          <w:rFonts w:ascii="Consolas" w:hAnsi="Consolas"/>
          <w:color w:val="222222"/>
          <w:sz w:val="18"/>
        </w:rPr>
        <w:t xml:space="preserve">  dispatch(command: NavigationCommand): FocusState;  // synchronous</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CommandDispatcher {</w:t>
      </w:r>
    </w:p>
    <w:p>
      <w:pPr>
        <w:spacing w:after="0"/>
        <w:ind w:left="432"/>
      </w:pPr>
      <w:r>
        <w:rPr>
          <w:rFonts w:ascii="Consolas" w:hAnsi="Consolas"/>
          <w:color w:val="222222"/>
          <w:sz w:val="18"/>
        </w:rPr>
        <w:t xml:space="preserve">  dispatchReview(command: ReviewCommand): ReviewTransactionResult;</w:t>
      </w:r>
    </w:p>
    <w:p>
      <w:pPr>
        <w:spacing w:after="0"/>
        <w:ind w:left="432"/>
      </w:pPr>
      <w:r>
        <w:rPr>
          <w:rFonts w:ascii="Consolas" w:hAnsi="Consolas"/>
          <w:color w:val="222222"/>
          <w:sz w:val="18"/>
        </w:rPr>
        <w:t xml:space="preserve">  dispatchNavigation(command: NavigationCommand): FocusState;</w:t>
      </w:r>
    </w:p>
    <w:p>
      <w:pPr>
        <w:spacing w:after="0"/>
        <w:ind w:left="432"/>
      </w:pPr>
      <w:r>
        <w:rPr>
          <w:rFonts w:ascii="Consolas" w:hAnsi="Consolas"/>
          <w:color w:val="222222"/>
          <w:sz w:val="18"/>
        </w:rPr>
        <w:t xml:space="preserve">  dispatchApplication(command: ApplicationCommand): Promise&lt;CommandResult&gt;;  // may involve I/O</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LocalSessionRepository {</w:t>
      </w:r>
    </w:p>
    <w:p>
      <w:pPr>
        <w:spacing w:after="0"/>
        <w:ind w:left="432"/>
      </w:pPr>
      <w:r>
        <w:rPr>
          <w:rFonts w:ascii="Consolas" w:hAnsi="Consolas"/>
          <w:color w:val="222222"/>
          <w:sz w:val="18"/>
        </w:rPr>
        <w:t xml:space="preserve">  save(session: ReviewSession): Promise&lt;void&gt;;</w:t>
      </w:r>
    </w:p>
    <w:p>
      <w:pPr>
        <w:spacing w:after="0"/>
        <w:ind w:left="432"/>
      </w:pPr>
      <w:r>
        <w:rPr>
          <w:rFonts w:ascii="Consolas" w:hAnsi="Consolas"/>
          <w:color w:val="222222"/>
          <w:sz w:val="18"/>
        </w:rPr>
        <w:t xml:space="preserve">  load(sessionId: string): Promise&lt;ReviewSession | null&gt;;</w:t>
      </w:r>
    </w:p>
    <w:p>
      <w:pPr>
        <w:spacing w:after="0"/>
        <w:ind w:left="432"/>
      </w:pPr>
      <w:r>
        <w:rPr>
          <w:rFonts w:ascii="Consolas" w:hAnsi="Consolas"/>
          <w:color w:val="222222"/>
          <w:sz w:val="18"/>
        </w:rPr>
        <w:t xml:space="preserve">  delete(sessionId: string): Promise&lt;void&gt;;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DocumentRebuilder {</w:t>
      </w:r>
    </w:p>
    <w:p>
      <w:pPr>
        <w:spacing w:after="0"/>
        <w:ind w:left="432"/>
      </w:pPr>
      <w:r>
        <w:rPr>
          <w:rFonts w:ascii="Consolas" w:hAnsi="Consolas"/>
          <w:color w:val="222222"/>
          <w:sz w:val="18"/>
        </w:rPr>
        <w:t xml:space="preserve">  rebuild(document: DocumentModel, session: ReviewSession): Promise&lt;Blob&gt;;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OutputVerifier {</w:t>
      </w:r>
    </w:p>
    <w:p>
      <w:pPr>
        <w:spacing w:after="0"/>
        <w:ind w:left="432"/>
      </w:pPr>
      <w:r>
        <w:rPr>
          <w:rFonts w:ascii="Consolas" w:hAnsi="Consolas"/>
          <w:color w:val="222222"/>
          <w:sz w:val="18"/>
        </w:rPr>
        <w:t xml:space="preserve">  verify(original: DocumentModel, rebuilt: Blob): Promise&lt;VerificationReport&gt;;</w:t>
      </w:r>
    </w:p>
    <w:p>
      <w:pPr>
        <w:spacing w:after="0"/>
        <w:ind w:left="432"/>
      </w:pPr>
      <w:r>
        <w:rPr>
          <w:rFonts w:ascii="Consolas" w:hAnsi="Consolas"/>
          <w:color w:val="222222"/>
          <w:sz w:val="18"/>
        </w:rPr>
        <w:t>}</w:t>
      </w:r>
    </w:p>
    <w:p>
      <w:pPr>
        <w:spacing w:after="0"/>
        <w:ind w:left="432"/>
      </w:pPr>
      <w:r>
        <w:rPr>
          <w:rFonts w:ascii="Consolas" w:hAnsi="Consolas"/>
          <w:color w:val="222222"/>
          <w:sz w:val="18"/>
        </w:rPr>
        <w:t xml:space="preserve"> </w:t>
      </w:r>
    </w:p>
    <w:p>
      <w:pPr>
        <w:spacing w:after="0"/>
        <w:ind w:left="432"/>
      </w:pPr>
      <w:r>
        <w:rPr>
          <w:rFonts w:ascii="Consolas" w:hAnsi="Consolas"/>
          <w:color w:val="222222"/>
          <w:sz w:val="18"/>
        </w:rPr>
        <w:t>interface AuditExporter {</w:t>
      </w:r>
    </w:p>
    <w:p>
      <w:pPr>
        <w:spacing w:after="0"/>
        <w:ind w:left="432"/>
      </w:pPr>
      <w:r>
        <w:rPr>
          <w:rFonts w:ascii="Consolas" w:hAnsi="Consolas"/>
          <w:color w:val="222222"/>
          <w:sz w:val="18"/>
        </w:rPr>
        <w:t xml:space="preserve">  export(document: DocumentModel, session: ReviewSession,</w:t>
      </w:r>
    </w:p>
    <w:p>
      <w:pPr>
        <w:spacing w:after="0"/>
        <w:ind w:left="432"/>
      </w:pPr>
      <w:r>
        <w:rPr>
          <w:rFonts w:ascii="Consolas" w:hAnsi="Consolas"/>
          <w:color w:val="222222"/>
          <w:sz w:val="18"/>
        </w:rPr>
        <w:t xml:space="preserve">         verification: VerificationReport): Promise&lt;AuditArtifacts&gt;;</w:t>
      </w:r>
    </w:p>
    <w:p>
      <w:pPr>
        <w:spacing w:after="0"/>
        <w:ind w:left="432"/>
      </w:pPr>
      <w:r>
        <w:rPr>
          <w:rFonts w:ascii="Consolas" w:hAnsi="Consolas"/>
          <w:color w:val="222222"/>
          <w:sz w:val="18"/>
        </w:rPr>
        <w:t>}</w:t>
      </w:r>
    </w:p>
    <w:p>
      <w:pPr>
        <w:spacing w:after="120"/>
      </w:pPr>
    </w:p>
    <w:p>
      <w:r>
        <w:br w:type="page"/>
      </w:r>
    </w:p>
    <w:p>
      <w:pPr>
        <w:pStyle w:val="Heading1"/>
      </w:pPr>
      <w:r>
        <w:t>13. Golden Fixtures and Migration Parity</w:t>
      </w:r>
    </w:p>
    <w:p>
      <w:pPr>
        <w:spacing w:before="40" w:after="40"/>
      </w:pPr>
      <w:r>
        <w:rPr>
          <w:b/>
          <w:color w:val="B05A00"/>
          <w:sz w:val="17"/>
        </w:rPr>
        <w:t>CHANGED IN v0.2</w:t>
      </w:r>
    </w:p>
    <w:p>
      <w:r>
        <w:rPr>
          <w:b w:val="0"/>
          <w:i w:val="0"/>
        </w:rPr>
        <w:t>v0.1 defined one parity list. v0.2 separates fixtures into three named families, because they exercise different layers, carry different stakes, and were previously conflated in a way that left interaction and performance risk named in §15 with no corresponding test requirement in §13.</w:t>
      </w:r>
    </w:p>
    <w:p>
      <w:pPr>
        <w:pStyle w:val="Heading2"/>
      </w:pPr>
      <w:r>
        <w:t>13.1 Domain Parity Fixtures</w:t>
      </w:r>
    </w:p>
    <w:p>
      <w:pPr>
        <w:pStyle w:val="ListBullet"/>
        <w:spacing w:after="80"/>
      </w:pPr>
      <w:r>
        <w:t>extracted text and block order</w:t>
      </w:r>
    </w:p>
    <w:p>
      <w:pPr>
        <w:pStyle w:val="ListBullet"/>
        <w:spacing w:after="80"/>
      </w:pPr>
      <w:r>
        <w:t>candidate values and types</w:t>
      </w:r>
    </w:p>
    <w:p>
      <w:pPr>
        <w:pStyle w:val="ListBullet"/>
        <w:spacing w:after="80"/>
      </w:pPr>
      <w:r>
        <w:t>occurrence locations</w:t>
      </w:r>
    </w:p>
    <w:p>
      <w:pPr>
        <w:pStyle w:val="ListBullet"/>
        <w:spacing w:after="80"/>
      </w:pPr>
      <w:r>
        <w:t>evidence IDs</w:t>
      </w:r>
    </w:p>
    <w:p>
      <w:pPr>
        <w:pStyle w:val="ListBullet"/>
        <w:spacing w:after="80"/>
      </w:pPr>
      <w:r>
        <w:t>quality scores</w:t>
      </w:r>
    </w:p>
    <w:p>
      <w:pPr>
        <w:pStyle w:val="ListBullet"/>
        <w:spacing w:after="80"/>
      </w:pPr>
      <w:r>
        <w:t>recommendations</w:t>
      </w:r>
    </w:p>
    <w:p>
      <w:pPr>
        <w:pStyle w:val="ListBullet"/>
        <w:spacing w:after="80"/>
      </w:pPr>
      <w:r>
        <w:t>ambiguity proposals</w:t>
      </w:r>
    </w:p>
    <w:p>
      <w:pPr>
        <w:pStyle w:val="ListBullet"/>
        <w:spacing w:after="80"/>
      </w:pPr>
      <w:r>
        <w:t>entity-resolution proposals</w:t>
      </w:r>
    </w:p>
    <w:p>
      <w:pPr>
        <w:pStyle w:val="ListBullet"/>
        <w:spacing w:after="80"/>
      </w:pPr>
      <w:r>
        <w:t>occurrence classification buckets</w:t>
      </w:r>
    </w:p>
    <w:p>
      <w:pPr>
        <w:pStyle w:val="ListBullet"/>
        <w:spacing w:after="80"/>
      </w:pPr>
      <w:r>
        <w:t>replacement assignments</w:t>
      </w:r>
    </w:p>
    <w:p>
      <w:pPr>
        <w:pStyle w:val="ListBullet"/>
        <w:spacing w:after="80"/>
      </w:pPr>
      <w:r>
        <w:t>review state transitions (including Not Quite entry/apply/completion)</w:t>
      </w:r>
    </w:p>
    <w:p>
      <w:pPr>
        <w:pStyle w:val="ListBullet"/>
        <w:spacing w:after="80"/>
      </w:pPr>
      <w:r>
        <w:t>exported CSV and JSON</w:t>
      </w:r>
    </w:p>
    <w:p>
      <w:pPr>
        <w:pStyle w:val="ListBullet"/>
        <w:spacing w:after="80"/>
      </w:pPr>
      <w:r>
        <w:t>final DOCX behavior</w:t>
      </w:r>
    </w:p>
    <w:p>
      <w:pPr>
        <w:pStyle w:val="ListBullet"/>
        <w:spacing w:after="80"/>
      </w:pPr>
      <w:r>
        <w:t>verification report results</w:t>
      </w:r>
    </w:p>
    <w:p>
      <w:pPr>
        <w:pStyle w:val="Heading2"/>
      </w:pPr>
      <w:r>
        <w:t>13.2 Interaction Fixtures</w:t>
      </w:r>
    </w:p>
    <w:p>
      <w:pPr>
        <w:spacing w:before="40" w:after="40"/>
      </w:pPr>
      <w:r>
        <w:rPr>
          <w:b/>
          <w:color w:val="B05A00"/>
          <w:sz w:val="17"/>
        </w:rPr>
        <w:t>NEW IN v0.2</w:t>
      </w:r>
    </w:p>
    <w:p>
      <w:pPr>
        <w:pStyle w:val="ListBullet"/>
        <w:spacing w:after="80"/>
      </w:pPr>
      <w:r>
        <w:t>result navigation</w:t>
      </w:r>
    </w:p>
    <w:p>
      <w:pPr>
        <w:pStyle w:val="ListBullet"/>
        <w:spacing w:after="80"/>
      </w:pPr>
      <w:r>
        <w:t>category navigation</w:t>
      </w:r>
    </w:p>
    <w:p>
      <w:pPr>
        <w:pStyle w:val="ListBullet"/>
        <w:spacing w:after="80"/>
      </w:pPr>
      <w:r>
        <w:t>control navigation</w:t>
      </w:r>
    </w:p>
    <w:p>
      <w:pPr>
        <w:pStyle w:val="ListBullet"/>
        <w:spacing w:after="80"/>
      </w:pPr>
      <w:r>
        <w:t>radio focus without selection</w:t>
      </w:r>
    </w:p>
    <w:p>
      <w:pPr>
        <w:pStyle w:val="ListBullet"/>
        <w:spacing w:after="80"/>
      </w:pPr>
      <w:r>
        <w:t>Down-arrow movement from radio options to the input below</w:t>
      </w:r>
    </w:p>
    <w:p>
      <w:pPr>
        <w:pStyle w:val="ListBullet"/>
        <w:spacing w:after="80"/>
      </w:pPr>
      <w:r>
        <w:t>text-field caret ownership (arrow keys inside an open field move the caret, not the FocusNavigator selection)</w:t>
      </w:r>
    </w:p>
    <w:p>
      <w:pPr>
        <w:pStyle w:val="ListBullet"/>
        <w:spacing w:after="80"/>
      </w:pPr>
      <w:r>
        <w:t>Tab and Shift+Tab exit behavior</w:t>
      </w:r>
    </w:p>
    <w:p>
      <w:pPr>
        <w:pStyle w:val="ListBullet"/>
        <w:spacing w:after="80"/>
      </w:pPr>
      <w:r>
        <w:t>detail-mode entry and exit</w:t>
      </w:r>
    </w:p>
    <w:p>
      <w:pPr>
        <w:pStyle w:val="ListBullet"/>
        <w:spacing w:after="80"/>
      </w:pPr>
      <w:r>
        <w:t>Not Quite behavior (entry, per-member action, completion, exit, draft persistence across refresh)</w:t>
      </w:r>
    </w:p>
    <w:p>
      <w:pPr>
        <w:pStyle w:val="ListBullet"/>
        <w:spacing w:after="80"/>
      </w:pPr>
      <w:r>
        <w:t>next-unreviewed behavior</w:t>
      </w:r>
    </w:p>
    <w:p>
      <w:pPr>
        <w:pStyle w:val="ListBullet"/>
        <w:spacing w:after="80"/>
      </w:pPr>
      <w:r>
        <w:t>focus restoration after rerender</w:t>
      </w:r>
    </w:p>
    <w:p>
      <w:pPr>
        <w:pStyle w:val="ListBullet"/>
        <w:spacing w:after="80"/>
      </w:pPr>
      <w:r>
        <w:t>focus behavior when controls become hidden or disabled</w:t>
      </w:r>
    </w:p>
    <w:p>
      <w:r>
        <w:rPr>
          <w:b w:val="0"/>
          <w:i w:val="0"/>
        </w:rPr>
        <w:t>This family exists because §15.3 (Implementation Risks) named "keyboard and focus regressions" as a risk with no matching parity requirement in v0.1 — an omission the ARB review flagged directly. redactor/review_queue.py already contains headless, tested logic covering much of this; fixtures should be derived from its existing test cases rather than written from scratch.</w:t>
      </w:r>
    </w:p>
    <w:p>
      <w:pPr>
        <w:pStyle w:val="Heading2"/>
      </w:pPr>
      <w:r>
        <w:t>13.3 Performance Fixtures</w:t>
      </w:r>
    </w:p>
    <w:p>
      <w:pPr>
        <w:spacing w:before="40" w:after="40"/>
      </w:pPr>
      <w:r>
        <w:rPr>
          <w:b/>
          <w:color w:val="B05A00"/>
          <w:sz w:val="17"/>
        </w:rPr>
        <w:t>NEW IN v0.2</w:t>
      </w:r>
    </w:p>
    <w:p>
      <w:pPr>
        <w:pStyle w:val="ListBullet"/>
        <w:spacing w:after="80"/>
      </w:pPr>
      <w:r>
        <w:t>parse time for representative document sizes</w:t>
      </w:r>
    </w:p>
    <w:p>
      <w:pPr>
        <w:pStyle w:val="ListBullet"/>
        <w:spacing w:after="80"/>
      </w:pPr>
      <w:r>
        <w:t>detection time</w:t>
      </w:r>
    </w:p>
    <w:p>
      <w:pPr>
        <w:pStyle w:val="ListBullet"/>
        <w:spacing w:after="80"/>
      </w:pPr>
      <w:r>
        <w:t>review rendering time (large candidate lists)</w:t>
      </w:r>
    </w:p>
    <w:p>
      <w:pPr>
        <w:pStyle w:val="ListBullet"/>
        <w:spacing w:after="80"/>
      </w:pPr>
      <w:r>
        <w:t>memory use during a large-document session</w:t>
      </w:r>
    </w:p>
    <w:p>
      <w:pPr>
        <w:pStyle w:val="ListBullet"/>
        <w:spacing w:after="80"/>
      </w:pPr>
      <w:r>
        <w:t>persistence write/read latency (autosave cadence under load)</w:t>
      </w:r>
    </w:p>
    <w:p>
      <w:pPr>
        <w:pStyle w:val="ListBullet"/>
        <w:spacing w:after="80"/>
      </w:pPr>
      <w:r>
        <w:t>document rebuilding time</w:t>
      </w:r>
    </w:p>
    <w:p>
      <w:pPr>
        <w:pStyle w:val="ListBullet"/>
        <w:spacing w:after="80"/>
      </w:pPr>
      <w:r>
        <w:t>verification/rescan time</w:t>
      </w:r>
    </w:p>
    <w:p>
      <w:r>
        <w:rPr>
          <w:b w:val="0"/>
          <w:i w:val="0"/>
        </w:rPr>
        <w:t>Representative document sizes and acceptance budgets must be defined explicitly (e.g., small: under 10 pages / 50 candidates; medium: 10–50 pages / 500 candidates; large: 50+ pages / 2,000+ candidates, or whatever bands match real registrar documents) rather than left as a vague "large document" criterion, which is what §15.2 left unresolved in v0.1.</w:t>
      </w:r>
    </w:p>
    <w:p>
      <w:r>
        <w:rPr>
          <w:b w:val="0"/>
          <w:i w:val="0"/>
        </w:rPr>
        <w:t>Exact parity may be impossible where implementation platforms differ (Python vs. JavaScript Unicode behavior, different DOCX traversal behavior, unstable offsets, formatting reconstruction, intentional product corrections). Intentional deviations must be approved and recorded rather than silently accepted.</w:t>
      </w:r>
    </w:p>
    <w:p>
      <w:pPr>
        <w:pStyle w:val="Heading1"/>
      </w:pPr>
      <w:r>
        <w:t>14. Migration Strategy</w:t>
      </w:r>
    </w:p>
    <w:p>
      <w:pPr>
        <w:spacing w:before="40" w:after="40"/>
      </w:pPr>
      <w:r>
        <w:rPr>
          <w:b/>
          <w:color w:val="B05A00"/>
          <w:sz w:val="17"/>
        </w:rPr>
        <w:t>CHANGED IN v0.2</w:t>
      </w:r>
    </w:p>
    <w:p>
      <w:r>
        <w:rPr>
          <w:b w:val="0"/>
          <w:i w:val="0"/>
        </w:rPr>
        <w:t>Resequenced from v0.1. The prior order built ReviewEngine and CommandDispatcher (then the riskiest, most load-bearing phase) before the browser OOXML parser/rebuilder proof-of-concept — meaning the durable review engine could be locked against a DocumentModel shape that the parser/rebuilder spike might later invalidate. v0.2 moves the OOXML feasibility spike earlier and adds interim acceptance gates instead of one final big-bang gate.</w:t>
      </w:r>
    </w:p>
    <w:p>
      <w:pPr>
        <w:pStyle w:val="ListNumber"/>
        <w:spacing w:after="80"/>
      </w:pPr>
      <w:r>
        <w:t>Capture Python behavior: schemas, golden fixtures (all three families, §13), fixture corpus, parity reports. Current Python app remains canonical.</w:t>
      </w:r>
    </w:p>
    <w:p>
      <w:pPr>
        <w:pStyle w:val="ListNumber"/>
        <w:spacing w:after="80"/>
      </w:pPr>
      <w:r>
        <w:t>Early DocumentParser / DocumentRebuilder technical spike: browser-local OOXML parse and rebuild against real fixture documents, focused specifically on run-splitting, headers/footers, tables, hyperlinks, and fidelity risk. This is the single largest named technical unknown and now runs before domain contracts are finalized. Gate: extracted blocks match fixture expectations; rebuilt output opens and preserves critical formatting; fidelity gaps are catalogued as hard blockers or warning-only.</w:t>
      </w:r>
    </w:p>
    <w:p>
      <w:pPr>
        <w:pStyle w:val="ListNumber"/>
        <w:spacing w:after="80"/>
      </w:pPr>
      <w:r>
        <w:t>Finalize DocumentModel and domain contracts using spike findings — TypeScript interfaces, schema versions, command vocabulary. Gate: contracts reviewed and stable enough for implementation.</w:t>
      </w:r>
    </w:p>
    <w:p>
      <w:pPr>
        <w:pStyle w:val="ListNumber"/>
        <w:spacing w:after="80"/>
      </w:pPr>
      <w:r>
        <w:t>Port deterministic domain logic: detection, quality, explanations, entity resolution, occurrence classification, replacement rules in TypeScript. Gate: outputs match fixtures or approved deviations.</w:t>
      </w:r>
    </w:p>
    <w:p>
      <w:pPr>
        <w:pStyle w:val="ListNumber"/>
        <w:spacing w:after="80"/>
      </w:pPr>
      <w:r>
        <w:t>Build the React review shell (AppShell and review components) against fixed fixture payloads. Gate: UI supports the workflow and keyboard model using fixtures; Python app remains operational as fallback.</w:t>
      </w:r>
    </w:p>
    <w:p>
      <w:pPr>
        <w:pStyle w:val="ListNumber"/>
        <w:spacing w:after="80"/>
      </w:pPr>
      <w:r>
        <w:t>Implement ReviewEngine, FocusNavigator, and CommandDispatcher: reducer-style transitions, namespaced commands, undo-ready transactions, Not Quite sub-state. Gate: decisions are durable and testable; scope restricted to core actions first.</w:t>
      </w:r>
    </w:p>
    <w:p>
      <w:pPr>
        <w:pStyle w:val="ListNumber"/>
        <w:spacing w:after="80"/>
      </w:pPr>
      <w:r>
        <w:t>Productionize browser DocumentParser and DocumentRebuilder from the Phase 2 spike. Gate: output opens and preserves critical formatting against the full fixture corpus; Python writer remains fallback.</w:t>
      </w:r>
    </w:p>
    <w:p>
      <w:pPr>
        <w:pStyle w:val="ListNumber"/>
        <w:spacing w:after="80"/>
      </w:pPr>
      <w:r>
        <w:t>INTERIM GATE — parser/rebuilder and domain parity acceptance. Full domain-parity fixture pass before proceeding.</w:t>
      </w:r>
    </w:p>
    <w:p>
      <w:pPr>
        <w:pStyle w:val="ListNumber"/>
        <w:spacing w:after="80"/>
      </w:pPr>
      <w:r>
        <w:t>Local persistence: IndexedDB/OPFS repository, recovery tests, Not Quite draft autosave, quota-warning UX. Gate: refresh/crash recovery works, including mid-Not-Quite-edit recovery.</w:t>
      </w:r>
    </w:p>
    <w:p>
      <w:pPr>
        <w:pStyle w:val="ListNumber"/>
        <w:spacing w:after="80"/>
      </w:pPr>
      <w:r>
        <w:t>Audit export and output verification: OutputVerifier, AuditExporter, CSV/JSON/QA/audit artifacts in browser. Gate: audit outputs match expected schema; Python audit remains reference.</w:t>
      </w:r>
    </w:p>
    <w:p>
      <w:pPr>
        <w:pStyle w:val="ListNumber"/>
        <w:spacing w:after="80"/>
      </w:pPr>
      <w:r>
        <w:t>INTERIM GATE — output and audit parity acceptance.</w:t>
      </w:r>
    </w:p>
    <w:p>
      <w:pPr>
        <w:pStyle w:val="ListNumber"/>
        <w:spacing w:after="80"/>
      </w:pPr>
      <w:r>
        <w:t>Cloud auth/licensing: account, entitlement, subscription shell, closed telemetry schema. Gate: no document content crosses the boundary; telemetry schema enforced, not just documented.</w:t>
      </w:r>
    </w:p>
    <w:p>
      <w:pPr>
        <w:pStyle w:val="ListNumber"/>
        <w:spacing w:after="80"/>
      </w:pPr>
      <w:r>
        <w:t>Side-by-side acceptance: full parity and UX acceptance gates across all three fixture families. Gate: browser app passes defined gates; continue Python MVP until resolved.</w:t>
      </w:r>
    </w:p>
    <w:p>
      <w:r>
        <w:rPr>
          <w:b w:val="0"/>
          <w:i w:val="0"/>
        </w:rPr>
        <w:t>Each phase retains an explicit fallback position (Python app remains canonical / Python module remains oracle / current local UI remains operational / etc.) — this was the strongest feature of the v0.1 plan and is preserved unchanged.</w:t>
      </w:r>
    </w:p>
    <w:p>
      <w:r>
        <w:br w:type="page"/>
      </w:r>
    </w:p>
    <w:p>
      <w:pPr>
        <w:pStyle w:val="Heading1"/>
      </w:pPr>
      <w:r>
        <w:t>15. Risks</w:t>
      </w:r>
    </w:p>
    <w:p>
      <w:pPr>
        <w:pStyle w:val="Heading2"/>
      </w:pPr>
      <w:r>
        <w:t>15.1 Architecture Risks</w:t>
      </w:r>
    </w:p>
    <w:p>
      <w:pPr>
        <w:pStyle w:val="ListBullet"/>
        <w:spacing w:after="80"/>
      </w:pPr>
      <w:r>
        <w:t>Durable review state may remain coupled to UI state if ReviewEngine is not established early.</w:t>
      </w:r>
    </w:p>
    <w:p>
      <w:pPr>
        <w:pStyle w:val="ListBullet"/>
        <w:spacing w:after="80"/>
      </w:pPr>
      <w:r>
        <w:t>CommandDispatcher may become too broad if it owns domain behavior instead of routing commands — mitigated in v0.2 by namespaced command families (§9), but still requires discipline as new domains are added.</w:t>
      </w:r>
    </w:p>
    <w:p>
      <w:pPr>
        <w:pStyle w:val="ListBullet"/>
        <w:spacing w:after="80"/>
      </w:pPr>
      <w:r>
        <w:t>DocumentModel may leak OOXML details into detectors if boundaries are weak.</w:t>
      </w:r>
    </w:p>
    <w:p>
      <w:pPr>
        <w:pStyle w:val="ListBullet"/>
        <w:spacing w:after="80"/>
      </w:pPr>
      <w:r>
        <w:t>Cloud services may introduce accidental telemetry leakage — mitigated in v0.2 by a closed telemetry schema (§11), which reduces but does not eliminate this risk; a schema can still be widened carelessly over time.</w:t>
      </w:r>
    </w:p>
    <w:p>
      <w:pPr>
        <w:pStyle w:val="Heading2"/>
      </w:pPr>
      <w:r>
        <w:t>15.2 Proof-of-Concept Risks</w:t>
      </w:r>
    </w:p>
    <w:p>
      <w:pPr>
        <w:pStyle w:val="ListBullet"/>
        <w:spacing w:after="80"/>
      </w:pPr>
      <w:r>
        <w:t>OOXML reconstruction fidelity may be insufficient in browser libraries — this is why the spike moved earlier in §14.</w:t>
      </w:r>
    </w:p>
    <w:p>
      <w:pPr>
        <w:pStyle w:val="ListBullet"/>
        <w:spacing w:after="80"/>
      </w:pPr>
      <w:r>
        <w:t>Text split across Word runs can make replacements difficult.</w:t>
      </w:r>
    </w:p>
    <w:p>
      <w:pPr>
        <w:pStyle w:val="ListBullet"/>
        <w:spacing w:after="80"/>
      </w:pPr>
      <w:r>
        <w:t>Headers, footers, tables, hyperlinks, and text boxes may require distinct source mappings.</w:t>
      </w:r>
    </w:p>
    <w:p>
      <w:pPr>
        <w:pStyle w:val="ListBullet"/>
        <w:spacing w:after="80"/>
      </w:pPr>
      <w:r>
        <w:t>Comments, fields, tracked changes, and protected documents may need explicit unsupported-feature handling.</w:t>
      </w:r>
    </w:p>
    <w:p>
      <w:pPr>
        <w:pStyle w:val="ListBullet"/>
        <w:spacing w:after="80"/>
      </w:pPr>
      <w:r>
        <w:t>Browser memory usage may be high for large documents — now covered by explicit performance fixtures (§13.3) rather than an unbounded risk statement.</w:t>
      </w:r>
    </w:p>
    <w:p>
      <w:pPr>
        <w:pStyle w:val="ListBullet"/>
        <w:spacing w:after="80"/>
      </w:pPr>
      <w:r>
        <w:t>Worker-thread architecture may be required earlier than expected — v0.2 no longer pre-commits to async-everywhere interfaces (§12), so this decision can still be made based on spike evidence without requiring an interface rewrite.</w:t>
      </w:r>
    </w:p>
    <w:p>
      <w:pPr>
        <w:pStyle w:val="Heading2"/>
      </w:pPr>
      <w:r>
        <w:t>15.3 Implementation Risks</w:t>
      </w:r>
    </w:p>
    <w:p>
      <w:pPr>
        <w:pStyle w:val="ListBullet"/>
        <w:spacing w:after="80"/>
      </w:pPr>
      <w:r>
        <w:t>Stable candidate and occurrence identifiers may change when parsing changes.</w:t>
      </w:r>
    </w:p>
    <w:p>
      <w:pPr>
        <w:pStyle w:val="ListBullet"/>
        <w:spacing w:after="80"/>
      </w:pPr>
      <w:r>
        <w:t>Schema versioning may lag behind real state changes.</w:t>
      </w:r>
    </w:p>
    <w:p>
      <w:pPr>
        <w:pStyle w:val="ListBullet"/>
        <w:spacing w:after="80"/>
      </w:pPr>
      <w:r>
        <w:t>Python and JavaScript normalization differences may change detection output.</w:t>
      </w:r>
    </w:p>
    <w:p>
      <w:pPr>
        <w:pStyle w:val="ListBullet"/>
        <w:spacing w:after="80"/>
      </w:pPr>
      <w:r>
        <w:t>Keyboard and focus regressions may frustrate sustained review — now covered by Interaction Fixtures (§13.2) and the FocusNavigator component (§6.9).</w:t>
      </w:r>
    </w:p>
    <w:p>
      <w:pPr>
        <w:pStyle w:val="ListBullet"/>
        <w:spacing w:after="80"/>
      </w:pPr>
      <w:r>
        <w:t>Browser storage quotas may interrupt long sessions — now covered by an explicit quota-warning UX contract (§8, §6.12) rather than a risk bullet alone.</w:t>
      </w:r>
    </w:p>
    <w:p>
      <w:pPr>
        <w:pStyle w:val="ListBullet"/>
        <w:spacing w:after="80"/>
      </w:pPr>
      <w:r>
        <w:t>Third-party dependency supply chain and privacy behavior must be vetted.</w:t>
      </w:r>
    </w:p>
    <w:p>
      <w:pPr>
        <w:pStyle w:val="Heading2"/>
      </w:pPr>
      <w:r>
        <w:t>15.4 Product-Policy Decisions</w:t>
      </w:r>
    </w:p>
    <w:p>
      <w:pPr>
        <w:pStyle w:val="ListBullet"/>
        <w:spacing w:after="80"/>
      </w:pPr>
      <w:r>
        <w:t>Which unsupported Word constructs block export versus generate warnings?</w:t>
      </w:r>
    </w:p>
    <w:p>
      <w:pPr>
        <w:pStyle w:val="ListBullet"/>
        <w:spacing w:after="80"/>
      </w:pPr>
      <w:r>
        <w:t>What telemetry is acceptable for a FERPA-sensitive workflow? (Partially addressed: the schema is now closed and typed; which fields belong in it is still a product decision — see §17.)</w:t>
      </w:r>
    </w:p>
    <w:p>
      <w:pPr>
        <w:pStyle w:val="ListBullet"/>
        <w:spacing w:after="80"/>
      </w:pPr>
      <w:r>
        <w:t>How much organization-level configuration can be cloud-provided without leaking content? (Partially addressed: SettingsService trust classification, §6.16, gives this a structural home; which settings get which classification is still a product decision.)</w:t>
      </w:r>
    </w:p>
    <w:p>
      <w:pPr>
        <w:pStyle w:val="ListBullet"/>
        <w:spacing w:after="80"/>
      </w:pPr>
      <w:r>
        <w:t>Which browsers are officially supported for local file processing?</w:t>
      </w:r>
    </w:p>
    <w:p>
      <w:pPr>
        <w:pStyle w:val="Heading1"/>
      </w:pPr>
      <w:r>
        <w:t>16. Architecture Decision Record Register</w:t>
      </w:r>
    </w:p>
    <w:tbl>
      <w:tblPr>
        <w:tblStyle w:val="LightGrid-Accent1"/>
        <w:tblW w:type="auto" w:w="0"/>
        <w:tblLook w:firstColumn="1" w:firstRow="1" w:lastColumn="0" w:lastRow="0" w:noHBand="0" w:noVBand="1" w:val="04A0"/>
      </w:tblPr>
      <w:tblGrid>
        <w:gridCol w:w="1152"/>
        <w:gridCol w:w="6048"/>
        <w:gridCol w:w="2448"/>
      </w:tblGrid>
      <w:tr>
        <w:tc>
          <w:tcPr>
            <w:tcW w:type="dxa" w:w="3120"/>
            <w:shd w:val="clear" w:color="auto" w:fill="2A4055"/>
          </w:tcPr>
          <w:p>
            <w:r/>
            <w:r>
              <w:rPr>
                <w:b/>
                <w:color w:val="FFFFFF"/>
                <w:sz w:val="20"/>
              </w:rPr>
              <w:t>ADR</w:t>
            </w:r>
          </w:p>
        </w:tc>
        <w:tc>
          <w:tcPr>
            <w:tcW w:type="dxa" w:w="3120"/>
            <w:shd w:val="clear" w:color="auto" w:fill="2A4055"/>
          </w:tcPr>
          <w:p>
            <w:r/>
            <w:r>
              <w:rPr>
                <w:b/>
                <w:color w:val="FFFFFF"/>
                <w:sz w:val="20"/>
              </w:rPr>
              <w:t>Title</w:t>
            </w:r>
          </w:p>
        </w:tc>
        <w:tc>
          <w:tcPr>
            <w:tcW w:type="dxa" w:w="3120"/>
            <w:shd w:val="clear" w:color="auto" w:fill="2A4055"/>
          </w:tcPr>
          <w:p>
            <w:r/>
            <w:r>
              <w:rPr>
                <w:b/>
                <w:color w:val="FFFFFF"/>
                <w:sz w:val="20"/>
              </w:rPr>
              <w:t>Status</w:t>
            </w:r>
          </w:p>
        </w:tc>
      </w:tr>
      <w:tr>
        <w:tc>
          <w:tcPr>
            <w:tcW w:type="dxa" w:w="3120"/>
          </w:tcPr>
          <w:p>
            <w:r/>
            <w:r>
              <w:rPr>
                <w:b/>
                <w:sz w:val="19"/>
              </w:rPr>
              <w:t>ADR-001</w:t>
            </w:r>
          </w:p>
        </w:tc>
        <w:tc>
          <w:tcPr>
            <w:tcW w:type="dxa" w:w="3120"/>
          </w:tcPr>
          <w:p>
            <w:r/>
            <w:r>
              <w:rPr>
                <w:b w:val="0"/>
                <w:sz w:val="19"/>
              </w:rPr>
              <w:t>Browser-first delivery</w:t>
            </w:r>
          </w:p>
        </w:tc>
        <w:tc>
          <w:tcPr>
            <w:tcW w:type="dxa" w:w="3120"/>
          </w:tcPr>
          <w:p>
            <w:r/>
            <w:r>
              <w:rPr>
                <w:b w:val="0"/>
                <w:sz w:val="18"/>
              </w:rPr>
              <w:t>Recommended</w:t>
            </w:r>
          </w:p>
        </w:tc>
      </w:tr>
      <w:tr>
        <w:tc>
          <w:tcPr>
            <w:tcW w:type="dxa" w:w="3120"/>
          </w:tcPr>
          <w:p>
            <w:r/>
            <w:r>
              <w:rPr>
                <w:b/>
                <w:sz w:val="19"/>
              </w:rPr>
              <w:t>ADR-002</w:t>
            </w:r>
          </w:p>
        </w:tc>
        <w:tc>
          <w:tcPr>
            <w:tcW w:type="dxa" w:w="3120"/>
          </w:tcPr>
          <w:p>
            <w:r/>
            <w:r>
              <w:rPr>
                <w:b w:val="0"/>
                <w:sz w:val="19"/>
              </w:rPr>
              <w:t>Browser-local document processing</w:t>
            </w:r>
          </w:p>
        </w:tc>
        <w:tc>
          <w:tcPr>
            <w:tcW w:type="dxa" w:w="3120"/>
          </w:tcPr>
          <w:p>
            <w:r/>
            <w:r>
              <w:rPr>
                <w:b w:val="0"/>
                <w:sz w:val="18"/>
              </w:rPr>
              <w:t>Recommended</w:t>
            </w:r>
          </w:p>
        </w:tc>
      </w:tr>
      <w:tr>
        <w:tc>
          <w:tcPr>
            <w:tcW w:type="dxa" w:w="3120"/>
          </w:tcPr>
          <w:p>
            <w:r/>
            <w:r>
              <w:rPr>
                <w:b/>
                <w:sz w:val="19"/>
              </w:rPr>
              <w:t>ADR-003</w:t>
            </w:r>
          </w:p>
        </w:tc>
        <w:tc>
          <w:tcPr>
            <w:tcW w:type="dxa" w:w="3120"/>
          </w:tcPr>
          <w:p>
            <w:r/>
            <w:r>
              <w:rPr>
                <w:b w:val="0"/>
                <w:sz w:val="19"/>
              </w:rPr>
              <w:t>No document-content cloud boundary</w:t>
            </w:r>
          </w:p>
        </w:tc>
        <w:tc>
          <w:tcPr>
            <w:tcW w:type="dxa" w:w="3120"/>
          </w:tcPr>
          <w:p>
            <w:r/>
            <w:r>
              <w:rPr>
                <w:b w:val="0"/>
                <w:sz w:val="18"/>
              </w:rPr>
              <w:t>Required</w:t>
            </w:r>
          </w:p>
        </w:tc>
      </w:tr>
      <w:tr>
        <w:tc>
          <w:tcPr>
            <w:tcW w:type="dxa" w:w="3120"/>
          </w:tcPr>
          <w:p>
            <w:r/>
            <w:r>
              <w:rPr>
                <w:b/>
                <w:sz w:val="19"/>
              </w:rPr>
              <w:t>ADR-004</w:t>
            </w:r>
          </w:p>
        </w:tc>
        <w:tc>
          <w:tcPr>
            <w:tcW w:type="dxa" w:w="3120"/>
          </w:tcPr>
          <w:p>
            <w:r/>
            <w:r>
              <w:rPr>
                <w:b w:val="0"/>
                <w:sz w:val="19"/>
              </w:rPr>
              <w:t>DocumentParser and DocumentModel separation</w:t>
            </w:r>
          </w:p>
        </w:tc>
        <w:tc>
          <w:tcPr>
            <w:tcW w:type="dxa" w:w="3120"/>
          </w:tcPr>
          <w:p>
            <w:r/>
            <w:r>
              <w:rPr>
                <w:b w:val="0"/>
                <w:sz w:val="18"/>
              </w:rPr>
              <w:t>Recommended</w:t>
            </w:r>
          </w:p>
        </w:tc>
      </w:tr>
      <w:tr>
        <w:tc>
          <w:tcPr>
            <w:tcW w:type="dxa" w:w="3120"/>
          </w:tcPr>
          <w:p>
            <w:r/>
            <w:r>
              <w:rPr>
                <w:b/>
                <w:sz w:val="19"/>
              </w:rPr>
              <w:t>ADR-005</w:t>
            </w:r>
          </w:p>
        </w:tc>
        <w:tc>
          <w:tcPr>
            <w:tcW w:type="dxa" w:w="3120"/>
          </w:tcPr>
          <w:p>
            <w:r/>
            <w:r>
              <w:rPr>
                <w:b w:val="0"/>
                <w:sz w:val="19"/>
              </w:rPr>
              <w:t>DocumentRebuilder as reconstruction boundary</w:t>
            </w:r>
          </w:p>
        </w:tc>
        <w:tc>
          <w:tcPr>
            <w:tcW w:type="dxa" w:w="3120"/>
          </w:tcPr>
          <w:p>
            <w:r/>
            <w:r>
              <w:rPr>
                <w:b w:val="0"/>
                <w:sz w:val="18"/>
              </w:rPr>
              <w:t>Recommended</w:t>
            </w:r>
          </w:p>
        </w:tc>
      </w:tr>
      <w:tr>
        <w:tc>
          <w:tcPr>
            <w:tcW w:type="dxa" w:w="3120"/>
          </w:tcPr>
          <w:p>
            <w:r/>
            <w:r>
              <w:rPr>
                <w:b/>
                <w:sz w:val="19"/>
              </w:rPr>
              <w:t>ADR-006</w:t>
            </w:r>
          </w:p>
        </w:tc>
        <w:tc>
          <w:tcPr>
            <w:tcW w:type="dxa" w:w="3120"/>
          </w:tcPr>
          <w:p>
            <w:r/>
            <w:r>
              <w:rPr>
                <w:b w:val="0"/>
                <w:sz w:val="19"/>
              </w:rPr>
              <w:t>AuditExporter separation</w:t>
            </w:r>
          </w:p>
        </w:tc>
        <w:tc>
          <w:tcPr>
            <w:tcW w:type="dxa" w:w="3120"/>
          </w:tcPr>
          <w:p>
            <w:r/>
            <w:r>
              <w:rPr>
                <w:b w:val="0"/>
                <w:sz w:val="18"/>
              </w:rPr>
              <w:t>Recommended</w:t>
            </w:r>
          </w:p>
        </w:tc>
      </w:tr>
      <w:tr>
        <w:tc>
          <w:tcPr>
            <w:tcW w:type="dxa" w:w="3120"/>
          </w:tcPr>
          <w:p>
            <w:r/>
            <w:r>
              <w:rPr>
                <w:b/>
                <w:sz w:val="19"/>
              </w:rPr>
              <w:t>ADR-007</w:t>
            </w:r>
          </w:p>
        </w:tc>
        <w:tc>
          <w:tcPr>
            <w:tcW w:type="dxa" w:w="3120"/>
          </w:tcPr>
          <w:p>
            <w:r/>
            <w:r>
              <w:rPr>
                <w:b w:val="0"/>
                <w:sz w:val="19"/>
              </w:rPr>
              <w:t>Central CommandDispatcher with namespaced command families</w:t>
            </w:r>
          </w:p>
        </w:tc>
        <w:tc>
          <w:tcPr>
            <w:tcW w:type="dxa" w:w="3120"/>
          </w:tcPr>
          <w:p>
            <w:r/>
            <w:r>
              <w:rPr>
                <w:b w:val="0"/>
                <w:sz w:val="18"/>
              </w:rPr>
              <w:t>Recommended (revised)</w:t>
            </w:r>
          </w:p>
        </w:tc>
      </w:tr>
      <w:tr>
        <w:tc>
          <w:tcPr>
            <w:tcW w:type="dxa" w:w="3120"/>
          </w:tcPr>
          <w:p>
            <w:r/>
            <w:r>
              <w:rPr>
                <w:b/>
                <w:sz w:val="19"/>
              </w:rPr>
              <w:t>ADR-008</w:t>
            </w:r>
          </w:p>
        </w:tc>
        <w:tc>
          <w:tcPr>
            <w:tcW w:type="dxa" w:w="3120"/>
          </w:tcPr>
          <w:p>
            <w:r/>
            <w:r>
              <w:rPr>
                <w:b w:val="0"/>
                <w:sz w:val="19"/>
              </w:rPr>
              <w:t>Durable ReviewEngine, including Not Quite sub-state</w:t>
            </w:r>
          </w:p>
        </w:tc>
        <w:tc>
          <w:tcPr>
            <w:tcW w:type="dxa" w:w="3120"/>
          </w:tcPr>
          <w:p>
            <w:r/>
            <w:r>
              <w:rPr>
                <w:b w:val="0"/>
                <w:sz w:val="18"/>
              </w:rPr>
              <w:t>Required (revised)</w:t>
            </w:r>
          </w:p>
        </w:tc>
      </w:tr>
      <w:tr>
        <w:tc>
          <w:tcPr>
            <w:tcW w:type="dxa" w:w="3120"/>
          </w:tcPr>
          <w:p>
            <w:r/>
            <w:r>
              <w:rPr>
                <w:b/>
                <w:sz w:val="19"/>
              </w:rPr>
              <w:t>ADR-009</w:t>
            </w:r>
          </w:p>
        </w:tc>
        <w:tc>
          <w:tcPr>
            <w:tcW w:type="dxa" w:w="3120"/>
          </w:tcPr>
          <w:p>
            <w:r/>
            <w:r>
              <w:rPr>
                <w:b w:val="0"/>
                <w:sz w:val="19"/>
              </w:rPr>
              <w:t>Golden fixtures as migration specification, in three families</w:t>
            </w:r>
          </w:p>
        </w:tc>
        <w:tc>
          <w:tcPr>
            <w:tcW w:type="dxa" w:w="3120"/>
          </w:tcPr>
          <w:p>
            <w:r/>
            <w:r>
              <w:rPr>
                <w:b w:val="0"/>
                <w:sz w:val="18"/>
              </w:rPr>
              <w:t>Required (revised)</w:t>
            </w:r>
          </w:p>
        </w:tc>
      </w:tr>
      <w:tr>
        <w:tc>
          <w:tcPr>
            <w:tcW w:type="dxa" w:w="3120"/>
          </w:tcPr>
          <w:p>
            <w:r/>
            <w:r>
              <w:rPr>
                <w:b/>
                <w:sz w:val="19"/>
              </w:rPr>
              <w:t>ADR-010</w:t>
            </w:r>
          </w:p>
        </w:tc>
        <w:tc>
          <w:tcPr>
            <w:tcW w:type="dxa" w:w="3120"/>
          </w:tcPr>
          <w:p>
            <w:r/>
            <w:r>
              <w:rPr>
                <w:b w:val="0"/>
                <w:sz w:val="19"/>
              </w:rPr>
              <w:t>IndexedDB/OPFS local persistence</w:t>
            </w:r>
          </w:p>
        </w:tc>
        <w:tc>
          <w:tcPr>
            <w:tcW w:type="dxa" w:w="3120"/>
          </w:tcPr>
          <w:p>
            <w:r/>
            <w:r>
              <w:rPr>
                <w:b w:val="0"/>
                <w:sz w:val="18"/>
              </w:rPr>
              <w:t>Recommended</w:t>
            </w:r>
          </w:p>
        </w:tc>
      </w:tr>
      <w:tr>
        <w:tc>
          <w:tcPr>
            <w:tcW w:type="dxa" w:w="3120"/>
          </w:tcPr>
          <w:p>
            <w:r/>
            <w:r>
              <w:rPr>
                <w:b/>
                <w:sz w:val="19"/>
              </w:rPr>
              <w:t>ADR-011</w:t>
            </w:r>
          </w:p>
        </w:tc>
        <w:tc>
          <w:tcPr>
            <w:tcW w:type="dxa" w:w="3120"/>
          </w:tcPr>
          <w:p>
            <w:r/>
            <w:r>
              <w:rPr>
                <w:b w:val="0"/>
                <w:sz w:val="19"/>
              </w:rPr>
              <w:t>Worker-thread processing</w:t>
            </w:r>
          </w:p>
        </w:tc>
        <w:tc>
          <w:tcPr>
            <w:tcW w:type="dxa" w:w="3120"/>
          </w:tcPr>
          <w:p>
            <w:r/>
            <w:r>
              <w:rPr>
                <w:b w:val="0"/>
                <w:sz w:val="18"/>
              </w:rPr>
              <w:t>Open — gated on OOXML spike (§14, Phase 2); interfaces no longer assume an answer (§12)</w:t>
            </w:r>
          </w:p>
        </w:tc>
      </w:tr>
      <w:tr>
        <w:tc>
          <w:tcPr>
            <w:tcW w:type="dxa" w:w="3120"/>
          </w:tcPr>
          <w:p>
            <w:r/>
            <w:r>
              <w:rPr>
                <w:b/>
                <w:sz w:val="19"/>
              </w:rPr>
              <w:t>ADR-012</w:t>
            </w:r>
          </w:p>
        </w:tc>
        <w:tc>
          <w:tcPr>
            <w:tcW w:type="dxa" w:w="3120"/>
          </w:tcPr>
          <w:p>
            <w:r/>
            <w:r>
              <w:rPr>
                <w:b w:val="0"/>
                <w:sz w:val="19"/>
              </w:rPr>
              <w:t>Schema and session versioning</w:t>
            </w:r>
          </w:p>
        </w:tc>
        <w:tc>
          <w:tcPr>
            <w:tcW w:type="dxa" w:w="3120"/>
          </w:tcPr>
          <w:p>
            <w:r/>
            <w:r>
              <w:rPr>
                <w:b w:val="0"/>
                <w:sz w:val="18"/>
              </w:rPr>
              <w:t>Required</w:t>
            </w:r>
          </w:p>
        </w:tc>
      </w:tr>
      <w:tr>
        <w:tc>
          <w:tcPr>
            <w:tcW w:type="dxa" w:w="3120"/>
          </w:tcPr>
          <w:p>
            <w:r/>
            <w:r>
              <w:rPr>
                <w:b/>
                <w:sz w:val="19"/>
              </w:rPr>
              <w:t>ADR-013</w:t>
            </w:r>
          </w:p>
        </w:tc>
        <w:tc>
          <w:tcPr>
            <w:tcW w:type="dxa" w:w="3120"/>
          </w:tcPr>
          <w:p>
            <w:r/>
            <w:r>
              <w:rPr>
                <w:b w:val="0"/>
                <w:sz w:val="19"/>
              </w:rPr>
              <w:t>EntityResolutionEngine / OccurrenceClassifier separation</w:t>
            </w:r>
          </w:p>
        </w:tc>
        <w:tc>
          <w:tcPr>
            <w:tcW w:type="dxa" w:w="3120"/>
          </w:tcPr>
          <w:p>
            <w:r/>
            <w:r>
              <w:rPr>
                <w:b w:val="0"/>
                <w:sz w:val="18"/>
              </w:rPr>
              <w:t>Required — NEW</w:t>
            </w:r>
          </w:p>
        </w:tc>
      </w:tr>
      <w:tr>
        <w:tc>
          <w:tcPr>
            <w:tcW w:type="dxa" w:w="3120"/>
          </w:tcPr>
          <w:p>
            <w:r/>
            <w:r>
              <w:rPr>
                <w:b/>
                <w:sz w:val="19"/>
              </w:rPr>
              <w:t>ADR-014</w:t>
            </w:r>
          </w:p>
        </w:tc>
        <w:tc>
          <w:tcPr>
            <w:tcW w:type="dxa" w:w="3120"/>
          </w:tcPr>
          <w:p>
            <w:r/>
            <w:r>
              <w:rPr>
                <w:b w:val="0"/>
                <w:sz w:val="19"/>
              </w:rPr>
              <w:t>FocusNavigator as a named, ported component</w:t>
            </w:r>
          </w:p>
        </w:tc>
        <w:tc>
          <w:tcPr>
            <w:tcW w:type="dxa" w:w="3120"/>
          </w:tcPr>
          <w:p>
            <w:r/>
            <w:r>
              <w:rPr>
                <w:b w:val="0"/>
                <w:sz w:val="18"/>
              </w:rPr>
              <w:t>Recommended — NEW</w:t>
            </w:r>
          </w:p>
        </w:tc>
      </w:tr>
      <w:tr>
        <w:tc>
          <w:tcPr>
            <w:tcW w:type="dxa" w:w="3120"/>
          </w:tcPr>
          <w:p>
            <w:r/>
            <w:r>
              <w:rPr>
                <w:b/>
                <w:sz w:val="19"/>
              </w:rPr>
              <w:t>ADR-015</w:t>
            </w:r>
          </w:p>
        </w:tc>
        <w:tc>
          <w:tcPr>
            <w:tcW w:type="dxa" w:w="3120"/>
          </w:tcPr>
          <w:p>
            <w:r/>
            <w:r>
              <w:rPr>
                <w:b w:val="0"/>
                <w:sz w:val="19"/>
              </w:rPr>
              <w:t>ScoringProfileSnapshot for audit reproducibility</w:t>
            </w:r>
          </w:p>
        </w:tc>
        <w:tc>
          <w:tcPr>
            <w:tcW w:type="dxa" w:w="3120"/>
          </w:tcPr>
          <w:p>
            <w:r/>
            <w:r>
              <w:rPr>
                <w:b w:val="0"/>
                <w:sz w:val="18"/>
              </w:rPr>
              <w:t>Required — NEW</w:t>
            </w:r>
          </w:p>
        </w:tc>
      </w:tr>
      <w:tr>
        <w:tc>
          <w:tcPr>
            <w:tcW w:type="dxa" w:w="3120"/>
          </w:tcPr>
          <w:p>
            <w:r/>
            <w:r>
              <w:rPr>
                <w:b/>
                <w:sz w:val="19"/>
              </w:rPr>
              <w:t>ADR-016</w:t>
            </w:r>
          </w:p>
        </w:tc>
        <w:tc>
          <w:tcPr>
            <w:tcW w:type="dxa" w:w="3120"/>
          </w:tcPr>
          <w:p>
            <w:r/>
            <w:r>
              <w:rPr>
                <w:b w:val="0"/>
                <w:sz w:val="19"/>
              </w:rPr>
              <w:t>OutputVerifier as the boundary between DocumentRebuilder and AuditExporter</w:t>
            </w:r>
          </w:p>
        </w:tc>
        <w:tc>
          <w:tcPr>
            <w:tcW w:type="dxa" w:w="3120"/>
          </w:tcPr>
          <w:p>
            <w:r/>
            <w:r>
              <w:rPr>
                <w:b w:val="0"/>
                <w:sz w:val="18"/>
              </w:rPr>
              <w:t>Recommended — NEW</w:t>
            </w:r>
          </w:p>
        </w:tc>
      </w:tr>
      <w:tr>
        <w:tc>
          <w:tcPr>
            <w:tcW w:type="dxa" w:w="3120"/>
          </w:tcPr>
          <w:p>
            <w:r/>
            <w:r>
              <w:rPr>
                <w:b/>
                <w:sz w:val="19"/>
              </w:rPr>
              <w:t>ADR-017</w:t>
            </w:r>
          </w:p>
        </w:tc>
        <w:tc>
          <w:tcPr>
            <w:tcW w:type="dxa" w:w="3120"/>
          </w:tcPr>
          <w:p>
            <w:r/>
            <w:r>
              <w:rPr>
                <w:b w:val="0"/>
                <w:sz w:val="19"/>
              </w:rPr>
              <w:t>Closed, typed telemetry schema</w:t>
            </w:r>
          </w:p>
        </w:tc>
        <w:tc>
          <w:tcPr>
            <w:tcW w:type="dxa" w:w="3120"/>
          </w:tcPr>
          <w:p>
            <w:r/>
            <w:r>
              <w:rPr>
                <w:b w:val="0"/>
                <w:sz w:val="18"/>
              </w:rPr>
              <w:t>Required — NEW</w:t>
            </w:r>
          </w:p>
        </w:tc>
      </w:tr>
      <w:tr>
        <w:tc>
          <w:tcPr>
            <w:tcW w:type="dxa" w:w="3120"/>
          </w:tcPr>
          <w:p>
            <w:r/>
            <w:r>
              <w:rPr>
                <w:b/>
                <w:sz w:val="19"/>
              </w:rPr>
              <w:t>ADR-018</w:t>
            </w:r>
          </w:p>
        </w:tc>
        <w:tc>
          <w:tcPr>
            <w:tcW w:type="dxa" w:w="3120"/>
          </w:tcPr>
          <w:p>
            <w:r/>
            <w:r>
              <w:rPr>
                <w:b w:val="0"/>
                <w:sz w:val="19"/>
              </w:rPr>
              <w:t>SettingsService trust classification (cloud-syncable / local-only / session-pinned / never-sync)</w:t>
            </w:r>
          </w:p>
        </w:tc>
        <w:tc>
          <w:tcPr>
            <w:tcW w:type="dxa" w:w="3120"/>
          </w:tcPr>
          <w:p>
            <w:r/>
            <w:r>
              <w:rPr>
                <w:b w:val="0"/>
                <w:sz w:val="18"/>
              </w:rPr>
              <w:t>Required — NEW</w:t>
            </w:r>
          </w:p>
        </w:tc>
      </w:tr>
    </w:tbl>
    <w:p>
      <w:r>
        <w:br w:type="page"/>
      </w:r>
    </w:p>
    <w:p>
      <w:pPr>
        <w:pStyle w:val="Heading1"/>
      </w:pPr>
      <w:r>
        <w:t>17. Open Decisions</w:t>
      </w:r>
    </w:p>
    <w:p>
      <w:pPr>
        <w:spacing w:before="40" w:after="40"/>
      </w:pPr>
      <w:r>
        <w:rPr>
          <w:b/>
          <w:color w:val="B05A00"/>
          <w:sz w:val="17"/>
        </w:rPr>
        <w:t>CHANGED IN v0.2</w:t>
      </w:r>
    </w:p>
    <w:p>
      <w:r>
        <w:rPr>
          <w:b w:val="0"/>
          <w:i w:val="0"/>
        </w:rPr>
        <w:t>Carried forward from v0.1, updated where v0.2 partially addresses a decision:</w:t>
      </w:r>
    </w:p>
    <w:p>
      <w:pPr>
        <w:pStyle w:val="ListNumber"/>
        <w:spacing w:after="80"/>
      </w:pPr>
      <w:r>
        <w:t>Which browsers must DocScrub-Web officially support at launch?</w:t>
      </w:r>
    </w:p>
    <w:p>
      <w:pPr>
        <w:pStyle w:val="ListNumber"/>
        <w:spacing w:after="80"/>
      </w:pPr>
      <w:r>
        <w:t>Is OPFS required at launch, or is IndexedDB plus explicit export/import acceptable initially?</w:t>
      </w:r>
    </w:p>
    <w:p>
      <w:pPr>
        <w:pStyle w:val="ListNumber"/>
        <w:spacing w:after="80"/>
      </w:pPr>
      <w:r>
        <w:t>Which DOCX features should be hard blockers versus warning-only fidelity risks? (To be answered by the Phase 2 OOXML spike, §14.)</w:t>
      </w:r>
    </w:p>
    <w:p>
      <w:pPr>
        <w:pStyle w:val="ListNumber"/>
        <w:spacing w:after="80"/>
      </w:pPr>
      <w:r>
        <w:t>What is the minimum acceptable browser-local DOCX reconstruction fidelity? (Same.)</w:t>
      </w:r>
    </w:p>
    <w:p>
      <w:pPr>
        <w:pStyle w:val="ListNumber"/>
        <w:spacing w:after="80"/>
      </w:pPr>
      <w:r>
        <w:t>Should generated audit reports include full review event history by default?</w:t>
      </w:r>
    </w:p>
    <w:p>
      <w:pPr>
        <w:pStyle w:val="ListNumber"/>
        <w:spacing w:after="80"/>
      </w:pPr>
      <w:r>
        <w:t>Which specific fields belong in the closed telemetry schema (ADR-017)? The schema’s existence and closedness are now settled; its contents are not.</w:t>
      </w:r>
    </w:p>
    <w:p>
      <w:pPr>
        <w:pStyle w:val="ListNumber"/>
        <w:spacing w:after="80"/>
      </w:pPr>
      <w:r>
        <w:t>Should organization-level lexicons be cloud-configured, locally imported, or both? Now has a structural home via SettingsService trust classification (§6.16, ADR-018), but the classification of lexicons specifically is still undecided.</w:t>
      </w:r>
    </w:p>
    <w:p>
      <w:pPr>
        <w:pStyle w:val="ListNumber"/>
        <w:spacing w:after="80"/>
      </w:pPr>
      <w:r>
        <w:t>What is the required offline behavior after login/licensing has been validated?</w:t>
      </w:r>
    </w:p>
    <w:p>
      <w:pPr>
        <w:pStyle w:val="ListNumber"/>
        <w:spacing w:after="80"/>
      </w:pPr>
      <w:r>
        <w:t>NEW: Is multi-document / batch review in scope for any planned phase, or permanently out of scope? ReviewSession and LocalSessionRepository currently assume one document per session; this should be stated explicitly so a future contributor does not have to infer it from the absence of the topic.</w:t>
      </w:r>
    </w:p>
    <w:p>
      <w:pPr>
        <w:pStyle w:val="Heading1"/>
      </w:pPr>
      <w:r>
        <w:t>18. Glossary</w:t>
      </w:r>
    </w:p>
    <w:tbl>
      <w:tblPr>
        <w:tblStyle w:val="LightGrid-Accent1"/>
        <w:tblW w:type="auto" w:w="0"/>
        <w:tblLook w:firstColumn="1" w:firstRow="1" w:lastColumn="0" w:lastRow="0" w:noHBand="0" w:noVBand="1" w:val="04A0"/>
      </w:tblPr>
      <w:tblGrid>
        <w:gridCol w:w="2448"/>
        <w:gridCol w:w="7200"/>
      </w:tblGrid>
      <w:tr>
        <w:tc>
          <w:tcPr>
            <w:tcW w:type="dxa" w:w="4680"/>
            <w:shd w:val="clear" w:color="auto" w:fill="2A4055"/>
          </w:tcPr>
          <w:p>
            <w:r/>
            <w:r>
              <w:rPr>
                <w:b/>
                <w:color w:val="FFFFFF"/>
                <w:sz w:val="20"/>
              </w:rPr>
              <w:t>Term</w:t>
            </w:r>
          </w:p>
        </w:tc>
        <w:tc>
          <w:tcPr>
            <w:tcW w:type="dxa" w:w="4680"/>
            <w:shd w:val="clear" w:color="auto" w:fill="2A4055"/>
          </w:tcPr>
          <w:p>
            <w:r/>
            <w:r>
              <w:rPr>
                <w:b/>
                <w:color w:val="FFFFFF"/>
                <w:sz w:val="20"/>
              </w:rPr>
              <w:t>Meaning</w:t>
            </w:r>
          </w:p>
        </w:tc>
      </w:tr>
      <w:tr>
        <w:tc>
          <w:tcPr>
            <w:tcW w:type="dxa" w:w="4680"/>
          </w:tcPr>
          <w:p>
            <w:r/>
            <w:r>
              <w:rPr>
                <w:b/>
                <w:sz w:val="19"/>
              </w:rPr>
              <w:t>Candidate</w:t>
            </w:r>
          </w:p>
        </w:tc>
        <w:tc>
          <w:tcPr>
            <w:tcW w:type="dxa" w:w="4680"/>
          </w:tcPr>
          <w:p>
            <w:r/>
            <w:r>
              <w:rPr>
                <w:b w:val="0"/>
                <w:sz w:val="19"/>
              </w:rPr>
              <w:t>A unique detected value that may require review.</w:t>
            </w:r>
          </w:p>
        </w:tc>
      </w:tr>
      <w:tr>
        <w:tc>
          <w:tcPr>
            <w:tcW w:type="dxa" w:w="4680"/>
          </w:tcPr>
          <w:p>
            <w:r/>
            <w:r>
              <w:rPr>
                <w:b/>
                <w:sz w:val="19"/>
              </w:rPr>
              <w:t>Occurrence</w:t>
            </w:r>
          </w:p>
        </w:tc>
        <w:tc>
          <w:tcPr>
            <w:tcW w:type="dxa" w:w="4680"/>
          </w:tcPr>
          <w:p>
            <w:r/>
            <w:r>
              <w:rPr>
                <w:b w:val="0"/>
                <w:sz w:val="19"/>
              </w:rPr>
              <w:t>A specific location where a candidate appears in the document.</w:t>
            </w:r>
          </w:p>
        </w:tc>
      </w:tr>
      <w:tr>
        <w:tc>
          <w:tcPr>
            <w:tcW w:type="dxa" w:w="4680"/>
          </w:tcPr>
          <w:p>
            <w:r/>
            <w:r>
              <w:rPr>
                <w:b/>
                <w:sz w:val="19"/>
              </w:rPr>
              <w:t>DocumentModel</w:t>
            </w:r>
          </w:p>
        </w:tc>
        <w:tc>
          <w:tcPr>
            <w:tcW w:type="dxa" w:w="4680"/>
          </w:tcPr>
          <w:p>
            <w:r/>
            <w:r>
              <w:rPr>
                <w:b w:val="0"/>
                <w:sz w:val="19"/>
              </w:rPr>
              <w:t>Browser-local, format-neutral representation of the DOCX and its source mappings.</w:t>
            </w:r>
          </w:p>
        </w:tc>
      </w:tr>
      <w:tr>
        <w:tc>
          <w:tcPr>
            <w:tcW w:type="dxa" w:w="4680"/>
          </w:tcPr>
          <w:p>
            <w:r/>
            <w:r>
              <w:rPr>
                <w:b/>
                <w:sz w:val="19"/>
              </w:rPr>
              <w:t>ReviewSession</w:t>
            </w:r>
          </w:p>
        </w:tc>
        <w:tc>
          <w:tcPr>
            <w:tcW w:type="dxa" w:w="4680"/>
          </w:tcPr>
          <w:p>
            <w:r/>
            <w:r>
              <w:rPr>
                <w:b w:val="0"/>
                <w:sz w:val="19"/>
              </w:rPr>
              <w:t>Durable state containing reviewer decisions, lifecycle, events, replacement assignments, and (new in v0.2) the current ScoringProfileSnapshot and Not Quite sub-state.</w:t>
            </w:r>
          </w:p>
        </w:tc>
      </w:tr>
      <w:tr>
        <w:tc>
          <w:tcPr>
            <w:tcW w:type="dxa" w:w="4680"/>
          </w:tcPr>
          <w:p>
            <w:r/>
            <w:r>
              <w:rPr>
                <w:b/>
                <w:sz w:val="19"/>
              </w:rPr>
              <w:t>Likelihood</w:t>
            </w:r>
          </w:p>
        </w:tc>
        <w:tc>
          <w:tcPr>
            <w:tcW w:type="dxa" w:w="4680"/>
          </w:tcPr>
          <w:p>
            <w:r/>
            <w:r>
              <w:rPr>
                <w:b w:val="0"/>
                <w:sz w:val="19"/>
              </w:rPr>
              <w:t>User-facing percentage derived from the deterministic Candidate Score, pinned at scoring time via ScoringProfileSnapshot.</w:t>
            </w:r>
          </w:p>
        </w:tc>
      </w:tr>
      <w:tr>
        <w:tc>
          <w:tcPr>
            <w:tcW w:type="dxa" w:w="4680"/>
          </w:tcPr>
          <w:p>
            <w:r/>
            <w:r>
              <w:rPr>
                <w:b/>
                <w:sz w:val="19"/>
              </w:rPr>
              <w:t>To Review</w:t>
            </w:r>
          </w:p>
        </w:tc>
        <w:tc>
          <w:tcPr>
            <w:tcW w:type="dxa" w:w="4680"/>
          </w:tcPr>
          <w:p>
            <w:r/>
            <w:r>
              <w:rPr>
                <w:b w:val="0"/>
                <w:sz w:val="19"/>
              </w:rPr>
              <w:t>Recommendation that the item deserves reviewer attention.</w:t>
            </w:r>
          </w:p>
        </w:tc>
      </w:tr>
      <w:tr>
        <w:tc>
          <w:tcPr>
            <w:tcW w:type="dxa" w:w="4680"/>
          </w:tcPr>
          <w:p>
            <w:r/>
            <w:r>
              <w:rPr>
                <w:b/>
                <w:sz w:val="19"/>
              </w:rPr>
              <w:t>Unlikely</w:t>
            </w:r>
          </w:p>
        </w:tc>
        <w:tc>
          <w:tcPr>
            <w:tcW w:type="dxa" w:w="4680"/>
          </w:tcPr>
          <w:p>
            <w:r/>
            <w:r>
              <w:rPr>
                <w:b w:val="0"/>
                <w:sz w:val="19"/>
              </w:rPr>
              <w:t>Recommendation that the item is low-priority but still inspectable.</w:t>
            </w:r>
          </w:p>
        </w:tc>
      </w:tr>
      <w:tr>
        <w:tc>
          <w:tcPr>
            <w:tcW w:type="dxa" w:w="4680"/>
          </w:tcPr>
          <w:p>
            <w:r/>
            <w:r>
              <w:rPr>
                <w:b/>
                <w:sz w:val="19"/>
              </w:rPr>
              <w:t>Resolved</w:t>
            </w:r>
          </w:p>
        </w:tc>
        <w:tc>
          <w:tcPr>
            <w:tcW w:type="dxa" w:w="4680"/>
          </w:tcPr>
          <w:p>
            <w:r/>
            <w:r>
              <w:rPr>
                <w:b w:val="0"/>
                <w:sz w:val="19"/>
              </w:rPr>
              <w:t>NEW definition in v0.2: a derived status, computed from occurrence coverage over completed group, ambiguity, and candidate decisions — not an independently stored field.</w:t>
            </w:r>
          </w:p>
        </w:tc>
      </w:tr>
      <w:tr>
        <w:tc>
          <w:tcPr>
            <w:tcW w:type="dxa" w:w="4680"/>
          </w:tcPr>
          <w:p>
            <w:r/>
            <w:r>
              <w:rPr>
                <w:b/>
                <w:sz w:val="19"/>
              </w:rPr>
              <w:t>Group Check</w:t>
            </w:r>
          </w:p>
        </w:tc>
        <w:tc>
          <w:tcPr>
            <w:tcW w:type="dxa" w:w="4680"/>
          </w:tcPr>
          <w:p>
            <w:r/>
            <w:r>
              <w:rPr>
                <w:b w:val="0"/>
                <w:sz w:val="19"/>
              </w:rPr>
              <w:t>Review stage for proposed groups of related candidates, proposed by EntityResolutionEngine.</w:t>
            </w:r>
          </w:p>
        </w:tc>
      </w:tr>
      <w:tr>
        <w:tc>
          <w:tcPr>
            <w:tcW w:type="dxa" w:w="4680"/>
          </w:tcPr>
          <w:p>
            <w:r/>
            <w:r>
              <w:rPr>
                <w:b/>
                <w:sz w:val="19"/>
              </w:rPr>
              <w:t>Ambiguity Check</w:t>
            </w:r>
          </w:p>
        </w:tc>
        <w:tc>
          <w:tcPr>
            <w:tcW w:type="dxa" w:w="4680"/>
          </w:tcPr>
          <w:p>
            <w:r/>
            <w:r>
              <w:rPr>
                <w:b w:val="0"/>
                <w:sz w:val="19"/>
              </w:rPr>
              <w:t>Review stage for candidates with multiple plausible homes, proposed by EntityResolutionEngine.</w:t>
            </w:r>
          </w:p>
        </w:tc>
      </w:tr>
      <w:tr>
        <w:tc>
          <w:tcPr>
            <w:tcW w:type="dxa" w:w="4680"/>
          </w:tcPr>
          <w:p>
            <w:r/>
            <w:r>
              <w:rPr>
                <w:b/>
                <w:sz w:val="19"/>
              </w:rPr>
              <w:t>Category Check</w:t>
            </w:r>
          </w:p>
        </w:tc>
        <w:tc>
          <w:tcPr>
            <w:tcW w:type="dxa" w:w="4680"/>
          </w:tcPr>
          <w:p>
            <w:r/>
            <w:r>
              <w:rPr>
                <w:b w:val="0"/>
                <w:sz w:val="19"/>
              </w:rPr>
              <w:t>Review stage for remaining individual candidates organized by evidence categories.</w:t>
            </w:r>
          </w:p>
        </w:tc>
      </w:tr>
      <w:tr>
        <w:tc>
          <w:tcPr>
            <w:tcW w:type="dxa" w:w="4680"/>
          </w:tcPr>
          <w:p>
            <w:r/>
            <w:r>
              <w:rPr>
                <w:b/>
                <w:sz w:val="19"/>
              </w:rPr>
              <w:t>Not Quite</w:t>
            </w:r>
          </w:p>
        </w:tc>
        <w:tc>
          <w:tcPr>
            <w:tcW w:type="dxa" w:w="4680"/>
          </w:tcPr>
          <w:p>
            <w:r/>
            <w:r>
              <w:rPr>
                <w:b w:val="0"/>
                <w:sz w:val="19"/>
              </w:rPr>
              <w:t>NEW in v0.2. The one deliberate exception to "items do not disappear on click": an inline, per-member checklist for a proposed group that is mostly correct but needs light cleanup, modeled as an explicit ReviewEngine sub-state (§6.8).</w:t>
            </w:r>
          </w:p>
        </w:tc>
      </w:tr>
      <w:tr>
        <w:tc>
          <w:tcPr>
            <w:tcW w:type="dxa" w:w="4680"/>
          </w:tcPr>
          <w:p>
            <w:r/>
            <w:r>
              <w:rPr>
                <w:b/>
                <w:sz w:val="19"/>
              </w:rPr>
              <w:t>EntityResolutionEngine</w:t>
            </w:r>
          </w:p>
        </w:tc>
        <w:tc>
          <w:tcPr>
            <w:tcW w:type="dxa" w:w="4680"/>
          </w:tcPr>
          <w:p>
            <w:r/>
            <w:r>
              <w:rPr>
                <w:b w:val="0"/>
                <w:sz w:val="19"/>
              </w:rPr>
              <w:t>NEW in v0.2. Proposes identity-resolution groupings (Ambiguity Check, Group Check); the reviewer-decision half of what v0.1 called GroupingEngine.</w:t>
            </w:r>
          </w:p>
        </w:tc>
      </w:tr>
      <w:tr>
        <w:tc>
          <w:tcPr>
            <w:tcW w:type="dxa" w:w="4680"/>
          </w:tcPr>
          <w:p>
            <w:r/>
            <w:r>
              <w:rPr>
                <w:b/>
                <w:sz w:val="19"/>
              </w:rPr>
              <w:t>OccurrenceClassifier</w:t>
            </w:r>
          </w:p>
        </w:tc>
        <w:tc>
          <w:tcPr>
            <w:tcW w:type="dxa" w:w="4680"/>
          </w:tcPr>
          <w:p>
            <w:r/>
            <w:r>
              <w:rPr>
                <w:b w:val="0"/>
                <w:sz w:val="19"/>
              </w:rPr>
              <w:t>NEW in v0.2. Pure, deterministic classification of occurrence structure (standalone, contextual, quoted, header/footer, table, other) for display and navigation; the non-reviewable half of what v0.1 called GroupingEngine.</w:t>
            </w:r>
          </w:p>
        </w:tc>
      </w:tr>
      <w:tr>
        <w:tc>
          <w:tcPr>
            <w:tcW w:type="dxa" w:w="4680"/>
          </w:tcPr>
          <w:p>
            <w:r/>
            <w:r>
              <w:rPr>
                <w:b/>
                <w:sz w:val="19"/>
              </w:rPr>
              <w:t>FocusNavigator</w:t>
            </w:r>
          </w:p>
        </w:tc>
        <w:tc>
          <w:tcPr>
            <w:tcW w:type="dxa" w:w="4680"/>
          </w:tcPr>
          <w:p>
            <w:r/>
            <w:r>
              <w:rPr>
                <w:b w:val="0"/>
                <w:sz w:val="19"/>
              </w:rPr>
              <w:t>NEW in v0.2. Owns keyboard/focus navigation as ported, testable domain logic; does not own durable review decisions.</w:t>
            </w:r>
          </w:p>
        </w:tc>
      </w:tr>
      <w:tr>
        <w:tc>
          <w:tcPr>
            <w:tcW w:type="dxa" w:w="4680"/>
          </w:tcPr>
          <w:p>
            <w:r/>
            <w:r>
              <w:rPr>
                <w:b/>
                <w:sz w:val="19"/>
              </w:rPr>
              <w:t>ScoringProfileSnapshot</w:t>
            </w:r>
          </w:p>
        </w:tc>
        <w:tc>
          <w:tcPr>
            <w:tcW w:type="dxa" w:w="4680"/>
          </w:tcPr>
          <w:p>
            <w:r/>
            <w:r>
              <w:rPr>
                <w:b w:val="0"/>
                <w:sz w:val="19"/>
              </w:rPr>
              <w:t>NEW in v0.2. The weights, thresholds, detector/ruleset version, and lexicon versions in effect when a session was scored, pinned into durable state so later configuration changes cannot silently alter historical explanations.</w:t>
            </w:r>
          </w:p>
        </w:tc>
      </w:tr>
      <w:tr>
        <w:tc>
          <w:tcPr>
            <w:tcW w:type="dxa" w:w="4680"/>
          </w:tcPr>
          <w:p>
            <w:r/>
            <w:r>
              <w:rPr>
                <w:b/>
                <w:sz w:val="19"/>
              </w:rPr>
              <w:t>OutputVerifier</w:t>
            </w:r>
          </w:p>
        </w:tc>
        <w:tc>
          <w:tcPr>
            <w:tcW w:type="dxa" w:w="4680"/>
          </w:tcPr>
          <w:p>
            <w:r/>
            <w:r>
              <w:rPr>
                <w:b w:val="0"/>
                <w:sz w:val="19"/>
              </w:rPr>
              <w:t>NEW in v0.2. Runs post-generation verification/rescan on a rebuilt DOCX and produces a VerificationReport, decoupling AuditExporter from DocumentRebuilder internals.</w:t>
            </w:r>
          </w:p>
        </w:tc>
      </w:tr>
      <w:tr>
        <w:tc>
          <w:tcPr>
            <w:tcW w:type="dxa" w:w="4680"/>
          </w:tcPr>
          <w:p>
            <w:r/>
            <w:r>
              <w:rPr>
                <w:b/>
                <w:sz w:val="19"/>
              </w:rPr>
              <w:t>VerificationReport</w:t>
            </w:r>
          </w:p>
        </w:tc>
        <w:tc>
          <w:tcPr>
            <w:tcW w:type="dxa" w:w="4680"/>
          </w:tcPr>
          <w:p>
            <w:r/>
            <w:r>
              <w:rPr>
                <w:b w:val="0"/>
                <w:sz w:val="19"/>
              </w:rPr>
              <w:t>NEW in v0.2. The value object produced by OutputVerifier and consumed by AuditExporter.</w:t>
            </w:r>
          </w:p>
        </w:tc>
      </w:tr>
      <w:tr>
        <w:tc>
          <w:tcPr>
            <w:tcW w:type="dxa" w:w="4680"/>
          </w:tcPr>
          <w:p>
            <w:r/>
            <w:r>
              <w:rPr>
                <w:b/>
                <w:sz w:val="19"/>
              </w:rPr>
              <w:t>DocumentRebuilder</w:t>
            </w:r>
          </w:p>
        </w:tc>
        <w:tc>
          <w:tcPr>
            <w:tcW w:type="dxa" w:w="4680"/>
          </w:tcPr>
          <w:p>
            <w:r/>
            <w:r>
              <w:rPr>
                <w:b w:val="0"/>
                <w:sz w:val="19"/>
              </w:rPr>
              <w:t>Component responsible for generating the revised DOCX locally.</w:t>
            </w:r>
          </w:p>
        </w:tc>
      </w:tr>
      <w:tr>
        <w:tc>
          <w:tcPr>
            <w:tcW w:type="dxa" w:w="4680"/>
          </w:tcPr>
          <w:p>
            <w:r/>
            <w:r>
              <w:rPr>
                <w:b/>
                <w:sz w:val="19"/>
              </w:rPr>
              <w:t>AuditExporter</w:t>
            </w:r>
          </w:p>
        </w:tc>
        <w:tc>
          <w:tcPr>
            <w:tcW w:type="dxa" w:w="4680"/>
          </w:tcPr>
          <w:p>
            <w:r/>
            <w:r>
              <w:rPr>
                <w:b w:val="0"/>
                <w:sz w:val="19"/>
              </w:rPr>
              <w:t>Component responsible for CSV, JSON, QA metrics, audit reports, and review event history.</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A4055"/>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A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