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b/>
        </w:rPr>
      </w:pPr>
      <w:r>
        <w:rPr>
          <w:b/>
        </w:rPr>
        <w:t>Modelos de risco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b/>
          <w:sz w:val="18"/>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pPr>
      <w:r>
        <w:rPr>
          <w:sz w:val="18"/>
          <w:szCs w:val="18"/>
          <w:vertAlign w:val="superscript"/>
        </w:rPr>
        <w:t>1</w:t>
      </w:r>
      <w:r>
        <w:rPr/>
        <w:t xml:space="preserve"> </w:t>
      </w:r>
      <w:r>
        <w:rPr>
          <w:sz w:val="18"/>
          <w:szCs w:val="18"/>
        </w:rPr>
        <w:t>Economista. Rua Sete, 580 – Emboaba; 95.590-000 Tramanda, RS, Brasil.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b w:val="false"/>
          <w:bCs w:val="false"/>
        </w:rPr>
      </w:pPr>
      <w:r>
        <w:rPr>
          <w:b w:val="false"/>
          <w:bCs w:val="false"/>
          <w:sz w:val="18"/>
          <w:szCs w:val="18"/>
        </w:rPr>
        <w:t>*</w:t>
      </w:r>
      <w:bookmarkStart w:id="0" w:name="_Hlk33948379"/>
      <w:bookmarkStart w:id="1" w:name="_Hlk33885760"/>
      <w:r>
        <w:rPr>
          <w:b w:val="false"/>
          <w:bCs w:val="false"/>
          <w:sz w:val="18"/>
          <w:szCs w:val="18"/>
        </w:rPr>
        <w:t>autor correspondente</w:t>
      </w:r>
      <w:bookmarkEnd w:id="1"/>
      <w:r>
        <w:rPr>
          <w:b w:val="false"/>
          <w:bCs w:val="false"/>
          <w:sz w:val="18"/>
          <w:szCs w:val="18"/>
        </w:rPr>
        <w:t xml:space="preserve">: </w:t>
      </w:r>
      <w:bookmarkEnd w:id="0"/>
      <w:r>
        <w:rPr>
          <w:b w:val="false"/>
          <w:bCs w:val="false"/>
          <w:sz w:val="18"/>
          <w:szCs w:val="18"/>
        </w:rPr>
        <w:t>twerminghoff@gmail.com</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before="0" w:after="0"/>
        <w:jc w:val="center"/>
        <w:rPr>
          <w:b/>
        </w:rPr>
      </w:pPr>
      <w:r>
        <w:rPr>
          <w:b/>
        </w:rPr>
        <w:t>Modelos de risco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b/>
        </w:rPr>
      </w:pPr>
      <w:r>
        <w:rPr>
          <w:b/>
        </w:rPr>
        <w:t>Resumo AJUSTAR DEPOIS DE FINALIZAR, TEM RESULTADOS PRELIMINARES AQUI</w:t>
      </w:r>
    </w:p>
    <w:p>
      <w:pPr>
        <w:pStyle w:val="Normal"/>
        <w:spacing w:lineRule="auto" w:line="240"/>
        <w:rPr>
          <w:b/>
        </w:rPr>
      </w:pPr>
      <w:r>
        <w:rPr>
          <w:b/>
        </w:rPr>
      </w:r>
    </w:p>
    <w:p>
      <w:pPr>
        <w:pStyle w:val="ListParagraph"/>
        <w:spacing w:lineRule="auto" w:line="240"/>
        <w:ind w:left="0"/>
        <w:rPr>
          <w:b/>
        </w:rPr>
      </w:pPr>
      <w:r>
        <w:rPr>
          <w:bCs/>
        </w:rPr>
        <w:t>Instituições financeiras realizam suas políticas de crédito baseando-se em sistemas de análise de crédito e inadimplência, ao mesmo tempo que são restritas por regulamentações estabelecidas por órgãos de supervisão acerca de boas práticas, metodologias de cálculo, reservas financeiras, entre outros. Este trabalho busca proporcionar uma visão alternativa aos métodos de cálculo de riscos e inadimplẽncia, com a utilização da taxa de juros básica presente e futura do país como variáveis adicionais para a correta classificação de potenciais contratos inadimplentes ainda antes de serem liberados, de forma a aprimorar a lucratividade do negócio evitando clientes que acarretem em potenciais prejuízos e reduzir valores retidos para créditos de liquidez duvidosa. Os resultados preliminares (métrica Acurácia: rede neural 0.992563; gradient boosting 0.982702; random forest 0.979026; linear discriminant analysis 0.975992, support vector machine 0.683326) sugerem um melhor poder de previsão do modelo utilizando rede neural, seguido pelo modelo de gradient boosting, após pelo modelo de random forest, em quarta posição o modelo de linear discriminant analysis e por último o modelo de support vector machine (SVM).</w:t>
      </w:r>
    </w:p>
    <w:p>
      <w:pPr>
        <w:pStyle w:val="Normal"/>
        <w:spacing w:lineRule="auto" w:line="240"/>
        <w:rPr/>
      </w:pPr>
      <w:r>
        <w:rPr>
          <w:b/>
          <w:color w:val="000000"/>
        </w:rPr>
        <w:t xml:space="preserve">Palavras-chave: </w:t>
      </w:r>
      <w:r>
        <w:rPr>
          <w:b w:val="false"/>
          <w:bCs w:val="false"/>
          <w:color w:val="000000"/>
        </w:rPr>
        <w:t>risco de crédito; finanças; machine learning; modelos de crédito.</w:t>
      </w:r>
    </w:p>
    <w:p>
      <w:pPr>
        <w:pStyle w:val="Normal"/>
        <w:spacing w:lineRule="auto" w:line="240"/>
        <w:rPr>
          <w:b/>
        </w:rPr>
      </w:pPr>
      <w:r>
        <w:rPr>
          <w:b/>
        </w:rPr>
      </w:r>
    </w:p>
    <w:p>
      <w:pPr>
        <w:pStyle w:val="Normal"/>
        <w:spacing w:lineRule="auto" w:line="240"/>
        <w:jc w:val="center"/>
        <w:rPr>
          <w:color w:val="000000"/>
        </w:rPr>
      </w:pPr>
      <w:r>
        <w:rPr>
          <w:b/>
          <w:color w:val="000000"/>
        </w:rPr>
        <w:t>Título em inglês</w:t>
      </w:r>
      <w:r>
        <w:rPr>
          <w:color w:val="000000"/>
        </w:rPr>
        <w:t xml:space="preserve"> </w:t>
      </w:r>
      <w:r>
        <w:rPr>
          <w:b/>
          <w:color w:val="000000"/>
        </w:rPr>
        <w:t>ou espanhol</w:t>
      </w:r>
      <w:r>
        <w:rPr>
          <w:color w:val="000000"/>
        </w:rPr>
        <w:t xml:space="preserve"> (opcional)</w:t>
      </w:r>
    </w:p>
    <w:p>
      <w:pPr>
        <w:pStyle w:val="Normal"/>
        <w:spacing w:lineRule="auto" w:line="240"/>
        <w:rPr>
          <w:b/>
          <w:color w:val="000000"/>
        </w:rPr>
      </w:pPr>
      <w:r>
        <w:rPr>
          <w:b/>
          <w:color w:val="000000"/>
        </w:rPr>
      </w:r>
    </w:p>
    <w:p>
      <w:pPr>
        <w:pStyle w:val="Normal"/>
        <w:spacing w:lineRule="auto" w:line="240"/>
        <w:jc w:val="left"/>
        <w:rPr>
          <w:color w:val="000000"/>
        </w:rPr>
      </w:pPr>
      <w:r>
        <w:rPr>
          <w:b/>
          <w:color w:val="000000"/>
        </w:rPr>
        <w:t xml:space="preserve">Abstract </w:t>
      </w:r>
      <w:r>
        <w:rPr>
          <w:color w:val="000000"/>
        </w:rPr>
        <w:t>ou</w:t>
      </w:r>
      <w:r>
        <w:rPr>
          <w:b/>
          <w:color w:val="000000"/>
        </w:rPr>
        <w:t xml:space="preserve"> Resumen</w:t>
      </w:r>
      <w:r>
        <w:rPr>
          <w:color w:val="000000"/>
        </w:rPr>
        <w:t xml:space="preserve"> (opcional)</w:t>
      </w:r>
    </w:p>
    <w:p>
      <w:pPr>
        <w:pStyle w:val="Normal"/>
        <w:spacing w:lineRule="auto" w:line="240"/>
        <w:rPr/>
      </w:pPr>
      <w:r>
        <w:rPr/>
      </w:r>
    </w:p>
    <w:p>
      <w:pPr>
        <w:pStyle w:val="Normal"/>
        <w:spacing w:lineRule="auto" w:line="240"/>
        <w:rPr/>
      </w:pPr>
      <w:r>
        <w:rPr/>
        <w:t>....................................................................................................................................................................................................................................................................................................................................................................................................................................................................................................................................................................................................................................................................................................................................................................................................................................................................................................................................................................................................................................................................................................................................................................................................................................................................................................................................................................................</w:t>
      </w:r>
    </w:p>
    <w:p>
      <w:pPr>
        <w:pStyle w:val="Normal"/>
        <w:spacing w:lineRule="auto" w:line="240"/>
        <w:jc w:val="left"/>
        <w:rPr>
          <w:b/>
        </w:rPr>
      </w:pPr>
      <w:r>
        <w:rPr>
          <w:b/>
        </w:rPr>
        <w:t xml:space="preserve">Keywords </w:t>
      </w:r>
      <w:r>
        <w:rPr/>
        <w:t>ou</w:t>
      </w:r>
      <w:r>
        <w:rPr>
          <w:b/>
        </w:rPr>
        <w:t xml:space="preserve"> Palabras Clave:</w:t>
      </w:r>
      <w:r>
        <w:rPr/>
        <w:t xml:space="preserve"> (opcional)</w:t>
      </w:r>
    </w:p>
    <w:p>
      <w:pPr>
        <w:pStyle w:val="Normal"/>
        <w:spacing w:lineRule="auto" w:line="360"/>
        <w:rPr>
          <w:b/>
        </w:rPr>
      </w:pPr>
      <w:r>
        <w:rPr>
          <w:b/>
        </w:rPr>
      </w:r>
    </w:p>
    <w:p>
      <w:pPr>
        <w:pStyle w:val="ListParagraph"/>
        <w:spacing w:lineRule="auto" w:line="360"/>
        <w:ind w:left="0"/>
        <w:jc w:val="left"/>
        <w:rPr>
          <w:b/>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dia-a-dia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inadimplencia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econômica-financeira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detrimanto aos modelos estatísticos.</w:t>
      </w:r>
    </w:p>
    <w:p>
      <w:pPr>
        <w:pStyle w:val="Normal"/>
        <w:spacing w:lineRule="auto" w:line="360"/>
        <w:ind w:firstLine="709"/>
        <w:rPr/>
      </w:pPr>
      <w:r>
        <w:rPr>
          <w:bCs/>
        </w:rPr>
        <w:t xml:space="preserve">A literatura atual comtempla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p>
    <w:p>
      <w:pPr>
        <w:pStyle w:val="Normal"/>
        <w:spacing w:lineRule="auto" w:line="360"/>
        <w:ind w:firstLine="709"/>
        <w:rPr/>
      </w:pPr>
      <w:r>
        <w:rPr>
          <w:rStyle w:val="normaltextrun"/>
          <w:b w:val="false"/>
          <w:bCs w:val="false"/>
          <w:color w:val="000000"/>
          <w:shd w:fill="FFFFFF" w:val="clear"/>
        </w:rPr>
        <w:t>Este trabalho pretende averiguar empricamente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 realizando comparações entre os modelos treinados.</w:t>
      </w:r>
    </w:p>
    <w:p>
      <w:pPr>
        <w:pStyle w:val="Normal"/>
        <w:spacing w:lineRule="auto" w:line="360"/>
        <w:ind w:firstLine="709"/>
        <w:rPr/>
      </w:pPr>
      <w:r>
        <w:rPr>
          <w:rStyle w:val="normaltextrun"/>
          <w:b w:val="false"/>
          <w:bCs w:val="false"/>
          <w:color w:val="3465A4"/>
          <w:shd w:fill="FFFFFF" w:val="clear"/>
        </w:rPr>
        <w:t>Entretanto o trabalho apresentado não busca esgotar o assunto ou as obras que dele tratam, existe uma infinidade de algoritmos de machine learning utilizados especificamente na análise de eventos raros e/ou análises de crédito, bem como variações mais complexas dos algoritmos aqui uitlizados, que não figuram dentro do escopo de estudo deste trabalho.</w:t>
      </w:r>
    </w:p>
    <w:p>
      <w:pPr>
        <w:pStyle w:val="Normal"/>
        <w:spacing w:lineRule="auto" w:line="360"/>
        <w:rPr>
          <w:color w:val="000000"/>
        </w:rPr>
      </w:pPr>
      <w:r>
        <w:rPr>
          <w:color w:val="000000"/>
        </w:rPr>
      </w:r>
    </w:p>
    <w:p>
      <w:pPr>
        <w:pStyle w:val="ListParagraph"/>
        <w:spacing w:lineRule="auto" w:line="360"/>
        <w:ind w:left="0"/>
        <w:rPr>
          <w:b/>
        </w:rPr>
      </w:pPr>
      <w:r>
        <w:rPr>
          <w:b/>
        </w:rPr>
        <w:t>Material e Métodos (rever texto, incluir parágrafos explicando melhor cada um dos modelos, com equações, objetivos e etc.)</w:t>
      </w:r>
    </w:p>
    <w:p>
      <w:pPr>
        <w:pStyle w:val="ListParagraph"/>
        <w:spacing w:lineRule="auto" w:line="360"/>
        <w:ind w:left="0"/>
        <w:rPr/>
      </w:pPr>
      <w:r>
        <w:rPr/>
      </w:r>
    </w:p>
    <w:p>
      <w:pPr>
        <w:pStyle w:val="Normal"/>
        <w:shd w:val="clear" w:color="auto" w:fill="FFFFFF"/>
        <w:spacing w:lineRule="auto" w:line="360"/>
        <w:ind w:firstLine="709"/>
        <w:rPr>
          <w:rFonts w:eastAsia="Times New Roman"/>
          <w:lang w:eastAsia="pt-BR"/>
        </w:rPr>
      </w:pPr>
      <w:r>
        <w:rPr/>
        <w:t>É</w:t>
      </w:r>
      <w:bookmarkStart w:id="2" w:name="_Hlk51156468"/>
      <w:r>
        <w:rPr/>
        <w:t xml:space="preserve"> </w:t>
      </w:r>
      <w:bookmarkEnd w:id="2"/>
      <w:r>
        <w:rPr>
          <w:rFonts w:eastAsia="Times New Roman"/>
          <w:lang w:eastAsia="pt-BR"/>
        </w:rPr>
        <w:t xml:space="preserve">realizado um estudo de caso 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w:t>
      </w:r>
      <w:r>
        <w:rPr>
          <w:rFonts w:eastAsia="Times New Roman"/>
          <w:color w:val="3465A4"/>
          <w:lang w:eastAsia="pt-BR"/>
        </w:rPr>
        <w:t>Kaggle</w:t>
      </w:r>
      <w:r>
        <w:rPr>
          <w:rStyle w:val="FootnoteReference"/>
          <w:rFonts w:eastAsia="Times New Roman"/>
          <w:color w:val="3465A4"/>
          <w:lang w:eastAsia="pt-BR"/>
        </w:rPr>
        <w:footnoteReference w:id="2"/>
      </w:r>
      <w:r>
        <w:rPr>
          <w:rFonts w:eastAsia="Times New Roman"/>
          <w:lang w:eastAsia="pt-BR"/>
        </w:rPr>
        <w:t xml:space="preserve"> com a inclusão de informações referentes à </w:t>
      </w:r>
      <w:r>
        <w:rPr>
          <w:rFonts w:eastAsia="Times New Roman"/>
          <w:i/>
          <w:iCs/>
          <w:color w:val="3465A4"/>
          <w:lang w:eastAsia="pt-BR"/>
        </w:rPr>
        <w:t>Effective Federal Funds Rate</w:t>
      </w:r>
      <w:r>
        <w:rPr>
          <w:rFonts w:eastAsia="Times New Roman"/>
          <w:color w:val="3465A4"/>
          <w:lang w:eastAsia="pt-BR"/>
        </w:rPr>
        <w:t xml:space="preserve"> (EFFR)</w:t>
      </w:r>
      <w:r>
        <w:rPr>
          <w:rFonts w:eastAsia="Times New Roman"/>
          <w:lang w:eastAsia="pt-BR"/>
        </w:rPr>
        <w:t xml:space="preserve"> na época da solicitação do empréstimo, o</w:t>
      </w:r>
      <w:r>
        <w:rPr>
          <w:rFonts w:eastAsia="Times New Roman"/>
          <w:color w:val="3465A4"/>
          <w:lang w:eastAsia="pt-BR"/>
        </w:rPr>
        <w:t xml:space="preserve">btida através do website do </w:t>
      </w:r>
      <w:r>
        <w:rPr>
          <w:rFonts w:eastAsia="Times New Roman"/>
          <w:i/>
          <w:iCs/>
          <w:color w:val="3465A4"/>
          <w:lang w:eastAsia="pt-BR"/>
        </w:rPr>
        <w:t>Federal Reserve Bank of St. Louis</w:t>
      </w:r>
      <w:r>
        <w:rPr>
          <w:rStyle w:val="FootnoteReference"/>
          <w:rFonts w:eastAsia="Times New Roman"/>
          <w:i/>
          <w:iCs/>
          <w:color w:val="3465A4"/>
          <w:lang w:eastAsia="pt-BR"/>
        </w:rPr>
        <w:footnoteReference w:id="3"/>
      </w:r>
      <w:r>
        <w:rPr>
          <w:rFonts w:eastAsia="Times New Roman"/>
          <w:lang w:eastAsia="pt-BR"/>
        </w:rPr>
        <w:t xml:space="preserve">, também incluindo expectativas de taxas futuras (períodos de 6 e 12 meses). </w:t>
      </w:r>
      <w:r>
        <w:rPr>
          <w:rFonts w:eastAsia="Times New Roman"/>
          <w:i w:val="false"/>
          <w:iCs w:val="false"/>
          <w:color w:val="3465A4"/>
          <w:lang w:eastAsia="pt-BR"/>
        </w:rPr>
        <w:t xml:space="preserve">Para estas taxas de juros de expectativas futuras é utilizada a própria taxa efetiva futura mais um ruido aleatório de até 1pp ao ano. </w:t>
      </w:r>
      <w:r>
        <w:rPr>
          <w:rFonts w:eastAsia="Times New Roman"/>
          <w:i w:val="false"/>
          <w:iCs w:val="false"/>
          <w:color w:val="3465A4"/>
          <w:lang w:eastAsia="pt-BR"/>
        </w:rPr>
        <w:t>Este ruído é incluído em função da impossibilidade de se conhecer a taxa futura efetiva a priori</w:t>
      </w:r>
      <w:r>
        <w:rPr>
          <w:rFonts w:eastAsia="Times New Roman"/>
          <w:i w:val="false"/>
          <w:iCs w:val="false"/>
          <w:color w:val="3465A4"/>
          <w:lang w:eastAsia="pt-BR"/>
        </w:rPr>
        <w:t>.</w:t>
      </w:r>
    </w:p>
    <w:p>
      <w:pPr>
        <w:pStyle w:val="Normal"/>
        <w:shd w:val="clear" w:color="auto" w:fill="FFFFFF"/>
        <w:spacing w:lineRule="auto" w:line="360"/>
        <w:ind w:firstLine="709"/>
        <w:rPr>
          <w:color w:val="3465A4"/>
        </w:rPr>
      </w:pPr>
      <w:r>
        <w:rPr>
          <w:rFonts w:eastAsia="Times New Roman"/>
          <w:color w:val="3465A4"/>
          <w:lang w:eastAsia="pt-BR"/>
        </w:rPr>
        <w:t xml:space="preserve">A EFFR é estabelecida pelo </w:t>
      </w:r>
      <w:r>
        <w:rPr>
          <w:rFonts w:eastAsia="Times New Roman"/>
          <w:i/>
          <w:iCs/>
          <w:color w:val="3465A4"/>
          <w:lang w:eastAsia="pt-BR"/>
        </w:rPr>
        <w:t xml:space="preserve">Federal Open Market Comitee </w:t>
      </w:r>
      <w:r>
        <w:rPr>
          <w:rFonts w:eastAsia="Times New Roman"/>
          <w:i w:val="false"/>
          <w:iCs w:val="false"/>
          <w:color w:val="3465A4"/>
          <w:lang w:eastAsia="pt-BR"/>
        </w:rPr>
        <w:t xml:space="preserve">(FOMC), órgão americano equivalente ao Comitê de Política Monetária (Copom) no Brasil, responsável pelas diretrizes da política monetária e, particularmante,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i w:val="false"/>
          <w:iCs w:val="false"/>
          <w:color w:val="3465A4"/>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i w:val="false"/>
          <w:iCs w:val="false"/>
          <w:color w:val="3465A4"/>
          <w:lang w:eastAsia="pt-BR"/>
        </w:rPr>
        <w:footnoteReference w:id="4"/>
      </w:r>
      <w:r>
        <w:rPr>
          <w:rFonts w:eastAsia="Times New Roman"/>
          <w:i w:val="false"/>
          <w:iCs w:val="false"/>
          <w:color w:val="3465A4"/>
          <w:lang w:eastAsia="pt-BR"/>
        </w:rPr>
        <w:t xml:space="preserve">. Por questões de reproducibilidade,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rFonts w:eastAsia="Times New Roman"/>
          <w:lang w:eastAsia="pt-BR"/>
        </w:rPr>
      </w:pPr>
      <w:r>
        <w:rPr/>
        <w:t>O banco de dados compreende o período de janeiro de 2007 até o final de 2017, é composto de 107 variáveis numéricas e 35 variáveis não-numéricas (datas, categorias, etc.), com 2,92 milhões de observações no total.</w:t>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features desnecessárias e procedimentos como o One Hot Encoding e </w:t>
      </w:r>
      <w:r>
        <w:rPr>
          <w:i/>
          <w:iCs/>
        </w:rPr>
        <w:t>binning</w:t>
      </w:r>
      <w:r>
        <w:rPr/>
        <w:t xml:space="preserve"> de categorias, o banco de dados finalizado compreende um total de 210 features, todas numéricas, prontas para serem utilizadas no treinamento e verificação dos modelos propostos, contendo um total de 2,35 milhões de observações.</w:t>
      </w:r>
    </w:p>
    <w:p>
      <w:pPr>
        <w:pStyle w:val="Normal"/>
        <w:spacing w:lineRule="auto" w:line="360"/>
        <w:ind w:firstLine="709"/>
        <w:jc w:val="both"/>
        <w:rPr/>
      </w:pPr>
      <w:r>
        <w:rPr/>
        <w:t xml:space="preserve">Anterior ao início de treino e verificação dos modelos, é separado um grupo de observações (15% do total) com dois objetivos: (1) redução de dimensionalidade do banco de dados, possibilitando a computação pela máquina local em utilização (economias de CPU e RAM); e (2) servir como base de teste dos modelos em linha de produção, ou seja, sendo utilizados no dia-a-dia da instituição financeira. Dos 85% restantes (2 milhões de osbervações), separa-se dois agregados distintos: um grupo exclusivo para treinamento dos modelos (80% desse montante) e outro grupo exclusivo para teste dos modelos (os 20% restantes). </w:t>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xml:space="preserve">),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w:t>
      </w:r>
      <w:r>
        <w:rPr>
          <w:color w:val="3465A4"/>
        </w:rPr>
        <w:t>Sobre modelo LDA específico para classificações em apenas duas categorias, Duda et al. (2021) informam que este pode ser também chamado de Fisher Discriminant Analysis (FDA).</w:t>
      </w:r>
    </w:p>
    <w:p>
      <w:pPr>
        <w:pStyle w:val="Normal"/>
        <w:spacing w:lineRule="auto" w:line="360"/>
        <w:ind w:firstLine="709"/>
        <w:rPr>
          <w:color w:val="3465A4"/>
        </w:rPr>
      </w:pPr>
      <w:r>
        <w:rPr>
          <w:color w:val="3465A4"/>
        </w:rPr>
        <w:t>Uma função discriminante linear divide o espaço de variáveis por um hiperplano de limiar de decisão (D</w:t>
      </w:r>
      <w:r>
        <w:rPr>
          <w:color w:val="3465A4"/>
        </w:rPr>
        <w:t>uda</w:t>
      </w:r>
      <w:r>
        <w:rPr>
          <w:color w:val="3465A4"/>
        </w:rPr>
        <w:t xml:space="preserve"> et al., 2021). Estes autores escrevem que essa função é uma combinação linear dos componentes de </w:t>
      </w:r>
      <w:r>
        <w:rPr/>
      </w:r>
      <m:oMath xmlns:m="http://schemas.openxmlformats.org/officeDocument/2006/math">
        <m:r>
          <w:rPr>
            <w:rFonts w:ascii="Cambria Math" w:hAnsi="Cambria Math"/>
          </w:rPr>
          <m:t xml:space="preserve">x</m:t>
        </m:r>
      </m:oMath>
      <w:r>
        <w:rPr>
          <w:color w:val="3465A4"/>
        </w:rPr>
        <w:t xml:space="preserve"> que pode ser escrita conforme a eq. (1):</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pPr>
            <w:r>
              <w:rPr/>
              <w:t>(1)</w:t>
            </w:r>
          </w:p>
        </w:tc>
      </w:tr>
    </w:tbl>
    <w:p>
      <w:pPr>
        <w:pStyle w:val="Normal"/>
        <w:spacing w:lineRule="auto" w:line="360"/>
        <w:ind w:hanging="0"/>
        <w:jc w:val="both"/>
        <w:rPr>
          <w:color w:val="3465A4"/>
        </w:rPr>
      </w:pPr>
      <w:r>
        <w:rPr>
          <w:color w:val="3465A4"/>
        </w:rPr>
        <w:t xml:space="preserve">onde </w:t>
      </w:r>
      <w:r>
        <w:rPr/>
      </w:r>
      <m:oMath xmlns:m="http://schemas.openxmlformats.org/officeDocument/2006/math">
        <m:r>
          <w:rPr>
            <w:rFonts w:ascii="Cambria Math" w:hAnsi="Cambria Math"/>
          </w:rPr>
          <m:t xml:space="preserve">w</m:t>
        </m:r>
      </m:oMath>
      <w:r>
        <w:rPr>
          <w:color w:val="3465A4"/>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3465A4"/>
        </w:rPr>
        <w:t xml:space="preserve"> é a tendência ou o limiar de discriminação (</w:t>
      </w:r>
      <w:r>
        <w:rPr>
          <w:i/>
          <w:iCs/>
          <w:color w:val="3465A4"/>
        </w:rPr>
        <w:t>threshold weight</w:t>
      </w:r>
      <w:r>
        <w:rPr>
          <w:color w:val="3465A4"/>
        </w:rPr>
        <w:t xml:space="preserve">). </w:t>
      </w:r>
    </w:p>
    <w:p>
      <w:pPr>
        <w:pStyle w:val="Normal"/>
        <w:spacing w:lineRule="auto" w:line="360"/>
        <w:ind w:hanging="0"/>
        <w:jc w:val="both"/>
        <w:rPr>
          <w:color w:val="3465A4"/>
        </w:rPr>
      </w:pPr>
      <w:r>
        <w:rPr>
          <w:color w:val="3465A4"/>
        </w:rPr>
        <w:tab/>
        <w:t xml:space="preserve">Duda et al. (2021) continuam a informação de que um classificador linear de duas categorias implementa a seguinte regra de decisão: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3465A4"/>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3465A4"/>
        </w:rPr>
        <w:t xml:space="preserve">. Assim, </w:t>
      </w:r>
      <w:r>
        <w:rPr/>
      </w:r>
      <m:oMath xmlns:m="http://schemas.openxmlformats.org/officeDocument/2006/math">
        <m:r>
          <w:rPr>
            <w:rFonts w:ascii="Cambria Math" w:hAnsi="Cambria Math"/>
          </w:rPr>
          <m:t xml:space="preserve">x</m:t>
        </m:r>
      </m:oMath>
      <w:r>
        <w:rPr>
          <w:color w:val="3465A4"/>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color w:val="3465A4"/>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3465A4"/>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3465A4"/>
        </w:rPr>
        <w:t xml:space="preserve">, então </w:t>
      </w:r>
      <w:r>
        <w:rPr/>
      </w:r>
      <m:oMath xmlns:m="http://schemas.openxmlformats.org/officeDocument/2006/math">
        <m:r>
          <w:rPr>
            <w:rFonts w:ascii="Cambria Math" w:hAnsi="Cambria Math"/>
          </w:rPr>
          <m:t xml:space="preserve">x</m:t>
        </m:r>
      </m:oMath>
      <w:r>
        <w:rPr>
          <w:color w:val="3465A4"/>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color w:val="3465A4"/>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color w:val="3465A4"/>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color w:val="3465A4"/>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color w:val="3465A4"/>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color w:val="3465A4"/>
        </w:rPr>
        <w:t xml:space="preserve"> e isso demonstra que </w:t>
      </w:r>
      <w:r>
        <w:rPr/>
      </w:r>
      <m:oMath xmlns:m="http://schemas.openxmlformats.org/officeDocument/2006/math">
        <m:r>
          <w:rPr>
            <w:rFonts w:ascii="Cambria Math" w:hAnsi="Cambria Math"/>
          </w:rPr>
          <m:t xml:space="preserve">w</m:t>
        </m:r>
      </m:oMath>
      <w:r>
        <w:rPr>
          <w:color w:val="3465A4"/>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color w:val="3465A4"/>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color w:val="3465A4"/>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3465A4"/>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color w:val="3465A4"/>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3465A4"/>
        </w:rPr>
        <w:t xml:space="preserve">, se </w:t>
      </w:r>
      <w:r>
        <w:rPr/>
      </w:r>
      <m:oMath xmlns:m="http://schemas.openxmlformats.org/officeDocument/2006/math">
        <m:r>
          <w:rPr>
            <w:rFonts w:ascii="Cambria Math" w:hAnsi="Cambria Math"/>
          </w:rPr>
          <m:t xml:space="preserve">x</m:t>
        </m:r>
      </m:oMath>
      <w:r>
        <w:rPr>
          <w:color w:val="3465A4"/>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sucede-se que o vetor normal </w:t>
      </w:r>
      <w:r>
        <w:rPr/>
      </w:r>
      <m:oMath xmlns:m="http://schemas.openxmlformats.org/officeDocument/2006/math">
        <m:r>
          <w:rPr>
            <w:rFonts w:ascii="Cambria Math" w:hAnsi="Cambria Math"/>
          </w:rPr>
          <m:t xml:space="preserve">w</m:t>
        </m:r>
      </m:oMath>
      <w:r>
        <w:rPr>
          <w:color w:val="3465A4"/>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Ocasionalmente refere-se que qualquer </w:t>
      </w:r>
      <w:r>
        <w:rPr/>
      </w:r>
      <m:oMath xmlns:m="http://schemas.openxmlformats.org/officeDocument/2006/math">
        <m:r>
          <w:rPr>
            <w:rFonts w:ascii="Cambria Math" w:hAnsi="Cambria Math"/>
          </w:rPr>
          <m:t xml:space="preserve">x</m:t>
        </m:r>
      </m:oMath>
      <w:r>
        <w:rPr>
          <w:color w:val="3465A4"/>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color w:val="3465A4"/>
        </w:rPr>
        <w:t xml:space="preserve"> encontra-se no </w:t>
      </w:r>
      <w:r>
        <w:rPr>
          <w:i/>
          <w:iCs/>
          <w:color w:val="3465A4"/>
        </w:rPr>
        <w:t>lado positivo</w:t>
      </w:r>
      <w:r>
        <w:rPr>
          <w:color w:val="3465A4"/>
        </w:rPr>
        <w:t xml:space="preserve"> de </w:t>
      </w:r>
      <w:r>
        <w:rPr/>
      </w:r>
      <m:oMath xmlns:m="http://schemas.openxmlformats.org/officeDocument/2006/math">
        <m:r>
          <w:rPr>
            <w:rFonts w:ascii="Cambria Math" w:hAnsi="Cambria Math"/>
          </w:rPr>
          <m:t xml:space="preserve">H</m:t>
        </m:r>
      </m:oMath>
      <w:r>
        <w:rPr>
          <w:color w:val="3465A4"/>
        </w:rPr>
        <w:t xml:space="preserve"> e qualquer </w:t>
      </w:r>
      <w:r>
        <w:rPr/>
      </w:r>
      <m:oMath xmlns:m="http://schemas.openxmlformats.org/officeDocument/2006/math">
        <m:r>
          <w:rPr>
            <w:rFonts w:ascii="Cambria Math" w:hAnsi="Cambria Math"/>
          </w:rPr>
          <m:t xml:space="preserve">x</m:t>
        </m:r>
      </m:oMath>
      <w:r>
        <w:rPr>
          <w:color w:val="3465A4"/>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color w:val="3465A4"/>
        </w:rPr>
        <w:t xml:space="preserve"> encontra-se no </w:t>
      </w:r>
      <w:r>
        <w:rPr>
          <w:i/>
          <w:iCs/>
          <w:color w:val="3465A4"/>
        </w:rPr>
        <w:t>lado negativo</w:t>
      </w:r>
      <w:r>
        <w:rPr>
          <w:color w:val="3465A4"/>
        </w:rPr>
        <w:t xml:space="preserve"> de </w:t>
      </w:r>
      <w:r>
        <w:rPr/>
      </w:r>
      <m:oMath xmlns:m="http://schemas.openxmlformats.org/officeDocument/2006/math">
        <m:r>
          <w:rPr>
            <w:rFonts w:ascii="Cambria Math" w:hAnsi="Cambria Math"/>
          </w:rPr>
          <m:t xml:space="preserve">H</m:t>
        </m:r>
      </m:oMath>
      <w:r>
        <w:rPr>
          <w:color w:val="3465A4"/>
        </w:rPr>
        <w:t>.</w:t>
      </w:r>
    </w:p>
    <w:p>
      <w:pPr>
        <w:pStyle w:val="Normal"/>
        <w:spacing w:lineRule="auto" w:line="360"/>
        <w:ind w:firstLine="709"/>
        <w:rPr>
          <w:color w:val="3465A4"/>
        </w:rPr>
      </w:pPr>
      <w:r>
        <w:rPr>
          <w:color w:val="3465A4"/>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color w:val="3465A4"/>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color w:val="3465A4"/>
        </w:rPr>
        <w:t xml:space="preserve">. A função discrimante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xml:space="preserve"> é proporcional à distância sinalizada de </w:t>
      </w:r>
      <w:r>
        <w:rPr/>
      </w:r>
      <m:oMath xmlns:m="http://schemas.openxmlformats.org/officeDocument/2006/math">
        <m:r>
          <w:rPr>
            <w:rFonts w:ascii="Cambria Math" w:hAnsi="Cambria Math"/>
          </w:rPr>
          <m:t xml:space="preserve">x</m:t>
        </m:r>
      </m:oMath>
      <w:r>
        <w:rPr>
          <w:color w:val="3465A4"/>
        </w:rPr>
        <w:t xml:space="preserve"> em diração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color w:val="3465A4"/>
        </w:rPr>
        <w:t xml:space="preserve"> quando </w:t>
      </w:r>
      <w:r>
        <w:rPr/>
      </w:r>
      <m:oMath xmlns:m="http://schemas.openxmlformats.org/officeDocument/2006/math">
        <m:r>
          <w:rPr>
            <w:rFonts w:ascii="Cambria Math" w:hAnsi="Cambria Math"/>
          </w:rPr>
          <m:t xml:space="preserve">x</m:t>
        </m:r>
      </m:oMath>
      <w:r>
        <w:rPr>
          <w:color w:val="3465A4"/>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color w:val="3465A4"/>
        </w:rPr>
        <w:t xml:space="preserve"> quando </w:t>
      </w:r>
      <w:r>
        <w:rPr/>
      </w:r>
      <m:oMath xmlns:m="http://schemas.openxmlformats.org/officeDocument/2006/math">
        <m:r>
          <w:rPr>
            <w:rFonts w:ascii="Cambria Math" w:hAnsi="Cambria Math"/>
          </w:rPr>
          <m:t xml:space="preserve">x</m:t>
        </m:r>
      </m:oMath>
      <w:r>
        <w:rPr>
          <w:color w:val="3465A4"/>
        </w:rPr>
        <w:t xml:space="preserve"> está no lado negativo (D</w:t>
      </w:r>
      <w:r>
        <w:rPr>
          <w:color w:val="3465A4"/>
        </w:rPr>
        <w:t>uda</w:t>
      </w:r>
      <w:r>
        <w:rPr>
          <w:color w:val="3465A4"/>
        </w:rPr>
        <w:t xml:space="preserve"> et al., 2021).</w:t>
      </w:r>
    </w:p>
    <w:p>
      <w:pPr>
        <w:pStyle w:val="Normal"/>
        <w:spacing w:lineRule="auto" w:line="360"/>
        <w:ind w:firstLine="709"/>
        <w:rPr/>
      </w:pPr>
      <w:r>
        <w:rPr>
          <w:color w:val="3465A4"/>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xml:space="preserve"> retorna uma medida algébrica da distância de </w:t>
      </w:r>
      <w:r>
        <w:rPr/>
      </w:r>
      <m:oMath xmlns:m="http://schemas.openxmlformats.org/officeDocument/2006/math">
        <m:r>
          <w:rPr>
            <w:rFonts w:ascii="Cambria Math" w:hAnsi="Cambria Math"/>
          </w:rPr>
          <m:t xml:space="preserve">x</m:t>
        </m:r>
      </m:oMath>
      <w:r>
        <w:rPr>
          <w:color w:val="3465A4"/>
        </w:rPr>
        <w:t xml:space="preserve"> em relação ao hiperplano. Alternativamente, é possível expressar </w:t>
      </w:r>
      <w:r>
        <w:rPr/>
      </w:r>
      <m:oMath xmlns:m="http://schemas.openxmlformats.org/officeDocument/2006/math">
        <m:r>
          <w:rPr>
            <w:rFonts w:ascii="Cambria Math" w:hAnsi="Cambria Math"/>
          </w:rPr>
          <m:t xml:space="preserve">x</m:t>
        </m:r>
      </m:oMath>
      <w:r>
        <w:rPr>
          <w:color w:val="3465A4"/>
        </w:rPr>
        <w:t xml:space="preserve"> como descrito na eq. (2):</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(2)</w:t>
            </w:r>
          </w:p>
        </w:tc>
      </w:tr>
    </w:tbl>
    <w:p>
      <w:pPr>
        <w:pStyle w:val="Normal"/>
        <w:spacing w:lineRule="auto" w:line="360"/>
        <w:ind w:hanging="0"/>
        <w:rPr/>
      </w:pPr>
      <w:r>
        <w:rPr>
          <w:color w:val="3465A4"/>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color w:val="3465A4"/>
        </w:rPr>
        <w:t xml:space="preserve"> é a projeção regular de </w:t>
      </w:r>
      <w:r>
        <w:rPr/>
      </w:r>
      <m:oMath xmlns:m="http://schemas.openxmlformats.org/officeDocument/2006/math">
        <m:r>
          <w:rPr>
            <w:rFonts w:ascii="Cambria Math" w:hAnsi="Cambria Math"/>
          </w:rPr>
          <m:t xml:space="preserve">x</m:t>
        </m:r>
      </m:oMath>
      <w:r>
        <w:rPr>
          <w:color w:val="3465A4"/>
        </w:rPr>
        <w:t xml:space="preserve"> em </w:t>
      </w:r>
      <w:r>
        <w:rPr/>
      </w:r>
      <m:oMath xmlns:m="http://schemas.openxmlformats.org/officeDocument/2006/math">
        <m:r>
          <w:rPr>
            <w:rFonts w:ascii="Cambria Math" w:hAnsi="Cambria Math"/>
          </w:rPr>
          <m:t xml:space="preserve">H</m:t>
        </m:r>
      </m:oMath>
      <w:r>
        <w:rPr>
          <w:color w:val="3465A4"/>
        </w:rPr>
        <w:t xml:space="preserve">, e </w:t>
      </w:r>
      <w:r>
        <w:rPr/>
      </w:r>
      <m:oMath xmlns:m="http://schemas.openxmlformats.org/officeDocument/2006/math">
        <m:r>
          <w:rPr>
            <w:rFonts w:ascii="Cambria Math" w:hAnsi="Cambria Math"/>
          </w:rPr>
          <m:t xml:space="preserve">r</m:t>
        </m:r>
      </m:oMath>
      <w:r>
        <w:rPr>
          <w:color w:val="3465A4"/>
        </w:rPr>
        <w:t xml:space="preserve"> é a distância algébrica desejada - positiva se </w:t>
      </w:r>
      <w:r>
        <w:rPr/>
      </w:r>
      <m:oMath xmlns:m="http://schemas.openxmlformats.org/officeDocument/2006/math">
        <m:r>
          <w:rPr>
            <w:rFonts w:ascii="Cambria Math" w:hAnsi="Cambria Math"/>
          </w:rPr>
          <m:t xml:space="preserve">x</m:t>
        </m:r>
      </m:oMath>
      <w:r>
        <w:rPr>
          <w:color w:val="3465A4"/>
        </w:rPr>
        <w:t xml:space="preserve"> está no lado positivo e negativa se </w:t>
      </w:r>
      <w:r>
        <w:rPr/>
      </w:r>
      <m:oMath xmlns:m="http://schemas.openxmlformats.org/officeDocument/2006/math">
        <m:r>
          <w:rPr>
            <w:rFonts w:ascii="Cambria Math" w:hAnsi="Cambria Math"/>
          </w:rPr>
          <m:t xml:space="preserve">x</m:t>
        </m:r>
      </m:oMath>
      <w:r>
        <w:rPr>
          <w:color w:val="3465A4"/>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color w:val="3465A4"/>
        </w:rPr>
        <w:t>, tem-se a eq. (3):</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pPr>
            <w:r>
              <w:rPr/>
              <w:t>(3)</w:t>
            </w:r>
          </w:p>
        </w:tc>
      </w:tr>
    </w:tbl>
    <w:p>
      <w:pPr>
        <w:pStyle w:val="Normal"/>
        <w:spacing w:lineRule="auto" w:line="360"/>
        <w:ind w:hanging="0"/>
        <w:rPr/>
      </w:pPr>
      <w:r>
        <w:rPr>
          <w:color w:val="3465A4"/>
        </w:rPr>
        <w:t xml:space="preserve">que, invertendo </w:t>
      </w:r>
      <w:r>
        <w:rPr/>
      </w:r>
      <m:oMath xmlns:m="http://schemas.openxmlformats.org/officeDocument/2006/math">
        <m:d>
          <m:dPr>
            <m:begChr m:val="‖"/>
            <m:endChr m:val="‖"/>
          </m:dPr>
          <m:e>
            <m:r>
              <w:rPr>
                <w:rFonts w:ascii="Cambria Math" w:hAnsi="Cambria Math"/>
              </w:rPr>
              <m:t xml:space="preserve">w</m:t>
            </m:r>
          </m:e>
        </m:d>
      </m:oMath>
      <w:r>
        <w:rPr>
          <w:color w:val="3465A4"/>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color w:val="3465A4"/>
        </w:rPr>
        <w:t>, tem-se a eq. (4):</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(3)</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color w:val="3465A4"/>
        </w:rPr>
        <w:t xml:space="preserve">Cada resultado de uma decisão em um dado nó é chamado de </w:t>
      </w:r>
      <w:r>
        <w:rPr>
          <w:i/>
          <w:iCs/>
          <w:color w:val="3465A4"/>
        </w:rPr>
        <w:t xml:space="preserve">split </w:t>
      </w:r>
      <w:r>
        <w:rPr>
          <w:i w:val="false"/>
          <w:iCs w:val="false"/>
          <w:color w:val="3465A4"/>
        </w:rPr>
        <w:t>(separação, divisão)</w:t>
      </w:r>
      <w:r>
        <w:rPr>
          <w:color w:val="3465A4"/>
        </w:rPr>
        <w:t>, uma vez que pode ser representado utilizando apenas decisões binárias e corresponde à separação (</w:t>
      </w:r>
      <w:r>
        <w:rPr>
          <w:i/>
          <w:iCs/>
          <w:color w:val="3465A4"/>
        </w:rPr>
        <w:t>split</w:t>
      </w:r>
      <w:r>
        <w:rPr>
          <w:color w:val="3465A4"/>
        </w:rPr>
        <w:t>, literalmente) de um banco de dados em dois subgrupos. O primeiro nó (também chamado de nó raiz) separa a totalidade do dataset em uso, cada sucessiva decisão separa um sub-grupo apropriado de dados (D</w:t>
      </w:r>
      <w:r>
        <w:rPr>
          <w:color w:val="3465A4"/>
        </w:rPr>
        <w:t>uda</w:t>
      </w:r>
      <w:r>
        <w:rPr>
          <w:color w:val="3465A4"/>
        </w:rPr>
        <w:t xml:space="preserve"> et al., 2021). Via de regra, a quantidade máxima de splits é definida como hiperparâmetro, ou seja, definida pelo usuário, e pode variar ao longo da(s) árvore(s).</w:t>
      </w:r>
    </w:p>
    <w:p>
      <w:pPr>
        <w:pStyle w:val="Normal"/>
        <w:spacing w:lineRule="auto" w:line="360"/>
        <w:ind w:firstLine="709"/>
        <w:rPr>
          <w:color w:val="3465A4"/>
        </w:rPr>
      </w:pPr>
      <w:r>
        <w:rPr>
          <w:color w:val="3465A4"/>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feature utilizada; segundo, que os modelos de random forest são simples de usar e muito convenientes uma vez que produzam boas predições valendo-se dos hiperparâmetros padrões; e terceiro, que os modelos de random forest raramente atingem o </w:t>
      </w:r>
      <w:r>
        <w:rPr>
          <w:i/>
          <w:iCs/>
          <w:color w:val="3465A4"/>
        </w:rPr>
        <w:t>overfit</w:t>
      </w:r>
      <w:r>
        <w:rPr>
          <w:i w:val="false"/>
          <w:iCs w:val="false"/>
          <w:color w:val="3465A4"/>
        </w:rPr>
        <w:t>, a adaptação perfeita ou quase-perfeita do algoritmo ao banco de dados de treino</w:t>
      </w:r>
      <w:r>
        <w:rPr>
          <w:color w:val="3465A4"/>
        </w:rPr>
        <w:t>, uma vez que se possua uma quantidade significativa de árvores de decisão na floresta.</w:t>
      </w:r>
    </w:p>
    <w:p>
      <w:pPr>
        <w:pStyle w:val="Normal"/>
        <w:spacing w:lineRule="auto" w:line="360"/>
        <w:ind w:firstLine="709"/>
        <w:rPr>
          <w:color w:val="3465A4"/>
        </w:rPr>
      </w:pPr>
      <w:r>
        <w:rPr>
          <w:color w:val="3465A4"/>
        </w:rPr>
        <w:t xml:space="preserve">Contudo, </w:t>
      </w:r>
      <w:r>
        <w:rPr>
          <w:color w:val="3465A4"/>
        </w:rPr>
        <w:t xml:space="preserve">o trabalho de </w:t>
      </w:r>
      <w:r>
        <w:rPr>
          <w:color w:val="3465A4"/>
        </w:rPr>
        <w:t xml:space="preserve">Duda et al. (2021) informa que se os splits continuarem indefinidamente (e ao longo de todas as árvores distintas) até o ponto de menor impureza possível, então os dados sofreram </w:t>
      </w:r>
      <w:r>
        <w:rPr>
          <w:i/>
          <w:iCs/>
          <w:color w:val="3465A4"/>
        </w:rPr>
        <w:t>overfit</w:t>
      </w:r>
      <w:r>
        <w:rPr>
          <w:i w:val="false"/>
          <w:iCs w:val="false"/>
          <w:color w:val="3465A4"/>
        </w:rPr>
        <w:t>.</w:t>
      </w:r>
      <w:r>
        <w:rPr>
          <w:color w:val="3465A4"/>
        </w:rPr>
        <w:t xml:space="preserve">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color w:val="3465A4"/>
        </w:rPr>
        <w:t>loss</w:t>
      </w:r>
      <w:r>
        <w:rPr>
          <w:color w:val="3465A4"/>
        </w:rPr>
        <w:t>) resultante do treinamento não é suficientemente baixa e por consequência o modelo terá problemas de performance (</w:t>
      </w:r>
      <w:r>
        <w:rPr>
          <w:i/>
          <w:iCs/>
          <w:color w:val="3465A4"/>
        </w:rPr>
        <w:t>undefit</w:t>
      </w:r>
      <w:r>
        <w:rPr>
          <w:color w:val="3465A4"/>
        </w:rPr>
        <w:t>, a falha na adaptação do algoritmo ao banco de dados).</w:t>
      </w:r>
    </w:p>
    <w:p>
      <w:pPr>
        <w:pStyle w:val="Normal"/>
        <w:spacing w:lineRule="auto" w:line="360"/>
        <w:ind w:firstLine="709"/>
        <w:rPr>
          <w:color w:val="3465A4"/>
        </w:rPr>
      </w:pPr>
      <w:r>
        <w:rPr>
          <w:color w:val="3465A4"/>
        </w:rPr>
        <w:t>De acordo com Duda et al. (2021), o princípio fundamental que sustenta a criação de toda e cada árvore é o da simplicidade: decisões que resultem em árvores simples, compactas e com poucos nós são preferidas (o que corrobora com o princípio da Navalha de Occam, onde a explicação mais simples para um fenômeno é geralmente a mais correta). Para tanto, segundo os autores, é necessário uma propriedade de teste a cada nó que faça com que os dados cheguem aos nós imediatamente seguintes tão 'puros' quanto possível.</w:t>
      </w:r>
    </w:p>
    <w:p>
      <w:pPr>
        <w:pStyle w:val="Normal"/>
        <w:spacing w:lineRule="auto" w:line="360"/>
        <w:ind w:firstLine="709"/>
        <w:rPr>
          <w:color w:val="3465A4"/>
        </w:rPr>
      </w:pPr>
      <w:r>
        <w:rPr>
          <w:color w:val="3465A4"/>
        </w:rPr>
        <w:t xml:space="preserve">Nessa formalização os autores acreditam ser mais fácil definir a impureza de um nó do que a sua pureza. Assim, descrevem o complexo da definição como segue. Seja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N</m:t>
            </m:r>
          </m:e>
        </m:d>
      </m:oMath>
      <w:r>
        <w:rPr>
          <w:color w:val="3465A4"/>
        </w:rPr>
        <w:t xml:space="preserve"> a impureza de um nó </w:t>
      </w:r>
      <w:r>
        <w:rPr/>
      </w:r>
      <m:oMath xmlns:m="http://schemas.openxmlformats.org/officeDocument/2006/math">
        <m:r>
          <w:rPr>
            <w:rFonts w:ascii="Cambria Math" w:hAnsi="Cambria Math"/>
          </w:rPr>
          <m:t xml:space="preserve">N</m:t>
        </m:r>
      </m:oMath>
      <w:r>
        <w:rPr>
          <w:color w:val="3465A4"/>
        </w:rPr>
        <w:t xml:space="preserve">. Em todos os casos quer-se que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N</m:t>
            </m:r>
          </m:e>
        </m:d>
      </m:oMath>
      <w:r>
        <w:rPr>
          <w:color w:val="3465A4"/>
        </w:rPr>
        <w:t xml:space="preserve"> seja zero se todos os padrões que chegaram ao nó carregam o mesmo nome de categoria, e que seja maior que zero se as categorias estejam igualmente representadas. A métrica mais popularmente utilizada é a impureza de entropia (ou impureza de informação) conforme a eq. (4):</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m:t>
                </m:r>
                <m:nary>
                  <m:naryPr>
                    <m:chr m:val="∑"/>
                    <m:supHide m:val="1"/>
                  </m:naryPr>
                  <m:sub>
                    <m:r>
                      <w:rPr>
                        <w:rFonts w:ascii="Cambria Math" w:hAnsi="Cambria Math"/>
                      </w:rPr>
                      <m:t xml:space="preserve">j</m:t>
                    </m:r>
                  </m:sub>
                  <m:sup/>
                  <m:e>
                    <m:r>
                      <w:rPr>
                        <w:rFonts w:ascii="Cambria Math" w:hAnsi="Cambria Math"/>
                      </w:rPr>
                      <m:t xml:space="preserve">P</m:t>
                    </m:r>
                  </m:e>
                </m:nary>
                <m:d>
                  <m:dPr>
                    <m:begChr m:val="("/>
                    <m:endChr m:val=")"/>
                  </m:dPr>
                  <m:e>
                    <m:sSub>
                      <m:e>
                        <m:r>
                          <w:rPr>
                            <w:rFonts w:ascii="Cambria Math" w:hAnsi="Cambria Math"/>
                          </w:rPr>
                          <m:t xml:space="preserve">w</m:t>
                        </m:r>
                      </m:e>
                      <m:sub>
                        <m:r>
                          <w:rPr>
                            <w:rFonts w:ascii="Cambria Math" w:hAnsi="Cambria Math"/>
                          </w:rPr>
                          <m:t xml:space="preserve">j</m:t>
                        </m:r>
                      </m:sub>
                    </m:sSub>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j</m:t>
                        </m:r>
                      </m:sub>
                    </m:sSub>
                  </m:e>
                </m:d>
              </m:oMath>
            </m:oMathPara>
          </w:p>
        </w:tc>
        <w:tc>
          <w:tcPr>
            <w:tcW w:w="525" w:type="dxa"/>
            <w:tcBorders/>
            <w:vAlign w:val="center"/>
          </w:tcPr>
          <w:p>
            <w:pPr>
              <w:pStyle w:val="TableContents"/>
              <w:jc w:val="right"/>
              <w:rPr/>
            </w:pPr>
            <w:r>
              <w:rPr/>
              <w:t>(4)</w:t>
            </w:r>
          </w:p>
        </w:tc>
      </w:tr>
    </w:tbl>
    <w:p>
      <w:pPr>
        <w:pStyle w:val="Normal"/>
        <w:spacing w:lineRule="auto" w:line="360"/>
        <w:ind w:hanging="0"/>
        <w:rPr>
          <w:color w:val="3465A4"/>
        </w:rPr>
      </w:pPr>
      <w:r>
        <w:rPr>
          <w:color w:val="3465A4"/>
        </w:rPr>
        <w:t xml:space="preserve">onde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j</m:t>
                </m:r>
              </m:sub>
            </m:sSub>
          </m:e>
        </m:d>
      </m:oMath>
      <w:r>
        <w:rPr>
          <w:color w:val="3465A4"/>
        </w:rPr>
        <w:t xml:space="preserve"> é a quantidade percentual de padrões no nó </w:t>
      </w:r>
      <w:r>
        <w:rPr/>
      </w:r>
      <m:oMath xmlns:m="http://schemas.openxmlformats.org/officeDocument/2006/math">
        <m:r>
          <w:rPr>
            <w:rFonts w:ascii="Cambria Math" w:hAnsi="Cambria Math"/>
          </w:rPr>
          <m:t xml:space="preserve">N</m:t>
        </m:r>
      </m:oMath>
      <w:r>
        <w:rPr>
          <w:color w:val="3465A4"/>
        </w:rPr>
        <w:t xml:space="preserve"> que encontram-se na categoria </w:t>
      </w:r>
      <w:r>
        <w:rPr/>
      </w:r>
      <m:oMath xmlns:m="http://schemas.openxmlformats.org/officeDocument/2006/math">
        <m:sSub>
          <m:e>
            <m:r>
              <w:rPr>
                <w:rFonts w:ascii="Cambria Math" w:hAnsi="Cambria Math"/>
              </w:rPr>
              <m:t xml:space="preserve">w</m:t>
            </m:r>
          </m:e>
          <m:sub>
            <m:r>
              <w:rPr>
                <w:rFonts w:ascii="Cambria Math" w:hAnsi="Cambria Math"/>
              </w:rPr>
              <m:t xml:space="preserve">j</m:t>
            </m:r>
          </m:sub>
        </m:sSub>
      </m:oMath>
      <w:r>
        <w:rPr>
          <w:color w:val="3465A4"/>
        </w:rPr>
        <w:t>. Pelas propriedades de entropia, se todos os padrões são da mesma categoria, a impureza é, então, zero; ao contrário ela é positiva, com o maior valor possível ocorrendo quando as diferentes classes são igualmente prováveis.</w:t>
      </w:r>
    </w:p>
    <w:p>
      <w:pPr>
        <w:pStyle w:val="Normal"/>
        <w:spacing w:lineRule="auto" w:line="360"/>
        <w:ind w:firstLine="709"/>
        <w:rPr>
          <w:color w:val="3465A4"/>
        </w:rPr>
      </w:pPr>
      <w:r>
        <w:rPr>
          <w:color w:val="3465A4"/>
        </w:rPr>
        <w:t>Duda et al. (2021) escrevem que uma random forest é particularmente útil em problemas binários, uma vez que impureza zero é desejável apenas quando o nó representa somente padrões de uma única categoria. A mais simples forma polinomial dá-se pela eq. (5):</w:t>
      </w:r>
    </w:p>
    <w:tbl>
      <w:tblPr>
        <w:tblW w:w="9075" w:type="dxa"/>
        <w:jc w:val="left"/>
        <w:tblInd w:w="55" w:type="dxa"/>
        <w:tblLayout w:type="fixed"/>
        <w:tblCellMar>
          <w:top w:w="55" w:type="dxa"/>
          <w:left w:w="55" w:type="dxa"/>
          <w:bottom w:w="55" w:type="dxa"/>
          <w:right w:w="55" w:type="dxa"/>
        </w:tblCellMar>
      </w:tblPr>
      <w:tblGrid>
        <w:gridCol w:w="8550"/>
        <w:gridCol w:w="525"/>
      </w:tblGrid>
      <w:tr>
        <w:trPr/>
        <w:tc>
          <w:tcPr>
            <w:tcW w:w="855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pPr>
            <w:r>
              <w:rPr/>
              <w:t>(5)</w:t>
            </w:r>
          </w:p>
        </w:tc>
      </w:tr>
    </w:tbl>
    <w:p>
      <w:pPr>
        <w:pStyle w:val="Normal"/>
        <w:spacing w:lineRule="auto" w:line="360"/>
        <w:ind w:hanging="0"/>
        <w:rPr>
          <w:color w:val="3465A4"/>
        </w:rPr>
      </w:pPr>
      <w:r>
        <w:rPr>
          <w:color w:val="3465A4"/>
        </w:rPr>
        <w:t>o que pode ser interpretado como variância de impureza, uma vez que ela é relacionada à variância de uma distrubição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porformance, seu funcionamento é similar ao gradient boosting (que estima múltimplos modelos iterativamente e atribui pesos a cada instância de dados) porém ele cria árvores de decisão em paralelo ao invés de serializadas. </w:t>
      </w:r>
      <w:r>
        <w:rPr>
          <w:color w:val="3465A4"/>
        </w:rPr>
        <w:t>De acordo com os autores, o algoritmo começa desenvolvendo um modelo fraco (por exemplo, uma árvore de decisão rasa), em sequência um modelo melhorado tenta resover os problemas encontrados pelo modelo anterior. As instâncias em que as classificações foram incorretas pelo modelo anterior tem novos pesos atribuídos e o processo é repetido por um número X de vezes (definido pelo usuário), onde um teceiro modelo tenta resolver os problemas do segundo e assim sucessivamente, buscando minimizar a função de perda (</w:t>
      </w:r>
      <w:r>
        <w:rPr>
          <w:i/>
          <w:iCs/>
          <w:color w:val="3465A4"/>
        </w:rPr>
        <w:t>loss</w:t>
      </w:r>
      <w:r>
        <w:rPr>
          <w:color w:val="3465A4"/>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w:t>
      </w:r>
      <w:r>
        <w:rPr>
          <w:color w:val="3465A4"/>
        </w:rPr>
        <w:t xml:space="preserve">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color w:val="3465A4"/>
        </w:rPr>
        <w:t xml:space="preserve"> entre os hiperplanos negativo e positivo., conforme a eq. (6):</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pPr>
            <w:r>
              <w:rPr/>
              <w:t>(6)</w:t>
            </w:r>
          </w:p>
        </w:tc>
      </w:tr>
    </w:tbl>
    <w:p>
      <w:pPr>
        <w:pStyle w:val="Normal"/>
        <w:spacing w:lineRule="auto" w:line="360"/>
        <w:ind w:firstLine="709"/>
        <w:rPr/>
      </w:pPr>
      <w:r>
        <w:rPr>
          <w:color w:val="3465A4"/>
        </w:rPr>
        <w:t xml:space="preserve">A classe correta é então atribuída de acordo com a eq. (7): </w:t>
      </w:r>
    </w:p>
    <w:tbl>
      <w:tblPr>
        <w:tblW w:w="9090" w:type="dxa"/>
        <w:jc w:val="left"/>
        <w:tblInd w:w="55" w:type="dxa"/>
        <w:tblLayout w:type="fixed"/>
        <w:tblCellMar>
          <w:top w:w="55" w:type="dxa"/>
          <w:left w:w="55" w:type="dxa"/>
          <w:bottom w:w="55" w:type="dxa"/>
          <w:right w:w="55" w:type="dxa"/>
        </w:tblCellMar>
      </w:tblPr>
      <w:tblGrid>
        <w:gridCol w:w="8520"/>
        <w:gridCol w:w="569"/>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m:t>
                    </m:r>
                    <m:r>
                      <w:rPr>
                        <w:rFonts w:ascii="Cambria Math" w:hAnsi="Cambria Math"/>
                      </w:rPr>
                      <m:t xml:space="preserv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m:t>
                    </m:r>
                    <m:r>
                      <w:rPr>
                        <w:rFonts w:ascii="Cambria Math" w:hAnsi="Cambria Math"/>
                      </w:rPr>
                      <m:t xml:space="preserv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pPr>
            <w:r>
              <w:rPr/>
              <w:t>(7)</w:t>
            </w:r>
          </w:p>
        </w:tc>
      </w:tr>
    </w:tbl>
    <w:p>
      <w:pPr>
        <w:pStyle w:val="Normal"/>
        <w:spacing w:lineRule="auto" w:line="360"/>
        <w:ind w:hanging="0"/>
        <w:rPr/>
      </w:pPr>
      <w:r>
        <w:rPr>
          <w:color w:val="3465A4"/>
        </w:rPr>
        <w:t xml:space="preserve">onde </w:t>
      </w:r>
      <w:r>
        <w:rPr/>
      </w:r>
      <m:oMath xmlns:m="http://schemas.openxmlformats.org/officeDocument/2006/math">
        <m:r>
          <w:rPr>
            <w:rFonts w:ascii="Cambria Math" w:hAnsi="Cambria Math"/>
          </w:rPr>
          <m:t xml:space="preserve">b</m:t>
        </m:r>
      </m:oMath>
      <w:r>
        <w:rPr>
          <w:color w:val="3465A4"/>
        </w:rPr>
        <w:t xml:space="preserve"> representa a tendência ou viés. </w:t>
      </w:r>
      <w:r>
        <w:rPr>
          <w:color w:val="3465A4"/>
        </w:rPr>
        <w:t>Desse modo, quanto maior a margem melhor é a generalização do classificador.</w:t>
      </w:r>
    </w:p>
    <w:p>
      <w:pPr>
        <w:pStyle w:val="Normal"/>
        <w:spacing w:lineRule="auto" w:line="360"/>
        <w:ind w:firstLine="709"/>
        <w:rPr/>
      </w:pPr>
      <w:r>
        <w:rPr/>
        <w:t xml:space="preserve">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color w:val="3465A4"/>
        </w:rPr>
        <w:t xml:space="preserve">Dastile et al. (2020) escrevem que </w:t>
      </w:r>
      <w:r>
        <w:rPr>
          <w:color w:val="3465A4"/>
        </w:rPr>
        <w:t xml:space="preserve">uma </w:t>
      </w:r>
      <w:r>
        <w:rPr>
          <w:color w:val="3465A4"/>
        </w:rPr>
        <w:t>rede neural</w:t>
      </w:r>
      <w:r>
        <w:rPr>
          <w:color w:val="3465A4"/>
        </w:rPr>
        <w:t xml:space="preserve"> consiste em três camadas (</w:t>
      </w:r>
      <w:r>
        <w:rPr>
          <w:i/>
          <w:iCs/>
          <w:color w:val="3465A4"/>
        </w:rPr>
        <w:t>layers</w:t>
      </w:r>
      <w:r>
        <w:rPr>
          <w:color w:val="3465A4"/>
        </w:rPr>
        <w:t>) distintas: uma camada de entrada (</w:t>
      </w:r>
      <w:r>
        <w:rPr>
          <w:i/>
          <w:iCs/>
          <w:color w:val="3465A4"/>
        </w:rPr>
        <w:t xml:space="preserve">input </w:t>
      </w:r>
      <w:r>
        <w:rPr>
          <w:i/>
          <w:iCs/>
          <w:color w:val="3465A4"/>
        </w:rPr>
        <w:t>layer</w:t>
      </w:r>
      <w:r>
        <w:rPr>
          <w:color w:val="3465A4"/>
        </w:rPr>
        <w:t>), uma camada de processamento (</w:t>
      </w:r>
      <w:r>
        <w:rPr>
          <w:i/>
          <w:iCs/>
          <w:color w:val="3465A4"/>
        </w:rPr>
        <w:t>hidden layer</w:t>
      </w:r>
      <w:r>
        <w:rPr>
          <w:color w:val="3465A4"/>
        </w:rPr>
        <w:t>) e uma camada de saída (</w:t>
      </w:r>
      <w:r>
        <w:rPr>
          <w:i/>
          <w:iCs/>
          <w:color w:val="3465A4"/>
        </w:rPr>
        <w:t xml:space="preserve">output </w:t>
      </w:r>
      <w:r>
        <w:rPr>
          <w:i/>
          <w:iCs/>
          <w:color w:val="3465A4"/>
        </w:rPr>
        <w:t>layer</w:t>
      </w:r>
      <w:r>
        <w:rPr>
          <w:color w:val="3465A4"/>
        </w:rPr>
        <w:t xml:space="preserve">). </w:t>
      </w:r>
      <w:r>
        <w:rPr/>
        <w:t>Nos casos em que o número de hidden layers é igual ou superior a dois, a rede neural é chamada de rede neural profunda (</w:t>
      </w:r>
      <w:r>
        <w:rPr>
          <w:i/>
          <w:iCs/>
        </w:rPr>
        <w:t>Deep Neural Network –</w:t>
      </w:r>
      <w:r>
        <w:rPr/>
        <w:t xml:space="preserve"> DNN) (Bayraci e Susuz, 2019). </w:t>
      </w:r>
      <w:r>
        <w:rPr>
          <w:color w:val="3465A4"/>
        </w:rPr>
        <w:t xml:space="preserve">O treino de uma rede neural envolve o processo de obter-se os pesos ótimos </w:t>
      </w:r>
      <w:r>
        <w:rPr>
          <w:color w:val="3465A4"/>
        </w:rPr>
        <w:t xml:space="preserve">atribuídos </w:t>
      </w:r>
      <w:r>
        <w:rPr>
          <w:color w:val="3465A4"/>
        </w:rPr>
        <w:t>que mapeiam as camadas input/output através de uma mecânica chamada de retropropagação (</w:t>
      </w:r>
      <w:r>
        <w:rPr>
          <w:i/>
          <w:iCs/>
          <w:color w:val="3465A4"/>
        </w:rPr>
        <w:t>backpropagation</w:t>
      </w:r>
      <w:r>
        <w:rPr>
          <w:color w:val="3465A4"/>
        </w:rPr>
        <w:t xml:space="preserve">) </w:t>
      </w:r>
      <w:r>
        <w:rPr>
          <w:color w:val="3465A4"/>
        </w:rPr>
        <w:t>(Dastile et al., 2020)</w:t>
      </w:r>
      <w:r>
        <w:rPr>
          <w:color w:val="3465A4"/>
        </w:rPr>
        <w:t>.</w:t>
      </w:r>
    </w:p>
    <w:p>
      <w:pPr>
        <w:pStyle w:val="Normal"/>
        <w:spacing w:lineRule="auto" w:line="360"/>
        <w:ind w:firstLine="709"/>
        <w:rPr>
          <w:color w:val="3465A4"/>
        </w:rPr>
      </w:pPr>
      <w:r>
        <w:rPr>
          <w:color w:val="3465A4"/>
        </w:rPr>
        <w:t>Duda et al. (2021) argumentam que a</w:t>
      </w:r>
      <w:r>
        <w:rPr>
          <w:color w:val="3465A4"/>
        </w:rPr>
        <w:t xml:space="preserve"> retropropagação é um dos meios mais simples e gerais para o treinamento de modelos supervisionados de </w:t>
      </w:r>
      <w:r>
        <w:rPr>
          <w:color w:val="3465A4"/>
        </w:rPr>
        <w:t>redes neurais</w:t>
      </w:r>
      <w:r>
        <w:rPr>
          <w:color w:val="3465A4"/>
        </w:rPr>
        <w:t xml:space="preserve">. </w:t>
      </w:r>
      <w:r>
        <w:rPr>
          <w:color w:val="3465A4"/>
        </w:rPr>
        <w:t>A maior utilidade</w:t>
      </w:r>
      <w:r>
        <w:rPr>
          <w:color w:val="3465A4"/>
        </w:rPr>
        <w:t xml:space="preserve"> da retropropagação é </w:t>
      </w:r>
      <w:r>
        <w:rPr>
          <w:color w:val="3465A4"/>
        </w:rPr>
        <w:t xml:space="preserve">ela permitir </w:t>
      </w:r>
      <w:r>
        <w:rPr>
          <w:color w:val="3465A4"/>
        </w:rPr>
        <w:t xml:space="preserve">o cálculo de um erro efetivo para cada neurônio, e assim resulta em uma regra de aprendizagem </w:t>
      </w:r>
      <w:r>
        <w:rPr>
          <w:color w:val="3465A4"/>
        </w:rPr>
      </w:r>
      <m:oMath xmlns:m="http://schemas.openxmlformats.org/officeDocument/2006/math">
        <m:r>
          <w:rPr>
            <w:rFonts w:ascii="Cambria Math" w:hAnsi="Cambria Math"/>
          </w:rPr>
          <m:t xml:space="preserve">J</m:t>
        </m:r>
      </m:oMath>
      <w:r>
        <w:rPr>
          <w:color w:val="3465A4"/>
        </w:rPr>
        <w:t xml:space="preserve"> </w:t>
      </w:r>
      <w:r>
        <w:rPr>
          <w:color w:val="3465A4"/>
        </w:rPr>
        <w:t xml:space="preserve">para os pesos, </w:t>
      </w:r>
      <w:r>
        <w:rPr>
          <w:color w:val="3465A4"/>
        </w:rPr>
        <w:t>conforme observado na eq. (8):</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pPr>
            <w:r>
              <w:rPr/>
              <w:t>(</w:t>
            </w:r>
            <w:r>
              <w:rPr/>
              <w:t>8</w:t>
            </w:r>
            <w:r>
              <w:rPr/>
              <w:t>)</w:t>
            </w:r>
          </w:p>
        </w:tc>
      </w:tr>
    </w:tbl>
    <w:p>
      <w:pPr>
        <w:pStyle w:val="Normal"/>
        <w:spacing w:lineRule="auto" w:line="360"/>
        <w:ind w:hanging="0"/>
        <w:rPr>
          <w:color w:val="3465A4"/>
        </w:rPr>
      </w:pPr>
      <w:r>
        <w:rPr>
          <w:color w:val="3465A4"/>
        </w:rPr>
        <w:t xml:space="preserve">onde </w:t>
      </w:r>
      <w:r>
        <w:rPr>
          <w:color w:val="3465A4"/>
        </w:rPr>
      </w:r>
      <m:oMath xmlns:m="http://schemas.openxmlformats.org/officeDocument/2006/math">
        <m:r>
          <w:rPr>
            <w:rFonts w:ascii="Cambria Math" w:hAnsi="Cambria Math"/>
          </w:rPr>
          <m:t xml:space="preserve">t</m:t>
        </m:r>
      </m:oMath>
      <w:r>
        <w:rPr>
          <w:color w:val="3465A4"/>
        </w:rPr>
        <w:t xml:space="preserve"> é o target e </w:t>
      </w:r>
      <w:r>
        <w:rPr>
          <w:color w:val="3465A4"/>
        </w:rPr>
      </w:r>
      <m:oMath xmlns:m="http://schemas.openxmlformats.org/officeDocument/2006/math">
        <m:r>
          <w:rPr>
            <w:rFonts w:ascii="Cambria Math" w:hAnsi="Cambria Math"/>
          </w:rPr>
          <m:t xml:space="preserve">z</m:t>
        </m:r>
      </m:oMath>
      <w:r>
        <w:rPr>
          <w:color w:val="3465A4"/>
        </w:rPr>
        <w:t xml:space="preserve"> é o vetor de output da rede com comprimento </w:t>
      </w:r>
      <w:r>
        <w:rPr>
          <w:color w:val="3465A4"/>
        </w:rPr>
      </w:r>
      <m:oMath xmlns:m="http://schemas.openxmlformats.org/officeDocument/2006/math">
        <m:r>
          <w:rPr>
            <w:rFonts w:ascii="Cambria Math" w:hAnsi="Cambria Math"/>
          </w:rPr>
          <m:t xml:space="preserve">c</m:t>
        </m:r>
      </m:oMath>
      <w:r>
        <w:rPr>
          <w:color w:val="3465A4"/>
        </w:rPr>
        <w:t xml:space="preserve">; </w:t>
      </w:r>
      <w:r>
        <w:rPr>
          <w:color w:val="3465A4"/>
        </w:rPr>
      </w:r>
      <m:oMath xmlns:m="http://schemas.openxmlformats.org/officeDocument/2006/math">
        <m:r>
          <w:rPr>
            <w:rFonts w:ascii="Cambria Math" w:hAnsi="Cambria Math"/>
          </w:rPr>
          <m:t xml:space="preserve">w</m:t>
        </m:r>
      </m:oMath>
      <w:r>
        <w:rPr>
          <w:color w:val="3465A4"/>
        </w:rPr>
        <w:t xml:space="preserve"> representa os pesos arbitrados na rede neural.</w:t>
      </w:r>
    </w:p>
    <w:p>
      <w:pPr>
        <w:pStyle w:val="Normal"/>
        <w:spacing w:lineRule="auto" w:line="360"/>
        <w:ind w:firstLine="709"/>
        <w:rPr>
          <w:color w:val="3465A4"/>
        </w:rPr>
      </w:pPr>
      <w:r>
        <w:rPr>
          <w:color w:val="3465A4"/>
        </w:rPr>
        <w:t xml:space="preserve">Essa regra de aprendizagem é baseada em </w:t>
      </w:r>
      <w:r>
        <w:rPr>
          <w:i/>
          <w:iCs/>
          <w:color w:val="3465A4"/>
        </w:rPr>
        <w:t>gradient descent</w:t>
      </w:r>
      <w:r>
        <w:rPr>
          <w:color w:val="3465A4"/>
        </w:rPr>
        <w:t xml:space="preserve"> (</w:t>
      </w:r>
      <w:r>
        <w:rPr>
          <w:color w:val="3465A4"/>
        </w:rPr>
        <w:t>método do máximo declive</w:t>
      </w:r>
      <w:r>
        <w:rPr>
          <w:color w:val="3465A4"/>
        </w:rPr>
        <w:t xml:space="preserve">): os pesos são inicializados com valores aleatórios e são alterados na direção em que o erro é reduzido </w:t>
      </w:r>
      <w:r>
        <w:rPr>
          <w:color w:val="3465A4"/>
        </w:rPr>
        <w:t xml:space="preserve">seguindo a eq. (9), </w:t>
      </w:r>
      <w:r>
        <w:rPr>
          <w:color w:val="3465A4"/>
        </w:rPr>
        <w:t>representada em sua forma componente vetorial pela eq. (10)</w:t>
      </w:r>
      <w:r>
        <w:rPr>
          <w:color w:val="3465A4"/>
        </w:rPr>
        <w:t>:</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m:t>
                </m:r>
                <m:r>
                  <w:rPr>
                    <w:rFonts w:ascii="Cambria Math" w:hAnsi="Cambria Math"/>
                  </w:rPr>
                  <m:t xml:space="preserve">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pPr>
            <w:r>
              <w:rPr/>
              <w:t>(</w:t>
            </w:r>
            <w:r>
              <w:rPr/>
              <w:t>9</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pPr>
            <w:r>
              <w:rPr/>
              <w:t>(</w:t>
            </w:r>
            <w:r>
              <w:rPr/>
              <w:t>10</w:t>
            </w:r>
            <w:r>
              <w:rPr/>
              <w:t>)</w:t>
            </w:r>
          </w:p>
        </w:tc>
      </w:tr>
    </w:tbl>
    <w:p>
      <w:pPr>
        <w:pStyle w:val="Normal"/>
        <w:spacing w:lineRule="auto" w:line="360"/>
        <w:ind w:hanging="0"/>
        <w:jc w:val="both"/>
        <w:rPr/>
      </w:pPr>
      <w:r>
        <w:rPr>
          <w:color w:val="3465A4"/>
        </w:rPr>
        <w:t xml:space="preserve">onde </w:t>
      </w:r>
      <w:r>
        <w:rPr>
          <w:color w:val="3465A4"/>
        </w:rPr>
      </w:r>
      <m:oMath xmlns:m="http://schemas.openxmlformats.org/officeDocument/2006/math">
        <m:r>
          <w:rPr>
            <w:rFonts w:ascii="Cambria Math" w:hAnsi="Cambria Math"/>
          </w:rPr>
          <m:t xml:space="preserve">ƞ</m:t>
        </m:r>
      </m:oMath>
      <w:r>
        <w:rPr>
          <w:color w:val="3465A4"/>
        </w:rPr>
        <w:t xml:space="preserve"> é a taxa de aprendizagem (</w:t>
      </w:r>
      <w:r>
        <w:rPr>
          <w:i/>
          <w:iCs/>
          <w:color w:val="3465A4"/>
        </w:rPr>
        <w:t>learning rate</w:t>
      </w:r>
      <w:r>
        <w:rPr>
          <w:color w:val="3465A4"/>
        </w:rPr>
        <w:t xml:space="preserve">) e indica o tamanho relativo das alterações nos pesos </w:t>
      </w:r>
      <w:r>
        <w:rPr>
          <w:color w:val="3465A4"/>
        </w:rPr>
        <w:t>(Duda et al, 2021)</w:t>
      </w:r>
      <w:r>
        <w:rPr>
          <w:color w:val="3465A4"/>
        </w:rPr>
        <w:t xml:space="preserve">. Esse algoritmo iterativo utiliza entãoum vetor de peso </w:t>
      </w:r>
      <w:r>
        <w:rPr>
          <w:color w:val="3465A4"/>
        </w:rPr>
        <w:t xml:space="preserve">em </w:t>
      </w:r>
      <w:r>
        <w:rPr>
          <w:color w:val="3465A4"/>
        </w:rPr>
      </w:r>
      <m:oMath xmlns:m="http://schemas.openxmlformats.org/officeDocument/2006/math">
        <m:r>
          <w:rPr>
            <w:rFonts w:ascii="Cambria Math" w:hAnsi="Cambria Math"/>
          </w:rPr>
          <m:t xml:space="preserve">m</m:t>
        </m:r>
      </m:oMath>
      <w:r>
        <w:rPr>
          <w:color w:val="3465A4"/>
        </w:rPr>
        <w:t xml:space="preserve"> e procede com sua atualização de cordo com a eq. (11):</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m:t>
                </m:r>
                <m:r>
                  <w:rPr>
                    <w:rFonts w:ascii="Cambria Math" w:hAnsi="Cambria Math"/>
                  </w:rPr>
                  <m:t xml:space="preserve">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pPr>
            <w:r>
              <w:rPr/>
              <w:t>(</w:t>
            </w:r>
            <w:r>
              <w:rPr/>
              <w:t>11</w:t>
            </w:r>
            <w:r>
              <w:rPr/>
              <w:t>)</w:t>
            </w:r>
          </w:p>
        </w:tc>
      </w:tr>
    </w:tbl>
    <w:p>
      <w:pPr>
        <w:pStyle w:val="Normal"/>
        <w:spacing w:lineRule="auto" w:line="360"/>
        <w:ind w:hanging="0"/>
        <w:jc w:val="both"/>
        <w:rPr/>
      </w:pPr>
      <w:r>
        <w:rPr>
          <w:color w:val="3465A4"/>
        </w:rPr>
        <w:t xml:space="preserve">onde </w:t>
      </w:r>
      <w:r>
        <w:rPr>
          <w:color w:val="3465A4"/>
        </w:rPr>
      </w:r>
      <m:oMath xmlns:m="http://schemas.openxmlformats.org/officeDocument/2006/math">
        <m:r>
          <w:rPr>
            <w:rFonts w:ascii="Cambria Math" w:hAnsi="Cambria Math"/>
          </w:rPr>
          <m:t xml:space="preserve">m</m:t>
        </m:r>
      </m:oMath>
      <w:r>
        <w:rPr>
          <w:color w:val="3465A4"/>
        </w:rPr>
        <w:t xml:space="preserve"> representa o índice de iteração em uso.</w:t>
      </w:r>
    </w:p>
    <w:p>
      <w:pPr>
        <w:pStyle w:val="Normal"/>
        <w:spacing w:lineRule="auto" w:line="360"/>
        <w:ind w:firstLine="709"/>
        <w:rPr>
          <w:color w:val="3465A4"/>
        </w:rPr>
      </w:pPr>
      <w:r>
        <w:rPr>
          <w:color w:val="3465A4"/>
        </w:rPr>
        <w:t>De forma simplificada, Dastile et al. (2020) explicam que p</w:t>
      </w:r>
      <w:r>
        <w:rPr>
          <w:color w:val="3465A4"/>
        </w:rPr>
        <w:t xml:space="preserve">ara um vetor de dados x qualquer, uma </w:t>
      </w:r>
      <w:r>
        <w:rPr>
          <w:color w:val="3465A4"/>
        </w:rPr>
        <w:t>rede neural</w:t>
      </w:r>
      <w:r>
        <w:rPr>
          <w:color w:val="3465A4"/>
        </w:rPr>
        <w:t xml:space="preserve"> simples de três camadas calcula o resultado ŷ de acordo com </w:t>
      </w:r>
      <w:r>
        <w:rPr>
          <w:color w:val="3465A4"/>
        </w:rPr>
        <w:t>a eq. (12):</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pPr>
            <w:r>
              <w:rPr/>
              <w:t>(</w:t>
            </w:r>
            <w:r>
              <w:rPr/>
              <w:t>1</w:t>
            </w:r>
            <w:r>
              <w:rPr/>
              <w:t>2</w:t>
            </w:r>
            <w:r>
              <w:rPr/>
              <w:t>)</w:t>
            </w:r>
          </w:p>
        </w:tc>
      </w:tr>
    </w:tbl>
    <w:p>
      <w:pPr>
        <w:pStyle w:val="Normal"/>
        <w:spacing w:lineRule="auto" w:line="360"/>
        <w:ind w:hanging="0"/>
        <w:rPr/>
      </w:pPr>
      <w:r>
        <w:rPr>
          <w:color w:val="3465A4"/>
        </w:rPr>
        <w:t xml:space="preserve">onde </w:t>
      </w:r>
      <w:r>
        <w:rPr>
          <w:color w:val="3465A4"/>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color w:val="3465A4"/>
        </w:rPr>
        <w:t xml:space="preserve">, </w:t>
      </w:r>
      <w:r>
        <w:rPr>
          <w:color w:val="3465A4"/>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color w:val="3465A4"/>
        </w:rPr>
        <w:t xml:space="preserve">, </w:t>
      </w:r>
      <w:r>
        <w:rPr>
          <w:color w:val="3465A4"/>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color w:val="3465A4"/>
        </w:rPr>
        <w:t xml:space="preserve"> e </w:t>
      </w:r>
      <w:r>
        <w:rPr>
          <w:color w:val="3465A4"/>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color w:val="3465A4"/>
        </w:rPr>
        <w:t xml:space="preserve"> são pesos; </w:t>
      </w:r>
      <w:r>
        <w:rPr>
          <w:color w:val="3465A4"/>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color w:val="3465A4"/>
        </w:rPr>
        <w:t xml:space="preserve"> e </w:t>
      </w:r>
      <w:r>
        <w:rPr>
          <w:color w:val="3465A4"/>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color w:val="3465A4"/>
        </w:rPr>
        <w:t xml:space="preserve"> são as funções de ativação entre a camada de entrada e a camada de processamento. </w:t>
      </w:r>
      <w:r>
        <w:rPr>
          <w:color w:val="3465A4"/>
        </w:rPr>
        <w:t xml:space="preserve">Os parâmetros de decisão são aprendidos durante a fase de treino, para a entrega efetiva de um resultado a </w:t>
      </w:r>
      <w:r>
        <w:rPr>
          <w:color w:val="3465A4"/>
        </w:rPr>
        <w:t>rede neural</w:t>
      </w:r>
      <w:r>
        <w:rPr>
          <w:color w:val="3465A4"/>
        </w:rPr>
        <w:t xml:space="preserve"> depende de ainda uma função de decisão </w:t>
      </w:r>
      <w:r>
        <w:rPr>
          <w:color w:val="3465A4"/>
        </w:rPr>
        <w:t xml:space="preserve">(também referida como </w:t>
      </w:r>
      <w:r>
        <w:rPr>
          <w:i/>
          <w:iCs/>
          <w:color w:val="3465A4"/>
        </w:rPr>
        <w:t>função de ativação</w:t>
      </w:r>
      <w:r>
        <w:rPr>
          <w:color w:val="3465A4"/>
        </w:rPr>
        <w:t>)</w:t>
      </w:r>
      <w:r>
        <w:rPr>
          <w:color w:val="3465A4"/>
        </w:rPr>
        <w:t xml:space="preserve">, como, por exemplo, softmax ou sigmoide, que é registrada na </w:t>
      </w:r>
      <w:r>
        <w:rPr>
          <w:color w:val="3465A4"/>
        </w:rPr>
        <w:t>camada de saída</w:t>
      </w:r>
      <w:r>
        <w:rPr>
          <w:color w:val="3465A4"/>
        </w:rPr>
        <w:t>.</w:t>
      </w:r>
    </w:p>
    <w:p>
      <w:pPr>
        <w:pStyle w:val="Normal"/>
        <w:spacing w:lineRule="auto" w:line="360"/>
        <w:ind w:firstLine="709"/>
        <w:rPr/>
      </w:pPr>
      <w:r>
        <w:rPr>
          <w:color w:val="3465A4"/>
        </w:rPr>
        <w:t xml:space="preserve">Para fins de análise e comparação dos modelos, são utilizadas métricas </w:t>
      </w:r>
      <w:r>
        <w:rPr>
          <w:color w:val="3465A4"/>
        </w:rPr>
        <w:t xml:space="preserve">baseadas na Matriz de Confusão, sendo elas </w:t>
      </w:r>
      <w:r>
        <w:rPr>
          <w:color w:val="3465A4"/>
        </w:rPr>
        <w:t>acurácia</w:t>
      </w:r>
      <w:r>
        <w:rPr>
          <w:color w:val="3465A4"/>
        </w:rPr>
        <w:t xml:space="preserve"> (precisão simples de acertos), </w:t>
      </w:r>
      <w:r>
        <w:rPr>
          <w:color w:val="3465A4"/>
        </w:rPr>
        <w:t>s</w:t>
      </w:r>
      <w:r>
        <w:rPr>
          <w:color w:val="3465A4"/>
        </w:rPr>
        <w:t>ensibilidade (</w:t>
      </w:r>
      <w:r>
        <w:rPr>
          <w:i/>
          <w:iCs/>
          <w:color w:val="3465A4"/>
        </w:rPr>
        <w:t>recall</w:t>
      </w:r>
      <w:r>
        <w:rPr>
          <w:color w:val="3465A4"/>
        </w:rPr>
        <w:t xml:space="preserve">), especificidade e precisão, além da </w:t>
      </w:r>
      <w:r>
        <w:rPr>
          <w:color w:val="3465A4"/>
        </w:rPr>
        <w:t>M</w:t>
      </w:r>
      <w:r>
        <w:rPr>
          <w:color w:val="3465A4"/>
        </w:rPr>
        <w:t xml:space="preserve">atriz de </w:t>
      </w:r>
      <w:r>
        <w:rPr>
          <w:color w:val="3465A4"/>
        </w:rPr>
        <w:t>C</w:t>
      </w:r>
      <w:r>
        <w:rPr>
          <w:color w:val="3465A4"/>
        </w:rPr>
        <w:t xml:space="preserve">onfusão propriamente dita. </w:t>
      </w:r>
      <w:r>
        <w:rPr>
          <w:color w:val="3465A4"/>
        </w:rPr>
        <w:t xml:space="preserve">Para todos os modelos treinados foi utilizado sempre o mesmo </w:t>
      </w:r>
      <w:r>
        <w:rPr>
          <w:i/>
          <w:iCs/>
          <w:color w:val="3465A4"/>
        </w:rPr>
        <w:t>cutoff</w:t>
      </w:r>
      <w:r>
        <w:rPr>
          <w:color w:val="3465A4"/>
        </w:rPr>
        <w:t xml:space="preserve"> padrão (0,5): </w:t>
      </w:r>
      <w:r>
        <w:rPr>
          <w:color w:val="3465A4"/>
        </w:rPr>
        <w:t>o</w:t>
      </w:r>
      <w:r>
        <w:rPr>
          <w:color w:val="3465A4"/>
        </w:rPr>
        <w:t xml:space="preserve"> </w:t>
      </w:r>
      <w:r>
        <w:rPr>
          <w:i/>
          <w:iCs/>
          <w:color w:val="3465A4"/>
        </w:rPr>
        <w:t>cutoff</w:t>
      </w:r>
      <w:r>
        <w:rPr>
          <w:color w:val="3465A4"/>
        </w:rPr>
        <w:t xml:space="preserve"> é o valor limite de decisão em que o algoritmo classifica um problema binário em uma classe ou em outra.</w:t>
      </w:r>
    </w:p>
    <w:p>
      <w:pPr>
        <w:pStyle w:val="Normal"/>
        <w:spacing w:lineRule="auto" w:line="360" w:before="0" w:after="0"/>
        <w:ind w:firstLine="709"/>
        <w:rPr/>
      </w:pPr>
      <w:r>
        <w:rPr>
          <w:color w:val="3465A4"/>
        </w:rPr>
        <w:t>Com base n</w:t>
      </w:r>
      <w:r>
        <w:rPr>
          <w:color w:val="3465A4"/>
        </w:rPr>
        <w:t xml:space="preserve">o estudo de classificação de Niu et al. (2020), </w:t>
      </w:r>
      <w:r>
        <w:rPr>
          <w:color w:val="3465A4"/>
        </w:rPr>
        <w:t>a Figura 1 esboça a estrutura básica de uma Matriz de Confusão:</w:t>
      </w:r>
    </w:p>
    <w:p>
      <w:pPr>
        <w:pStyle w:val="Normal"/>
        <w:spacing w:lineRule="auto" w:line="240" w:before="0" w:after="0"/>
        <w:ind w:hanging="0"/>
        <w:rPr/>
      </w:pPr>
      <w:r>
        <w:drawing>
          <wp:anchor behindDoc="0" distT="0" distB="0" distL="0" distR="0" simplePos="0" locked="0" layoutInCell="0" allowOverlap="1" relativeHeight="135">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color w:val="3465A4"/>
        </w:rPr>
        <w:t>Figura 1. Estrutura básica da Matriz de Confusão.</w:t>
      </w:r>
    </w:p>
    <w:p>
      <w:pPr>
        <w:pStyle w:val="Normal"/>
        <w:spacing w:lineRule="auto" w:line="360" w:before="0" w:after="0"/>
        <w:ind w:hanging="0"/>
        <w:rPr/>
      </w:pPr>
      <w:r>
        <w:rPr>
          <w:color w:val="3465A4"/>
        </w:rPr>
        <w:t>Fonte: elaboração do autor</w:t>
      </w:r>
    </w:p>
    <w:p>
      <w:pPr>
        <w:pStyle w:val="Normal"/>
        <w:spacing w:lineRule="auto" w:line="360"/>
        <w:ind w:firstLine="709"/>
        <w:rPr/>
      </w:pPr>
      <w:r>
        <w:rPr>
          <w:color w:val="3465A4"/>
        </w:rPr>
        <w:t>Os</w:t>
      </w:r>
      <w:r>
        <w:rPr>
          <w:color w:val="3465A4"/>
        </w:rPr>
        <w:t xml:space="preserve"> cálculo</w:t>
      </w:r>
      <w:r>
        <w:rPr>
          <w:color w:val="3465A4"/>
        </w:rPr>
        <w:t>s</w:t>
      </w:r>
      <w:r>
        <w:rPr>
          <w:color w:val="3465A4"/>
        </w:rPr>
        <w:t xml:space="preserve"> das métricas utilizadas </w:t>
      </w:r>
      <w:r>
        <w:rPr>
          <w:color w:val="3465A4"/>
        </w:rPr>
        <w:t>neste trabalho</w:t>
      </w:r>
      <w:r>
        <w:rPr>
          <w:color w:val="3465A4"/>
        </w:rPr>
        <w:t xml:space="preserve"> </w:t>
      </w:r>
      <w:r>
        <w:rPr>
          <w:color w:val="3465A4"/>
        </w:rPr>
        <w:t>são</w:t>
      </w:r>
      <w:r>
        <w:rPr>
          <w:color w:val="3465A4"/>
        </w:rPr>
        <w:t xml:space="preserve"> definido d</w:t>
      </w:r>
      <w:r>
        <w:rPr>
          <w:color w:val="3465A4"/>
        </w:rPr>
        <w:t xml:space="preserve">esde </w:t>
      </w:r>
      <w:r>
        <w:rPr>
          <w:color w:val="3465A4"/>
        </w:rPr>
        <w:t>a eq. (13) até a eq.(1</w:t>
      </w:r>
      <w:r>
        <w:rPr>
          <w:color w:val="3465A4"/>
        </w:rPr>
        <w:t>6</w:t>
      </w:r>
      <w:r>
        <w:rPr>
          <w:color w:val="3465A4"/>
        </w:rPr>
        <w:t xml:space="preserve">): </w:t>
      </w:r>
    </w:p>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w:t>
            </w:r>
            <w:r>
              <w:rPr/>
              <w:t>1</w:t>
            </w:r>
            <w:r>
              <w:rPr/>
              <w:t>3</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w:t>
            </w:r>
            <w:r>
              <w:rPr/>
              <w:t>1</w:t>
            </w:r>
            <w:r>
              <w:rPr/>
              <w:t>4</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w:t>
            </w:r>
            <w:r>
              <w:rPr/>
              <w:t>1</w:t>
            </w:r>
            <w:r>
              <w:rPr/>
              <w:t>5</w:t>
            </w:r>
            <w:r>
              <w:rPr/>
              <w:t>)</w:t>
            </w:r>
          </w:p>
        </w:tc>
      </w:tr>
    </w:tbl>
    <w:tbl>
      <w:tblPr>
        <w:tblW w:w="9075" w:type="dxa"/>
        <w:jc w:val="left"/>
        <w:tblInd w:w="55" w:type="dxa"/>
        <w:tblLayout w:type="fixed"/>
        <w:tblCellMar>
          <w:top w:w="55" w:type="dxa"/>
          <w:left w:w="55" w:type="dxa"/>
          <w:bottom w:w="55" w:type="dxa"/>
          <w:right w:w="55" w:type="dxa"/>
        </w:tblCellMar>
      </w:tblPr>
      <w:tblGrid>
        <w:gridCol w:w="8520"/>
        <w:gridCol w:w="555"/>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w:t>
            </w:r>
            <w:r>
              <w:rPr/>
              <w:t>1</w:t>
            </w:r>
            <w:r>
              <w:rPr/>
              <w:t>6</w:t>
            </w:r>
            <w:r>
              <w:rPr/>
              <w:t>)</w:t>
            </w:r>
          </w:p>
        </w:tc>
      </w:tr>
    </w:tbl>
    <w:p>
      <w:pPr>
        <w:pStyle w:val="Normal"/>
        <w:spacing w:lineRule="auto" w:line="360"/>
        <w:ind w:hanging="0"/>
        <w:rPr/>
      </w:pPr>
      <w:r>
        <w:rPr>
          <w:color w:val="3465A4"/>
        </w:rPr>
        <w:t xml:space="preserve">onde </w:t>
      </w:r>
      <w:r>
        <w:rPr>
          <w:i w:val="false"/>
          <w:iCs w:val="false"/>
          <w:color w:val="3465A4"/>
        </w:rPr>
        <w:t xml:space="preserve">FP </w:t>
      </w:r>
      <w:r>
        <w:rPr>
          <w:i w:val="false"/>
          <w:iCs w:val="false"/>
          <w:color w:val="3465A4"/>
        </w:rPr>
        <w:t>(</w:t>
      </w:r>
      <w:r>
        <w:rPr>
          <w:i/>
          <w:iCs/>
          <w:color w:val="3465A4"/>
        </w:rPr>
        <w:t>false positives</w:t>
      </w:r>
      <w:r>
        <w:rPr>
          <w:i w:val="false"/>
          <w:iCs w:val="false"/>
          <w:color w:val="3465A4"/>
        </w:rPr>
        <w:t>)</w:t>
      </w:r>
      <w:r>
        <w:rPr>
          <w:i w:val="false"/>
          <w:iCs w:val="false"/>
          <w:color w:val="3465A4"/>
        </w:rPr>
        <w:t xml:space="preserve"> são os falsos positivos; TP </w:t>
      </w:r>
      <w:r>
        <w:rPr>
          <w:i w:val="false"/>
          <w:iCs w:val="false"/>
          <w:color w:val="3465A4"/>
        </w:rPr>
        <w:t>(</w:t>
      </w:r>
      <w:r>
        <w:rPr>
          <w:i/>
          <w:iCs/>
          <w:color w:val="3465A4"/>
        </w:rPr>
        <w:t>true positives</w:t>
      </w:r>
      <w:r>
        <w:rPr>
          <w:i w:val="false"/>
          <w:iCs w:val="false"/>
          <w:color w:val="3465A4"/>
        </w:rPr>
        <w:t xml:space="preserve">) </w:t>
      </w:r>
      <w:r>
        <w:rPr>
          <w:i w:val="false"/>
          <w:iCs w:val="false"/>
          <w:color w:val="3465A4"/>
        </w:rPr>
        <w:t xml:space="preserve">são os verdadeiros positivos; FN </w:t>
      </w:r>
      <w:r>
        <w:rPr>
          <w:i w:val="false"/>
          <w:iCs w:val="false"/>
          <w:color w:val="3465A4"/>
        </w:rPr>
        <w:t>(</w:t>
      </w:r>
      <w:r>
        <w:rPr>
          <w:i/>
          <w:iCs/>
          <w:color w:val="3465A4"/>
        </w:rPr>
        <w:t>false negatives</w:t>
      </w:r>
      <w:r>
        <w:rPr>
          <w:i w:val="false"/>
          <w:iCs w:val="false"/>
          <w:color w:val="3465A4"/>
        </w:rPr>
        <w:t xml:space="preserve">) </w:t>
      </w:r>
      <w:r>
        <w:rPr>
          <w:i w:val="false"/>
          <w:iCs w:val="false"/>
          <w:color w:val="3465A4"/>
        </w:rPr>
        <w:t xml:space="preserve">são os falsos negativos; TN </w:t>
      </w:r>
      <w:r>
        <w:rPr>
          <w:i w:val="false"/>
          <w:iCs w:val="false"/>
          <w:color w:val="3465A4"/>
        </w:rPr>
        <w:t>(</w:t>
      </w:r>
      <w:r>
        <w:rPr>
          <w:i/>
          <w:iCs/>
          <w:color w:val="3465A4"/>
        </w:rPr>
        <w:t>true negatives</w:t>
      </w:r>
      <w:r>
        <w:rPr>
          <w:i w:val="false"/>
          <w:iCs w:val="false"/>
          <w:color w:val="3465A4"/>
        </w:rPr>
        <w:t xml:space="preserve">) </w:t>
      </w:r>
      <w:r>
        <w:rPr>
          <w:i w:val="false"/>
          <w:iCs w:val="false"/>
          <w:color w:val="3465A4"/>
        </w:rPr>
        <w:t>são os verdadeiros negativos.</w:t>
      </w:r>
    </w:p>
    <w:p>
      <w:pPr>
        <w:pStyle w:val="Normal"/>
        <w:spacing w:lineRule="auto" w:line="360"/>
        <w:ind w:hanging="0"/>
        <w:rPr/>
      </w:pPr>
      <w:r>
        <w:rPr>
          <w:i w:val="false"/>
          <w:iCs w:val="false"/>
          <w:color w:val="3465A4"/>
        </w:rPr>
        <w:tab/>
      </w:r>
      <w:r>
        <w:rPr>
          <w:i w:val="false"/>
          <w:iCs w:val="false"/>
          <w:color w:val="3465A4"/>
        </w:rPr>
        <w:t>Existem dois tipos básicos de erros possíveis quando da análise de uma Matriz de Confusão qualquer, definidos como erros de tipo I e erros de tipo II. O primeiro resulta do erro de classificação X em Y, o segundo diz respeito ao erro II. No contexto deste trabalho, um erro de tipo I se apresenta quando a classificação de inadimplente não é bem por aí, e um erro de tipo II percebe-se quando acontece a outra coisa. A depender da política econômica ou da própria governança empresarial, a instituição pode modificar o parâmetro de cutoff para que o modelo de crédito utilizado permita viés mais tendencioso a erro do tipo I (melhor tal coisa, ao custo de outra coisa, exemplo de cenário) ou a erro do tipo II (outro coiso, exemplo de cenário apropriado).</w:t>
      </w:r>
    </w:p>
    <w:p>
      <w:pPr>
        <w:pStyle w:val="Normal"/>
        <w:spacing w:lineRule="auto" w:line="360"/>
        <w:ind w:firstLine="709"/>
        <w:rPr/>
      </w:pP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tanto para SVM como para a random forest.</w:t>
      </w:r>
    </w:p>
    <w:p>
      <w:pPr>
        <w:pStyle w:val="Normal"/>
        <w:shd w:val="clear" w:color="auto" w:fill="FFFFFF"/>
        <w:spacing w:lineRule="auto" w:line="360"/>
        <w:ind w:firstLine="709"/>
        <w:rPr/>
      </w:pPr>
      <w:r>
        <w:rPr>
          <w:rStyle w:val="normaltextrun"/>
          <w:rFonts w:eastAsia="Times New Roman"/>
          <w:b w:val="false"/>
          <w:bCs w:val="false"/>
          <w:color w:val="000000"/>
          <w:shd w:fill="FFFFFF" w:val="clear"/>
          <w:lang w:eastAsia="pt-BR"/>
        </w:rPr>
        <w:t>Após ser realizada a manipulação dos dados de modo a possibilitar o uso com os algorítmos de machine learning, as variáveis numéricas foram padronizadas através de Z-Score e as variáveis categóricas passaram pelo processo de One Hot Encoding utilizando o pacote scikit-learn.</w:t>
      </w:r>
    </w:p>
    <w:p>
      <w:pPr>
        <w:pStyle w:val="Normal"/>
        <w:spacing w:lineRule="auto" w:line="360"/>
        <w:rPr>
          <w:color w:val="000000"/>
        </w:rPr>
      </w:pPr>
      <w:r>
        <w:rPr>
          <w:color w:val="000000"/>
        </w:rPr>
      </w:r>
    </w:p>
    <w:p>
      <w:pPr>
        <w:pStyle w:val="ListParagraph"/>
        <w:spacing w:lineRule="auto" w:line="360"/>
        <w:ind w:left="0"/>
        <w:jc w:val="left"/>
        <w:rPr>
          <w:b/>
        </w:rPr>
      </w:pPr>
      <w:r>
        <w:rPr>
          <w:b/>
        </w:rPr>
        <w:t>Resultados e Discussão (rever, copiado dos Resultados Preliminares)</w:t>
      </w:r>
    </w:p>
    <w:p>
      <w:pPr>
        <w:pStyle w:val="ListParagraph"/>
        <w:spacing w:lineRule="auto" w:line="360"/>
        <w:ind w:left="0"/>
        <w:jc w:val="left"/>
        <w:rPr>
          <w:b/>
        </w:rPr>
      </w:pPr>
      <w:r>
        <w:rPr>
          <w:b/>
        </w:rPr>
      </w:r>
    </w:p>
    <w:p>
      <w:pPr>
        <w:pStyle w:val="ListParagraph"/>
        <w:spacing w:lineRule="auto" w:line="360"/>
        <w:ind w:firstLine="709" w:left="0"/>
        <w:rPr>
          <w:rFonts w:ascii="Roboto" w:hAnsi="Roboto"/>
        </w:rPr>
      </w:pPr>
      <w:r>
        <w:rPr>
          <w:bCs/>
        </w:rPr>
        <w:t>Uma vez que os modelos tenham sido treinados utilizando a mesma base de dados, os resultados preliminares sugerem um melhor poder de previsão do modelo baseado em rede neural, em segundo lugar aparece o modelo de gradient boosting, em terceiro o modelo de random forest, em quarta posição o modelo de linear discriminant analysis e por último o modelo de support vector machine (SVM), como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rFonts w:ascii="Roboto" w:hAnsi="Roboto"/>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tcPr>
          <w:p>
            <w:pPr>
              <w:pStyle w:val="TableContents"/>
              <w:jc w:val="center"/>
              <w:rPr/>
            </w:pPr>
            <w:r>
              <w:rPr/>
              <w:t>Modelo</w:t>
            </w:r>
          </w:p>
        </w:tc>
        <w:tc>
          <w:tcPr>
            <w:tcW w:w="1814" w:type="dxa"/>
            <w:tcBorders>
              <w:top w:val="single" w:sz="4" w:space="0" w:color="000000"/>
            </w:tcBorders>
          </w:tcPr>
          <w:p>
            <w:pPr>
              <w:pStyle w:val="TableContents"/>
              <w:jc w:val="center"/>
              <w:rPr/>
            </w:pPr>
            <w:r>
              <w:rPr/>
              <w:t>Acurácia</w:t>
            </w:r>
          </w:p>
        </w:tc>
        <w:tc>
          <w:tcPr>
            <w:tcW w:w="1814" w:type="dxa"/>
            <w:tcBorders>
              <w:top w:val="single" w:sz="4" w:space="0" w:color="000000"/>
            </w:tcBorders>
          </w:tcPr>
          <w:p>
            <w:pPr>
              <w:pStyle w:val="TableContents"/>
              <w:jc w:val="center"/>
              <w:rPr/>
            </w:pPr>
            <w:r>
              <w:rPr/>
              <w:t>Sensitividade</w:t>
            </w:r>
          </w:p>
        </w:tc>
        <w:tc>
          <w:tcPr>
            <w:tcW w:w="1814" w:type="dxa"/>
            <w:tcBorders>
              <w:top w:val="single" w:sz="4" w:space="0" w:color="000000"/>
            </w:tcBorders>
          </w:tcPr>
          <w:p>
            <w:pPr>
              <w:pStyle w:val="TableContents"/>
              <w:jc w:val="center"/>
              <w:rPr/>
            </w:pPr>
            <w:r>
              <w:rPr/>
              <w:t>Especificidade</w:t>
            </w:r>
          </w:p>
        </w:tc>
        <w:tc>
          <w:tcPr>
            <w:tcW w:w="1814" w:type="dxa"/>
            <w:tcBorders>
              <w:top w:val="single" w:sz="4" w:space="0" w:color="000000"/>
            </w:tcBorders>
          </w:tcPr>
          <w:p>
            <w:pPr>
              <w:pStyle w:val="TableContents"/>
              <w:jc w:val="center"/>
              <w:rPr/>
            </w:pPr>
            <w:r>
              <w:rPr/>
              <w:t>Precisão</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0.994406</w:t>
            </w:r>
          </w:p>
        </w:tc>
        <w:tc>
          <w:tcPr>
            <w:tcW w:w="1814" w:type="dxa"/>
            <w:tcBorders/>
          </w:tcPr>
          <w:p>
            <w:pPr>
              <w:pStyle w:val="TableContents"/>
              <w:jc w:val="right"/>
              <w:rPr/>
            </w:pPr>
            <w:r>
              <w:rPr/>
              <w:t>0.965922</w:t>
            </w:r>
          </w:p>
        </w:tc>
        <w:tc>
          <w:tcPr>
            <w:tcW w:w="1814" w:type="dxa"/>
            <w:tcBorders/>
          </w:tcPr>
          <w:p>
            <w:pPr>
              <w:pStyle w:val="TableContents"/>
              <w:jc w:val="right"/>
              <w:rPr/>
            </w:pPr>
            <w:r>
              <w:rPr/>
              <w:t>0.998570</w:t>
            </w:r>
          </w:p>
        </w:tc>
        <w:tc>
          <w:tcPr>
            <w:tcW w:w="1814" w:type="dxa"/>
            <w:tcBorders/>
          </w:tcPr>
          <w:p>
            <w:pPr>
              <w:pStyle w:val="TableContents"/>
              <w:jc w:val="right"/>
              <w:rPr/>
            </w:pPr>
            <w:r>
              <w:rPr/>
              <w:t>0.989972</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0.981926</w:t>
            </w:r>
          </w:p>
        </w:tc>
        <w:tc>
          <w:tcPr>
            <w:tcW w:w="1814" w:type="dxa"/>
            <w:tcBorders/>
          </w:tcPr>
          <w:p>
            <w:pPr>
              <w:pStyle w:val="TableContents"/>
              <w:jc w:val="right"/>
              <w:rPr/>
            </w:pPr>
            <w:r>
              <w:rPr/>
              <w:t>0.858496</w:t>
            </w:r>
          </w:p>
        </w:tc>
        <w:tc>
          <w:tcPr>
            <w:tcW w:w="1814" w:type="dxa"/>
            <w:tcBorders/>
          </w:tcPr>
          <w:p>
            <w:pPr>
              <w:pStyle w:val="TableContents"/>
              <w:jc w:val="right"/>
              <w:rPr/>
            </w:pPr>
            <w:r>
              <w:rPr/>
              <w:t>0.999971</w:t>
            </w:r>
          </w:p>
        </w:tc>
        <w:tc>
          <w:tcPr>
            <w:tcW w:w="1814" w:type="dxa"/>
            <w:tcBorders/>
          </w:tcPr>
          <w:p>
            <w:pPr>
              <w:pStyle w:val="TableContents"/>
              <w:jc w:val="right"/>
              <w:rPr/>
            </w:pPr>
            <w:r>
              <w:rPr/>
              <w:t>0.999767</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0.975987</w:t>
            </w:r>
          </w:p>
        </w:tc>
        <w:tc>
          <w:tcPr>
            <w:tcW w:w="1814" w:type="dxa"/>
            <w:tcBorders/>
          </w:tcPr>
          <w:p>
            <w:pPr>
              <w:pStyle w:val="TableContents"/>
              <w:jc w:val="right"/>
              <w:rPr/>
            </w:pPr>
            <w:r>
              <w:rPr/>
              <w:t>0.812083</w:t>
            </w:r>
          </w:p>
        </w:tc>
        <w:tc>
          <w:tcPr>
            <w:tcW w:w="1814" w:type="dxa"/>
            <w:tcBorders/>
          </w:tcPr>
          <w:p>
            <w:pPr>
              <w:pStyle w:val="TableContents"/>
              <w:jc w:val="right"/>
              <w:rPr/>
            </w:pPr>
            <w:r>
              <w:rPr/>
              <w:t>0.999948</w:t>
            </w:r>
          </w:p>
        </w:tc>
        <w:tc>
          <w:tcPr>
            <w:tcW w:w="1814" w:type="dxa"/>
            <w:tcBorders/>
          </w:tcPr>
          <w:p>
            <w:pPr>
              <w:pStyle w:val="TableContents"/>
              <w:jc w:val="right"/>
              <w:rPr/>
            </w:pPr>
            <w:r>
              <w:rPr/>
              <w:t>0.999563</w:t>
            </w:r>
          </w:p>
        </w:tc>
      </w:tr>
      <w:tr>
        <w:trPr/>
        <w:tc>
          <w:tcPr>
            <w:tcW w:w="1814" w:type="dxa"/>
            <w:tcBorders/>
          </w:tcPr>
          <w:p>
            <w:pPr>
              <w:pStyle w:val="TableContents"/>
              <w:jc w:val="left"/>
              <w:rPr/>
            </w:pPr>
            <w:r>
              <w:rPr/>
              <w:t>LDA</w:t>
            </w:r>
          </w:p>
        </w:tc>
        <w:tc>
          <w:tcPr>
            <w:tcW w:w="1814" w:type="dxa"/>
            <w:tcBorders/>
          </w:tcPr>
          <w:p>
            <w:pPr>
              <w:pStyle w:val="TableContents"/>
              <w:jc w:val="right"/>
              <w:rPr/>
            </w:pPr>
            <w:r>
              <w:rPr/>
              <w:t>0.976080</w:t>
            </w:r>
          </w:p>
        </w:tc>
        <w:tc>
          <w:tcPr>
            <w:tcW w:w="1814" w:type="dxa"/>
            <w:tcBorders/>
          </w:tcPr>
          <w:p>
            <w:pPr>
              <w:pStyle w:val="TableContents"/>
              <w:jc w:val="right"/>
              <w:rPr/>
            </w:pPr>
            <w:r>
              <w:rPr/>
              <w:t>0.821201</w:t>
            </w:r>
          </w:p>
        </w:tc>
        <w:tc>
          <w:tcPr>
            <w:tcW w:w="1814" w:type="dxa"/>
            <w:tcBorders/>
          </w:tcPr>
          <w:p>
            <w:pPr>
              <w:pStyle w:val="TableContents"/>
              <w:jc w:val="right"/>
              <w:rPr/>
            </w:pPr>
            <w:r>
              <w:rPr/>
              <w:t>0.998722</w:t>
            </w:r>
          </w:p>
        </w:tc>
        <w:tc>
          <w:tcPr>
            <w:tcW w:w="1814" w:type="dxa"/>
            <w:tcBorders/>
          </w:tcPr>
          <w:p>
            <w:pPr>
              <w:pStyle w:val="TableContents"/>
              <w:jc w:val="right"/>
              <w:rPr/>
            </w:pPr>
            <w:r>
              <w:rPr/>
              <w:t>0.989467</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0.660908</w:t>
            </w:r>
          </w:p>
        </w:tc>
        <w:tc>
          <w:tcPr>
            <w:tcW w:w="1814" w:type="dxa"/>
            <w:tcBorders>
              <w:bottom w:val="single" w:sz="4" w:space="0" w:color="000000"/>
            </w:tcBorders>
          </w:tcPr>
          <w:p>
            <w:pPr>
              <w:pStyle w:val="TableContents"/>
              <w:jc w:val="right"/>
              <w:rPr/>
            </w:pPr>
            <w:r>
              <w:rPr/>
              <w:t>0.906529</w:t>
            </w:r>
          </w:p>
        </w:tc>
        <w:tc>
          <w:tcPr>
            <w:tcW w:w="1814" w:type="dxa"/>
            <w:tcBorders>
              <w:bottom w:val="single" w:sz="4" w:space="0" w:color="000000"/>
            </w:tcBorders>
          </w:tcPr>
          <w:p>
            <w:pPr>
              <w:pStyle w:val="TableContents"/>
              <w:jc w:val="right"/>
              <w:rPr/>
            </w:pPr>
            <w:r>
              <w:rPr/>
              <w:t>0.625000</w:t>
            </w:r>
          </w:p>
        </w:tc>
        <w:tc>
          <w:tcPr>
            <w:tcW w:w="1814" w:type="dxa"/>
            <w:tcBorders>
              <w:bottom w:val="single" w:sz="4" w:space="0" w:color="000000"/>
            </w:tcBorders>
          </w:tcPr>
          <w:p>
            <w:pPr>
              <w:pStyle w:val="TableContents"/>
              <w:jc w:val="right"/>
              <w:rPr/>
            </w:pPr>
            <w:r>
              <w:rPr/>
              <w:t>0.261125</w:t>
            </w:r>
          </w:p>
        </w:tc>
      </w:tr>
    </w:tbl>
    <w:p>
      <w:pPr>
        <w:pStyle w:val="ListParagraph"/>
        <w:spacing w:lineRule="auto" w:line="360"/>
        <w:ind w:left="0"/>
        <w:rPr>
          <w:rFonts w:ascii="Roboto" w:hAnsi="Roboto"/>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b/>
        </w:rPr>
      </w:pPr>
      <w:r>
        <w:rPr>
          <w:b/>
        </w:rPr>
        <w:tab/>
      </w:r>
      <w:r>
        <w:rPr/>
        <w:t>Os valores previstos em cada campo da Matriz de Confusão de cada modelo para o banco de dados de teste encontram-se na Tabela 2. Os respectivos valores para o banco de dados de teste encontram-se na Tabela 3.</w:t>
      </w:r>
    </w:p>
    <w:p>
      <w:pPr>
        <w:pStyle w:val="Normal"/>
        <w:spacing w:lineRule="auto" w:line="360"/>
        <w:rPr>
          <w:b/>
        </w:rPr>
      </w:pPr>
      <w:r>
        <w:rPr>
          <w:b/>
        </w:rPr>
      </w:r>
    </w:p>
    <w:p>
      <w:pPr>
        <w:pStyle w:val="ListParagraph"/>
        <w:spacing w:lineRule="auto" w:line="360"/>
        <w:ind w:left="0"/>
        <w:rPr>
          <w:rFonts w:ascii="Roboto" w:hAnsi="Roboto"/>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vAlign w:val="center"/>
          </w:tcPr>
          <w:p>
            <w:pPr>
              <w:pStyle w:val="TableContents"/>
              <w:jc w:val="center"/>
              <w:rPr/>
            </w:pPr>
            <w:r>
              <w:rPr/>
              <w:t>Modelo</w:t>
            </w:r>
          </w:p>
        </w:tc>
        <w:tc>
          <w:tcPr>
            <w:tcW w:w="1814" w:type="dxa"/>
            <w:tcBorders>
              <w:top w:val="single" w:sz="4" w:space="0" w:color="000000"/>
            </w:tcBorders>
            <w:vAlign w:val="center"/>
          </w:tcPr>
          <w:p>
            <w:pPr>
              <w:pStyle w:val="TableContents"/>
              <w:jc w:val="center"/>
              <w:rPr/>
            </w:pPr>
            <w:r>
              <w:rPr/>
              <w:t>Verdadeiros Positivos</w:t>
            </w:r>
          </w:p>
        </w:tc>
        <w:tc>
          <w:tcPr>
            <w:tcW w:w="1814" w:type="dxa"/>
            <w:tcBorders>
              <w:top w:val="single" w:sz="4" w:space="0" w:color="000000"/>
            </w:tcBorders>
            <w:vAlign w:val="center"/>
          </w:tcPr>
          <w:p>
            <w:pPr>
              <w:pStyle w:val="TableContents"/>
              <w:jc w:val="center"/>
              <w:rPr/>
            </w:pPr>
            <w:r>
              <w:rPr/>
              <w:t>Falsos Positivos</w:t>
            </w:r>
          </w:p>
        </w:tc>
        <w:tc>
          <w:tcPr>
            <w:tcW w:w="1814" w:type="dxa"/>
            <w:tcBorders>
              <w:top w:val="single" w:sz="4" w:space="0" w:color="000000"/>
            </w:tcBorders>
            <w:vAlign w:val="center"/>
          </w:tcPr>
          <w:p>
            <w:pPr>
              <w:pStyle w:val="TableContents"/>
              <w:jc w:val="center"/>
              <w:rPr/>
            </w:pPr>
            <w:r>
              <w:rPr/>
              <w:t>Falsos Negativos</w:t>
            </w:r>
          </w:p>
        </w:tc>
        <w:tc>
          <w:tcPr>
            <w:tcW w:w="1814" w:type="dxa"/>
            <w:tcBorders>
              <w:top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49.191</w:t>
            </w:r>
          </w:p>
        </w:tc>
        <w:tc>
          <w:tcPr>
            <w:tcW w:w="1814" w:type="dxa"/>
            <w:tcBorders/>
          </w:tcPr>
          <w:p>
            <w:pPr>
              <w:pStyle w:val="TableContents"/>
              <w:jc w:val="right"/>
              <w:rPr/>
            </w:pPr>
            <w:r>
              <w:rPr/>
              <w:t>598</w:t>
            </w:r>
          </w:p>
        </w:tc>
        <w:tc>
          <w:tcPr>
            <w:tcW w:w="1814" w:type="dxa"/>
            <w:tcBorders/>
          </w:tcPr>
          <w:p>
            <w:pPr>
              <w:pStyle w:val="TableContents"/>
              <w:jc w:val="right"/>
              <w:rPr/>
            </w:pPr>
            <w:r>
              <w:rPr/>
              <w:t>1.733</w:t>
            </w:r>
          </w:p>
        </w:tc>
        <w:tc>
          <w:tcPr>
            <w:tcW w:w="1814" w:type="dxa"/>
            <w:tcBorders/>
          </w:tcPr>
          <w:p>
            <w:pPr>
              <w:pStyle w:val="TableContents"/>
              <w:jc w:val="right"/>
              <w:rPr/>
            </w:pPr>
            <w:r>
              <w:rPr/>
              <w:t>348.980</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50.481</w:t>
            </w:r>
          </w:p>
        </w:tc>
        <w:tc>
          <w:tcPr>
            <w:tcW w:w="1814" w:type="dxa"/>
            <w:tcBorders/>
          </w:tcPr>
          <w:p>
            <w:pPr>
              <w:pStyle w:val="TableContents"/>
              <w:jc w:val="right"/>
              <w:rPr/>
            </w:pPr>
            <w:r>
              <w:rPr/>
              <w:t>15</w:t>
            </w:r>
          </w:p>
        </w:tc>
        <w:tc>
          <w:tcPr>
            <w:tcW w:w="1814" w:type="dxa"/>
            <w:tcBorders/>
          </w:tcPr>
          <w:p>
            <w:pPr>
              <w:pStyle w:val="TableContents"/>
              <w:jc w:val="right"/>
              <w:rPr/>
            </w:pPr>
            <w:r>
              <w:rPr/>
              <w:t>443</w:t>
            </w:r>
          </w:p>
        </w:tc>
        <w:tc>
          <w:tcPr>
            <w:tcW w:w="1814" w:type="dxa"/>
            <w:tcBorders/>
          </w:tcPr>
          <w:p>
            <w:pPr>
              <w:pStyle w:val="TableContents"/>
              <w:jc w:val="right"/>
              <w:rPr/>
            </w:pPr>
            <w:r>
              <w:rPr/>
              <w:t>349.563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50.082</w:t>
            </w:r>
          </w:p>
        </w:tc>
        <w:tc>
          <w:tcPr>
            <w:tcW w:w="1814" w:type="dxa"/>
            <w:tcBorders/>
          </w:tcPr>
          <w:p>
            <w:pPr>
              <w:pStyle w:val="TableContents"/>
              <w:jc w:val="right"/>
              <w:rPr/>
            </w:pPr>
            <w:r>
              <w:rPr/>
              <w:t>23</w:t>
            </w:r>
          </w:p>
        </w:tc>
        <w:tc>
          <w:tcPr>
            <w:tcW w:w="1814" w:type="dxa"/>
            <w:tcBorders/>
          </w:tcPr>
          <w:p>
            <w:pPr>
              <w:pStyle w:val="TableContents"/>
              <w:jc w:val="right"/>
              <w:rPr/>
            </w:pPr>
            <w:r>
              <w:rPr/>
              <w:t>842</w:t>
            </w:r>
          </w:p>
        </w:tc>
        <w:tc>
          <w:tcPr>
            <w:tcW w:w="1814" w:type="dxa"/>
            <w:tcBorders/>
          </w:tcPr>
          <w:p>
            <w:pPr>
              <w:pStyle w:val="TableContents"/>
              <w:jc w:val="right"/>
              <w:rPr/>
            </w:pPr>
            <w:r>
              <w:rPr/>
              <w:t>349.555</w:t>
            </w:r>
          </w:p>
        </w:tc>
      </w:tr>
      <w:tr>
        <w:trPr/>
        <w:tc>
          <w:tcPr>
            <w:tcW w:w="1814" w:type="dxa"/>
            <w:tcBorders/>
          </w:tcPr>
          <w:p>
            <w:pPr>
              <w:pStyle w:val="TableContents"/>
              <w:jc w:val="left"/>
              <w:rPr/>
            </w:pPr>
            <w:r>
              <w:rPr/>
              <w:t>LDA</w:t>
            </w:r>
          </w:p>
        </w:tc>
        <w:tc>
          <w:tcPr>
            <w:tcW w:w="1814" w:type="dxa"/>
            <w:tcBorders/>
          </w:tcPr>
          <w:p>
            <w:pPr>
              <w:pStyle w:val="TableContents"/>
              <w:jc w:val="right"/>
              <w:rPr/>
            </w:pPr>
            <w:r>
              <w:rPr/>
              <w:t>41.736</w:t>
            </w:r>
          </w:p>
        </w:tc>
        <w:tc>
          <w:tcPr>
            <w:tcW w:w="1814" w:type="dxa"/>
            <w:tcBorders/>
          </w:tcPr>
          <w:p>
            <w:pPr>
              <w:pStyle w:val="TableContents"/>
              <w:jc w:val="right"/>
              <w:rPr/>
            </w:pPr>
            <w:r>
              <w:rPr/>
              <w:t>422</w:t>
            </w:r>
          </w:p>
        </w:tc>
        <w:tc>
          <w:tcPr>
            <w:tcW w:w="1814" w:type="dxa"/>
            <w:tcBorders/>
          </w:tcPr>
          <w:p>
            <w:pPr>
              <w:pStyle w:val="TableContents"/>
              <w:jc w:val="right"/>
              <w:rPr/>
            </w:pPr>
            <w:r>
              <w:rPr/>
              <w:t>9.188</w:t>
            </w:r>
          </w:p>
        </w:tc>
        <w:tc>
          <w:tcPr>
            <w:tcW w:w="1814" w:type="dxa"/>
            <w:tcBorders/>
          </w:tcPr>
          <w:p>
            <w:pPr>
              <w:pStyle w:val="TableContents"/>
              <w:jc w:val="right"/>
              <w:rPr/>
            </w:pPr>
            <w:r>
              <w:rPr/>
              <w:t>349.156</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46.145</w:t>
            </w:r>
          </w:p>
        </w:tc>
        <w:tc>
          <w:tcPr>
            <w:tcW w:w="1814" w:type="dxa"/>
            <w:tcBorders>
              <w:bottom w:val="single" w:sz="4" w:space="0" w:color="000000"/>
            </w:tcBorders>
          </w:tcPr>
          <w:p>
            <w:pPr>
              <w:pStyle w:val="TableContents"/>
              <w:jc w:val="right"/>
              <w:rPr/>
            </w:pPr>
            <w:r>
              <w:rPr/>
              <w:t>131.573</w:t>
            </w:r>
          </w:p>
        </w:tc>
        <w:tc>
          <w:tcPr>
            <w:tcW w:w="1814" w:type="dxa"/>
            <w:tcBorders>
              <w:bottom w:val="single" w:sz="4" w:space="0" w:color="000000"/>
            </w:tcBorders>
          </w:tcPr>
          <w:p>
            <w:pPr>
              <w:pStyle w:val="TableContents"/>
              <w:jc w:val="right"/>
              <w:rPr/>
            </w:pPr>
            <w:r>
              <w:rPr/>
              <w:t>4.779</w:t>
            </w:r>
          </w:p>
        </w:tc>
        <w:tc>
          <w:tcPr>
            <w:tcW w:w="1814" w:type="dxa"/>
            <w:tcBorders>
              <w:bottom w:val="single" w:sz="4" w:space="0" w:color="000000"/>
            </w:tcBorders>
          </w:tcPr>
          <w:p>
            <w:pPr>
              <w:pStyle w:val="TableContents"/>
              <w:jc w:val="right"/>
              <w:rPr/>
            </w:pPr>
            <w:r>
              <w:rPr/>
              <w:t>218.005</w:t>
            </w:r>
          </w:p>
        </w:tc>
      </w:tr>
    </w:tbl>
    <w:p>
      <w:pPr>
        <w:pStyle w:val="ListParagraph"/>
        <w:spacing w:lineRule="auto" w:line="360"/>
        <w:ind w:left="0"/>
        <w:rPr>
          <w:b w:val="false"/>
          <w:bCs w:val="false"/>
        </w:rPr>
      </w:pPr>
      <w:r>
        <w:rPr>
          <w:b w:val="false"/>
          <w:bCs w:val="false"/>
        </w:rPr>
        <w:t>Fonte: Resultados originais da pesquisa</w:t>
      </w:r>
    </w:p>
    <w:p>
      <w:pPr>
        <w:pStyle w:val="Normal"/>
        <w:spacing w:lineRule="auto" w:line="360"/>
        <w:rPr>
          <w:b w:val="false"/>
          <w:bCs w:val="false"/>
        </w:rPr>
      </w:pPr>
      <w:r>
        <w:rPr>
          <w:b w:val="false"/>
          <w:bCs w:val="false"/>
        </w:rPr>
      </w:r>
    </w:p>
    <w:p>
      <w:pPr>
        <w:pStyle w:val="ListParagraph"/>
        <w:spacing w:lineRule="auto" w:line="360"/>
        <w:ind w:left="0"/>
        <w:rPr>
          <w:rFonts w:ascii="Roboto" w:hAnsi="Roboto"/>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tcBorders>
            <w:vAlign w:val="center"/>
          </w:tcPr>
          <w:p>
            <w:pPr>
              <w:pStyle w:val="TableContents"/>
              <w:jc w:val="center"/>
              <w:rPr/>
            </w:pPr>
            <w:r>
              <w:rPr/>
              <w:t>Modelo</w:t>
            </w:r>
          </w:p>
        </w:tc>
        <w:tc>
          <w:tcPr>
            <w:tcW w:w="1814" w:type="dxa"/>
            <w:tcBorders>
              <w:top w:val="single" w:sz="4" w:space="0" w:color="000000"/>
            </w:tcBorders>
            <w:vAlign w:val="center"/>
          </w:tcPr>
          <w:p>
            <w:pPr>
              <w:pStyle w:val="TableContents"/>
              <w:jc w:val="center"/>
              <w:rPr/>
            </w:pPr>
            <w:r>
              <w:rPr/>
              <w:t>Verdadeiros Positivos</w:t>
            </w:r>
          </w:p>
        </w:tc>
        <w:tc>
          <w:tcPr>
            <w:tcW w:w="1814" w:type="dxa"/>
            <w:tcBorders>
              <w:top w:val="single" w:sz="4" w:space="0" w:color="000000"/>
            </w:tcBorders>
            <w:vAlign w:val="center"/>
          </w:tcPr>
          <w:p>
            <w:pPr>
              <w:pStyle w:val="TableContents"/>
              <w:jc w:val="center"/>
              <w:rPr/>
            </w:pPr>
            <w:r>
              <w:rPr/>
              <w:t>Falsos Positivos</w:t>
            </w:r>
          </w:p>
        </w:tc>
        <w:tc>
          <w:tcPr>
            <w:tcW w:w="1814" w:type="dxa"/>
            <w:tcBorders>
              <w:top w:val="single" w:sz="4" w:space="0" w:color="000000"/>
            </w:tcBorders>
            <w:vAlign w:val="center"/>
          </w:tcPr>
          <w:p>
            <w:pPr>
              <w:pStyle w:val="TableContents"/>
              <w:jc w:val="center"/>
              <w:rPr/>
            </w:pPr>
            <w:r>
              <w:rPr/>
              <w:t>Falsos Negativos</w:t>
            </w:r>
          </w:p>
        </w:tc>
        <w:tc>
          <w:tcPr>
            <w:tcW w:w="1814" w:type="dxa"/>
            <w:tcBorders>
              <w:top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43.537</w:t>
            </w:r>
          </w:p>
        </w:tc>
        <w:tc>
          <w:tcPr>
            <w:tcW w:w="1814" w:type="dxa"/>
            <w:tcBorders/>
          </w:tcPr>
          <w:p>
            <w:pPr>
              <w:pStyle w:val="TableContents"/>
              <w:jc w:val="right"/>
              <w:rPr/>
            </w:pPr>
            <w:r>
              <w:rPr/>
              <w:t>441</w:t>
            </w:r>
          </w:p>
        </w:tc>
        <w:tc>
          <w:tcPr>
            <w:tcW w:w="1814" w:type="dxa"/>
            <w:tcBorders/>
          </w:tcPr>
          <w:p>
            <w:pPr>
              <w:pStyle w:val="TableContents"/>
              <w:jc w:val="right"/>
              <w:rPr/>
            </w:pPr>
            <w:r>
              <w:rPr/>
              <w:t>1.536</w:t>
            </w:r>
          </w:p>
        </w:tc>
        <w:tc>
          <w:tcPr>
            <w:tcW w:w="1814" w:type="dxa"/>
            <w:tcBorders/>
          </w:tcPr>
          <w:p>
            <w:pPr>
              <w:pStyle w:val="TableContents"/>
              <w:jc w:val="right"/>
              <w:rPr/>
            </w:pPr>
            <w:r>
              <w:rPr/>
              <w:t>307.871</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38.695</w:t>
            </w:r>
          </w:p>
        </w:tc>
        <w:tc>
          <w:tcPr>
            <w:tcW w:w="1814" w:type="dxa"/>
            <w:tcBorders/>
          </w:tcPr>
          <w:p>
            <w:pPr>
              <w:pStyle w:val="TableContents"/>
              <w:jc w:val="right"/>
              <w:rPr/>
            </w:pPr>
            <w:r>
              <w:rPr/>
              <w:t>9</w:t>
            </w:r>
          </w:p>
        </w:tc>
        <w:tc>
          <w:tcPr>
            <w:tcW w:w="1814" w:type="dxa"/>
            <w:tcBorders/>
          </w:tcPr>
          <w:p>
            <w:pPr>
              <w:pStyle w:val="TableContents"/>
              <w:jc w:val="right"/>
              <w:rPr/>
            </w:pPr>
            <w:r>
              <w:rPr/>
              <w:t>6.378</w:t>
            </w:r>
          </w:p>
        </w:tc>
        <w:tc>
          <w:tcPr>
            <w:tcW w:w="1814" w:type="dxa"/>
            <w:tcBorders/>
          </w:tcPr>
          <w:p>
            <w:pPr>
              <w:pStyle w:val="TableContents"/>
              <w:jc w:val="right"/>
              <w:rPr/>
            </w:pPr>
            <w:r>
              <w:rPr/>
              <w:t>308.303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36.603</w:t>
            </w:r>
          </w:p>
        </w:tc>
        <w:tc>
          <w:tcPr>
            <w:tcW w:w="1814" w:type="dxa"/>
            <w:tcBorders/>
          </w:tcPr>
          <w:p>
            <w:pPr>
              <w:pStyle w:val="TableContents"/>
              <w:jc w:val="right"/>
              <w:rPr/>
            </w:pPr>
            <w:r>
              <w:rPr/>
              <w:t>16</w:t>
            </w:r>
          </w:p>
        </w:tc>
        <w:tc>
          <w:tcPr>
            <w:tcW w:w="1814" w:type="dxa"/>
            <w:tcBorders/>
          </w:tcPr>
          <w:p>
            <w:pPr>
              <w:pStyle w:val="TableContents"/>
              <w:jc w:val="right"/>
              <w:rPr/>
            </w:pPr>
            <w:r>
              <w:rPr/>
              <w:t>8.470</w:t>
            </w:r>
          </w:p>
        </w:tc>
        <w:tc>
          <w:tcPr>
            <w:tcW w:w="1814" w:type="dxa"/>
            <w:tcBorders/>
          </w:tcPr>
          <w:p>
            <w:pPr>
              <w:pStyle w:val="TableContents"/>
              <w:jc w:val="right"/>
              <w:rPr/>
            </w:pPr>
            <w:r>
              <w:rPr/>
              <w:t>308.296</w:t>
            </w:r>
          </w:p>
        </w:tc>
      </w:tr>
      <w:tr>
        <w:trPr/>
        <w:tc>
          <w:tcPr>
            <w:tcW w:w="1814" w:type="dxa"/>
            <w:tcBorders/>
          </w:tcPr>
          <w:p>
            <w:pPr>
              <w:pStyle w:val="TableContents"/>
              <w:jc w:val="left"/>
              <w:rPr/>
            </w:pPr>
            <w:r>
              <w:rPr/>
              <w:t>LDA</w:t>
            </w:r>
          </w:p>
        </w:tc>
        <w:tc>
          <w:tcPr>
            <w:tcW w:w="1814" w:type="dxa"/>
            <w:tcBorders/>
          </w:tcPr>
          <w:p>
            <w:pPr>
              <w:pStyle w:val="TableContents"/>
              <w:jc w:val="right"/>
              <w:rPr/>
            </w:pPr>
            <w:r>
              <w:rPr/>
              <w:t>37.014</w:t>
            </w:r>
          </w:p>
        </w:tc>
        <w:tc>
          <w:tcPr>
            <w:tcW w:w="1814" w:type="dxa"/>
            <w:tcBorders/>
          </w:tcPr>
          <w:p>
            <w:pPr>
              <w:pStyle w:val="TableContents"/>
              <w:jc w:val="right"/>
              <w:rPr/>
            </w:pPr>
            <w:r>
              <w:rPr/>
              <w:t>394</w:t>
            </w:r>
          </w:p>
        </w:tc>
        <w:tc>
          <w:tcPr>
            <w:tcW w:w="1814" w:type="dxa"/>
            <w:tcBorders/>
          </w:tcPr>
          <w:p>
            <w:pPr>
              <w:pStyle w:val="TableContents"/>
              <w:jc w:val="right"/>
              <w:rPr/>
            </w:pPr>
            <w:r>
              <w:rPr/>
              <w:t>8.059</w:t>
            </w:r>
          </w:p>
        </w:tc>
        <w:tc>
          <w:tcPr>
            <w:tcW w:w="1814" w:type="dxa"/>
            <w:tcBorders/>
          </w:tcPr>
          <w:p>
            <w:pPr>
              <w:pStyle w:val="TableContents"/>
              <w:jc w:val="right"/>
              <w:rPr/>
            </w:pPr>
            <w:r>
              <w:rPr/>
              <w:t>307.918</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40.860</w:t>
            </w:r>
          </w:p>
        </w:tc>
        <w:tc>
          <w:tcPr>
            <w:tcW w:w="1814" w:type="dxa"/>
            <w:tcBorders>
              <w:bottom w:val="single" w:sz="4" w:space="0" w:color="000000"/>
            </w:tcBorders>
          </w:tcPr>
          <w:p>
            <w:pPr>
              <w:pStyle w:val="TableContents"/>
              <w:jc w:val="right"/>
              <w:rPr/>
            </w:pPr>
            <w:r>
              <w:rPr/>
              <w:t>115.617</w:t>
            </w:r>
          </w:p>
        </w:tc>
        <w:tc>
          <w:tcPr>
            <w:tcW w:w="1814" w:type="dxa"/>
            <w:tcBorders>
              <w:bottom w:val="single" w:sz="4" w:space="0" w:color="000000"/>
            </w:tcBorders>
          </w:tcPr>
          <w:p>
            <w:pPr>
              <w:pStyle w:val="TableContents"/>
              <w:jc w:val="right"/>
              <w:rPr/>
            </w:pPr>
            <w:r>
              <w:rPr/>
              <w:t>4.213</w:t>
            </w:r>
          </w:p>
        </w:tc>
        <w:tc>
          <w:tcPr>
            <w:tcW w:w="1814" w:type="dxa"/>
            <w:tcBorders>
              <w:bottom w:val="single" w:sz="4" w:space="0" w:color="000000"/>
            </w:tcBorders>
          </w:tcPr>
          <w:p>
            <w:pPr>
              <w:pStyle w:val="TableContents"/>
              <w:jc w:val="right"/>
              <w:rPr/>
            </w:pPr>
            <w:r>
              <w:rPr/>
              <w:t>192.695</w:t>
            </w:r>
          </w:p>
        </w:tc>
      </w:tr>
    </w:tbl>
    <w:p>
      <w:pPr>
        <w:pStyle w:val="ListParagraph"/>
        <w:spacing w:lineRule="auto" w:line="360"/>
        <w:ind w:left="0"/>
        <w:rPr>
          <w:rFonts w:ascii="Roboto" w:hAnsi="Roboto"/>
        </w:rPr>
      </w:pPr>
      <w:r>
        <w:rPr/>
        <w:t>Fonte: Resultados originais da pesquisa</w:t>
      </w:r>
    </w:p>
    <w:p>
      <w:pPr>
        <w:pStyle w:val="Normal"/>
        <w:spacing w:lineRule="auto" w:line="360"/>
        <w:rPr>
          <w:b/>
        </w:rPr>
      </w:pPr>
      <w:r>
        <w:rPr>
          <w:b/>
        </w:rPr>
      </w:r>
    </w:p>
    <w:p>
      <w:pPr>
        <w:pStyle w:val="Normal"/>
        <w:spacing w:lineRule="auto" w:line="360"/>
        <w:rPr>
          <w:color w:val="000000"/>
          <w:shd w:fill="FFFFFF" w:val="clear"/>
        </w:rPr>
      </w:pPr>
      <w:r>
        <w:rPr>
          <w:color w:val="000000"/>
          <w:shd w:fill="FFFFFF" w:val="clear"/>
        </w:rPr>
      </w:r>
    </w:p>
    <w:p>
      <w:pPr>
        <w:pStyle w:val="ListParagraph"/>
        <w:spacing w:lineRule="auto" w:line="360"/>
        <w:ind w:left="0"/>
        <w:rPr>
          <w:b/>
        </w:rPr>
      </w:pPr>
      <w:r>
        <w:rPr>
          <w:b/>
        </w:rPr>
        <w:t>Considerações Finais</w:t>
      </w:r>
    </w:p>
    <w:p>
      <w:pPr>
        <w:pStyle w:val="ListParagraph"/>
        <w:spacing w:lineRule="auto" w:line="360"/>
        <w:ind w:left="0"/>
        <w:jc w:val="left"/>
        <w:rPr/>
      </w:pPr>
      <w:r>
        <w:rPr/>
      </w:r>
    </w:p>
    <w:p>
      <w:pPr>
        <w:pStyle w:val="Normal"/>
        <w:spacing w:lineRule="auto" w:line="360"/>
        <w:ind w:firstLine="708"/>
        <w:rPr/>
      </w:pPr>
      <w:r>
        <w:rPr/>
        <w:t>Blábláblá. Muito embora não foi o objetivo eliminar quaisquer dúvidas sobre qual o melhor modelo a ser utilizado, o modelo XYZ mostrou-se melhor em temos absolutos, dadas as métricas de análise A e B. Contudo, normativos institucionais podem inviabilizar a utilização de tal modelo em função disso e daquilo, sei lá. Apaga o próximo parágrafo e a nota de atenção abaixo dele.</w:t>
      </w:r>
    </w:p>
    <w:p>
      <w:pPr>
        <w:pStyle w:val="Normal"/>
        <w:spacing w:lineRule="auto" w:line="360"/>
        <w:ind w:firstLine="708"/>
        <w:rPr/>
      </w:pPr>
      <w:r>
        <w:rPr/>
        <w:t>O título da seção Conclusão(ões)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construídas como meras reproduções dos resultados, respondendo aos objetivos propostos no trabalho. Os autores não devem, em hipótese alguma, mencionar, citar ou reproduzir resultados de outros estudos na(s) Conclusão(ões) ou Considerações Finais do TCC. Por fim, salienta-se que essa seção não deve conter tabelas ou figuras, sendo redigida</w:t>
      </w:r>
      <w:bookmarkStart w:id="3" w:name="_Hlk66353157"/>
      <w:r>
        <w:rPr/>
        <w:t xml:space="preserve"> de forma sucinta.</w:t>
      </w:r>
      <w:bookmarkEnd w:id="3"/>
    </w:p>
    <w:p>
      <w:pPr>
        <w:pStyle w:val="Normal"/>
        <w:spacing w:lineRule="auto" w:line="360"/>
        <w:rPr>
          <w:b/>
        </w:rPr>
      </w:pPr>
      <w:r>
        <w:rPr>
          <w:b/>
        </w:rPr>
        <w:t xml:space="preserve">Atenção: </w:t>
      </w:r>
      <w:r>
        <w:rPr>
          <w:rStyle w:val="normaltextrun"/>
          <w:color w:val="000000"/>
          <w:shd w:fill="FFFFFF" w:val="clear"/>
        </w:rPr>
        <w:t>antes de enviar o arquivo para o Sistema de TCCs, remova todas as instruções originais que estão abaixo do conteúdo dos tópicos.</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ind w:firstLine="709"/>
        <w:rPr/>
      </w:pPr>
      <w:r>
        <w:rPr/>
        <w:t>E um agradecimento especial a eu mesmo, sem esta pessoa este TCC com certeza não teria sido produzido.</w:t>
      </w:r>
    </w:p>
    <w:p>
      <w:pPr>
        <w:pStyle w:val="Normal"/>
        <w:spacing w:lineRule="auto" w:line="360"/>
        <w:rPr>
          <w:b/>
        </w:rPr>
      </w:pPr>
      <w:r>
        <w:rPr>
          <w:b/>
        </w:rPr>
      </w:r>
    </w:p>
    <w:p>
      <w:pPr>
        <w:pStyle w:val="Normal"/>
        <w:spacing w:lineRule="auto" w:line="360"/>
        <w:rPr>
          <w:b/>
        </w:rPr>
      </w:pPr>
      <w:bookmarkStart w:id="4" w:name="_Hlk33977167"/>
      <w:r>
        <w:rPr>
          <w:b/>
        </w:rPr>
        <w:t>Referências</w:t>
      </w:r>
      <w:bookmarkEnd w:id="4"/>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 xml:space="preserve">Niu, </w:t>
      </w:r>
      <w:r>
        <w:rPr/>
        <w:t xml:space="preserve">J.; </w:t>
      </w:r>
      <w:r>
        <w:rPr/>
        <w:t xml:space="preserve">An, G.; Gu, Z.; Li, P.; Liu, Q.; Bai, R.; Sun, J.; Du, Q. 2020. Analysis of sensitivity and specificity: precise recognition of neutrophils during regeneration of contused skeletal muscle in rats. Forensic Sciences Research 7: 1-10. </w:t>
      </w:r>
      <w:r>
        <w:rPr/>
        <w:t>Disponível em: &lt;https://www.researchgate.net/publication/340034692_Analysis_of_sensitivity_and_specificity_precise_recognition_of_neutrophils_during_regeneration_of_contused_skeletal_muscle_in_rats&gt;. Acesso em 12 jun. 2025</w:t>
      </w:r>
      <w:r>
        <w:rPr/>
        <w:t xml:space="preserve">. </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b w:val="false"/>
          <w:bCs w:val="false"/>
        </w:rPr>
      </w:pPr>
      <w:r>
        <w:rPr>
          <w:b w:val="false"/>
          <w:bCs w:val="false"/>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17</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36">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71"/>
              <wp:lineTo x="21017" y="20671"/>
              <wp:lineTo x="21017"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18" wp14:anchorId="34FDC6CC">
              <wp:simplePos x="0" y="0"/>
              <wp:positionH relativeFrom="margin">
                <wp:align>right</wp:align>
              </wp:positionH>
              <wp:positionV relativeFrom="paragraph">
                <wp:posOffset>106045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flip:y;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36">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71"/>
              <wp:lineTo x="21017" y="20671"/>
              <wp:lineTo x="21017"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18" wp14:anchorId="34FDC6CC">
              <wp:simplePos x="0" y="0"/>
              <wp:positionH relativeFrom="margin">
                <wp:align>right</wp:align>
              </wp:positionH>
              <wp:positionV relativeFrom="paragraph">
                <wp:posOffset>106045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175">
                        <a:solidFill>
                          <a:srgbClr val="595959"/>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3pt,8.35pt" to="453.25pt,8.35pt" ID="Conector reto 844941520" stroked="t" o:allowincell="f" style="position:absolute;flip:y;mso-position-horizontal:right;mso-position-horizontal-relative:margin" wp14:anchorId="34FDC6CC">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30"/>
  <w:defaultTabStop w:val="708"/>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FD2793-7CD2-4ED6-B18F-AE2B73B81179}">
  <ds:schemaRefs>
    <ds:schemaRef ds:uri="http://schemas.microsoft.com/sharepoint/v3/contenttype/forms"/>
  </ds:schemaRefs>
</ds:datastoreItem>
</file>

<file path=customXml/itemProps3.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Application>LibreOffice/24.8.7.2$Linux_X86_64 LibreOffice_project/480$Build-2</Application>
  <AppVersion>15.0000</AppVersion>
  <Pages>17</Pages>
  <Words>5270</Words>
  <Characters>31450</Characters>
  <CharactersWithSpaces>36579</CharactersWithSpaces>
  <Paragraphs>245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2025-06-11T12:01:24Z</cp:lastPrinted>
  <dcterms:modified xsi:type="dcterms:W3CDTF">2025-06-12T11:40:17Z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