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comments.xml" ContentType="application/vnd.openxmlformats-officedocument.wordprocessingml.comment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b/>
        </w:rPr>
        <w:t>Modelos de previsão de inadimplência de crédito através de machine learning: um estudo abrangendo taxa básica de juros</w:t>
      </w:r>
    </w:p>
    <w:p>
      <w:pPr>
        <w:pStyle w:val="Normal"/>
        <w:spacing w:lineRule="auto" w:line="240"/>
        <w:rPr/>
      </w:pPr>
      <w:r>
        <w:rPr/>
      </w:r>
    </w:p>
    <w:p>
      <w:pPr>
        <w:pStyle w:val="Normal"/>
        <w:spacing w:lineRule="auto" w:line="240"/>
        <w:rPr/>
      </w:pPr>
      <w:r>
        <w:rPr/>
      </w:r>
    </w:p>
    <w:p>
      <w:pPr>
        <w:pStyle w:val="Normal"/>
        <w:spacing w:lineRule="auto" w:line="240"/>
        <w:jc w:val="center"/>
        <w:rPr/>
      </w:pPr>
      <w:r>
        <w:rPr/>
        <w:t>Thiago Rigo Werminghoff¹*;</w:t>
      </w:r>
      <w:r>
        <w:rPr>
          <w:vertAlign w:val="superscript"/>
        </w:rPr>
        <w:t xml:space="preserve"> </w:t>
      </w:r>
      <w:r>
        <w:rPr/>
        <w:t>Elton Gean Araújo</w:t>
      </w:r>
      <w:r>
        <w:rPr>
          <w:vertAlign w:val="superscript"/>
        </w:rPr>
        <w:t>2</w:t>
      </w:r>
    </w:p>
    <w:p>
      <w:pPr>
        <w:pStyle w:val="Normal"/>
        <w:tabs>
          <w:tab w:val="clear" w:pos="708"/>
          <w:tab w:val="left" w:pos="6465" w:leader="none"/>
        </w:tabs>
        <w:spacing w:lineRule="auto" w:line="240"/>
        <w:rPr>
          <w:b/>
          <w:sz w:val="18"/>
        </w:rPr>
      </w:pPr>
      <w:r>
        <w:rPr>
          <w:b/>
          <w:sz w:val="18"/>
        </w:rPr>
      </w:r>
    </w:p>
    <w:p>
      <w:pPr>
        <w:pStyle w:val="Normal"/>
        <w:spacing w:lineRule="auto" w:line="240"/>
        <w:jc w:val="left"/>
        <w:rPr>
          <w:sz w:val="18"/>
          <w:szCs w:val="18"/>
        </w:rPr>
      </w:pPr>
      <w:r>
        <w:rPr>
          <w:sz w:val="18"/>
          <w:szCs w:val="18"/>
          <w:vertAlign w:val="superscript"/>
        </w:rPr>
        <w:t>1</w:t>
      </w:r>
      <w:r>
        <w:rPr/>
        <w:t xml:space="preserve"> </w:t>
      </w:r>
      <w:r>
        <w:rPr>
          <w:sz w:val="18"/>
          <w:szCs w:val="18"/>
        </w:rPr>
        <w:t>Economista. Rua dos Douradores, 134, 2D, 1100-207, Lisboa, Portugal.</w:t>
      </w:r>
    </w:p>
    <w:p>
      <w:pPr>
        <w:pStyle w:val="Normal"/>
        <w:spacing w:lineRule="auto" w:line="240"/>
        <w:jc w:val="left"/>
        <w:rPr/>
      </w:pPr>
      <w:r>
        <w:rPr>
          <w:sz w:val="18"/>
          <w:szCs w:val="18"/>
          <w:vertAlign w:val="superscript"/>
        </w:rPr>
        <w:t xml:space="preserve">2 </w:t>
      </w:r>
      <w:r>
        <w:rPr>
          <w:sz w:val="18"/>
          <w:szCs w:val="18"/>
        </w:rPr>
        <w:t>Professor do Magistério Superior. Avenida Pedro Pedrossian, 725 – Bairro Universitário II; 79500-000 Paranaíba, MS, Brasil.</w:t>
      </w:r>
    </w:p>
    <w:p>
      <w:pPr>
        <w:pStyle w:val="Normal"/>
        <w:spacing w:lineRule="auto" w:line="240"/>
        <w:jc w:val="left"/>
        <w:rPr/>
      </w:pPr>
      <w:r>
        <w:rPr>
          <w:sz w:val="18"/>
          <w:szCs w:val="18"/>
        </w:rPr>
        <w:t>*</w:t>
      </w:r>
      <w:bookmarkStart w:id="0" w:name="_Hlk33948379"/>
      <w:bookmarkStart w:id="1" w:name="_Hlk33885760"/>
      <w:r>
        <w:rPr>
          <w:sz w:val="18"/>
          <w:szCs w:val="18"/>
        </w:rPr>
        <w:t>autor correspondente</w:t>
      </w:r>
      <w:bookmarkEnd w:id="1"/>
      <w:r>
        <w:rPr>
          <w:sz w:val="18"/>
          <w:szCs w:val="18"/>
        </w:rPr>
        <w:t xml:space="preserve">: </w:t>
      </w:r>
      <w:bookmarkEnd w:id="0"/>
      <w:r>
        <w:rPr>
          <w:sz w:val="18"/>
          <w:szCs w:val="18"/>
        </w:rPr>
        <w:t>twerminghoff@proton.me</w:t>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rPr>
          <w:b/>
        </w:rPr>
      </w:pPr>
      <w:r>
        <w:rPr>
          <w:b/>
        </w:rPr>
      </w:r>
    </w:p>
    <w:p>
      <w:pPr>
        <w:pStyle w:val="Normal"/>
        <w:spacing w:lineRule="auto" w:line="360"/>
        <w:jc w:val="left"/>
        <w:rPr>
          <w:b/>
        </w:rPr>
      </w:pPr>
      <w:r>
        <w:rPr>
          <w:b/>
        </w:rPr>
      </w:r>
    </w:p>
    <w:p>
      <w:pPr>
        <w:pStyle w:val="Normal"/>
        <w:rPr>
          <w:b/>
        </w:rPr>
      </w:pPr>
      <w:r>
        <w:rPr>
          <w:b/>
        </w:rPr>
      </w:r>
    </w:p>
    <w:p>
      <w:pPr>
        <w:pStyle w:val="Normal"/>
        <w:rPr>
          <w:b/>
        </w:rPr>
      </w:pPr>
      <w:r>
        <w:rPr>
          <w:b/>
        </w:rPr>
      </w:r>
      <w:r>
        <w:br w:type="page"/>
      </w:r>
    </w:p>
    <w:p>
      <w:pPr>
        <w:pStyle w:val="Normal"/>
        <w:spacing w:lineRule="auto" w:line="240" w:before="0" w:after="0"/>
        <w:jc w:val="center"/>
        <w:rPr/>
      </w:pPr>
      <w:r>
        <w:rPr>
          <w:b/>
        </w:rPr>
        <w:t>Modelos de previsão de inadimplência de crédito através de machine learning: um estudo abrangendo taxa básica de juros</w:t>
      </w:r>
    </w:p>
    <w:p>
      <w:pPr>
        <w:pStyle w:val="Normal"/>
        <w:spacing w:lineRule="auto" w:line="240"/>
        <w:jc w:val="center"/>
        <w:rPr>
          <w:b/>
        </w:rPr>
      </w:pPr>
      <w:r>
        <w:rPr>
          <w:b/>
        </w:rPr>
      </w:r>
    </w:p>
    <w:p>
      <w:pPr>
        <w:pStyle w:val="Normal"/>
        <w:spacing w:lineRule="auto" w:line="240"/>
        <w:jc w:val="left"/>
        <w:rPr/>
      </w:pPr>
      <w:r>
        <w:rPr>
          <w:b/>
        </w:rPr>
        <w:t>Resumo</w:t>
      </w:r>
    </w:p>
    <w:p>
      <w:pPr>
        <w:pStyle w:val="Normal"/>
        <w:spacing w:lineRule="auto" w:line="240"/>
        <w:rPr>
          <w:b/>
        </w:rPr>
      </w:pPr>
      <w:r>
        <w:rPr>
          <w:b/>
        </w:rPr>
      </w:r>
    </w:p>
    <w:p>
      <w:pPr>
        <w:pStyle w:val="ListParagraph"/>
        <w:spacing w:lineRule="auto" w:line="240"/>
        <w:ind w:left="0"/>
        <w:rPr/>
      </w:pPr>
      <w:r>
        <w:rPr>
          <w:bCs/>
        </w:rPr>
        <w:t xml:space="preserve">Instituições financeiras realizam suas políticas de crédito baseando-se em sistemas de análise de crédito e inadimplência, ao mesmo tempo que são restritas por regulamentações estabelecidas por órgãos de supervisão acerca de boas práticas, metodologias de cálculo, reservas financeiras, entre outros. Este trabalho vale-se dos dados de contratos de crédito disponibilizados pela Lending Club Corporation juntamente com as taxas de juros básicas presentes e futuras dos EUA vigentes à época de cada contrato para realizar o estabelecimento de cinco diferentes modelos de previsão de inadimplência dos créditos propostos, a fim de analisar suas performances quanto à correta classificação e, assim, aprimorar a lucratividade do negócio, evitando clientes que acarretem em potencias prejuízos e reduzir valores retidos a título de créditos de liquidez duvidosa. Nenhum dos modelos apresentou-se melhor do que os demais em todas as métricas analisadas (acurácia, sensitividade, especificidade e precisão). O modelo de redes neurais (TensorFlow) obteve o melhor resultado nas métricas Acurácia e Sensitividade (0,994406 e 0,965922, respectivamente), enquanto o modelo de Gradient Boost (CatBoost) obteve o melhor resultado nas métricas Especificidade e Precisão (0,999971 e 0,999767, respectivamente). </w:t>
      </w:r>
    </w:p>
    <w:p>
      <w:pPr>
        <w:pStyle w:val="Normal"/>
        <w:spacing w:lineRule="auto" w:line="240"/>
        <w:rPr/>
      </w:pPr>
      <w:r>
        <w:rPr>
          <w:b/>
        </w:rPr>
        <w:t xml:space="preserve">Palavras-chave: </w:t>
      </w:r>
      <w:r>
        <w:rPr/>
        <w:t>risco de crédito; finanças; machine learning; modelos de crédito.</w:t>
      </w:r>
    </w:p>
    <w:p>
      <w:pPr>
        <w:pStyle w:val="Normal"/>
        <w:spacing w:lineRule="auto" w:line="240"/>
        <w:rPr>
          <w:b/>
        </w:rPr>
      </w:pPr>
      <w:r>
        <w:rPr>
          <w:b/>
        </w:rPr>
      </w:r>
    </w:p>
    <w:p>
      <w:pPr>
        <w:pStyle w:val="Normal"/>
        <w:spacing w:lineRule="auto" w:line="240"/>
        <w:jc w:val="center"/>
        <w:rPr/>
      </w:pPr>
      <w:r>
        <w:rPr>
          <w:b/>
        </w:rPr>
        <w:t>Credit default prediction models through machine learning: a study approaching basic interest rates</w:t>
      </w:r>
    </w:p>
    <w:p>
      <w:pPr>
        <w:pStyle w:val="Normal"/>
        <w:spacing w:lineRule="auto" w:line="240"/>
        <w:rPr>
          <w:b/>
        </w:rPr>
      </w:pPr>
      <w:r>
        <w:rPr>
          <w:b/>
        </w:rPr>
      </w:r>
    </w:p>
    <w:p>
      <w:pPr>
        <w:pStyle w:val="Normal"/>
        <w:spacing w:lineRule="auto" w:line="240"/>
        <w:jc w:val="left"/>
        <w:rPr>
          <w:lang w:val="en-US"/>
        </w:rPr>
      </w:pPr>
      <w:r>
        <w:rPr>
          <w:b/>
          <w:lang w:val="en-US"/>
        </w:rPr>
        <w:t>Abstract</w:t>
      </w:r>
    </w:p>
    <w:p>
      <w:pPr>
        <w:pStyle w:val="Normal"/>
        <w:spacing w:lineRule="auto" w:line="240"/>
        <w:rPr/>
      </w:pPr>
      <w:r>
        <w:rPr/>
      </w:r>
    </w:p>
    <w:p>
      <w:pPr>
        <w:pStyle w:val="Normal"/>
        <w:spacing w:lineRule="auto" w:line="240"/>
        <w:rPr/>
      </w:pPr>
      <w:r>
        <w:rPr/>
        <w:t xml:space="preserve">Financial institutions implement their credit policies based on credit and default analysis systems, while being constrained by regulations established by supervisory bodies regarding best practices, calculation methodologies, financial reserves and other factors. This study uses data from credit contracts provided by Lending Club Corporation, along with current and future U.S. base interest rates in effect at the time of each contract, aiming to develop five different models for predicting default rates on such proposed loans, in order to analyze their performance in terms of correct classification and, thus, improve business profitability by avoiding potential losses and reducing amounts retained as default risk. None of the models performed better than the others in every metric analyzed (accuracy, sensitivity, specificity, and precision). The neural network model (TensorFlow) obtained the best result in the Accuracy and Sensitivity metrics (0.994406 and 0.965922, respectively), while the Gradient Boost model (CatBoost) obtained the best result in the Specificity and Precision metrics (0.999971 and 0.999767, respectively). </w:t>
      </w:r>
    </w:p>
    <w:p>
      <w:pPr>
        <w:pStyle w:val="Normal"/>
        <w:spacing w:lineRule="auto" w:line="240"/>
        <w:jc w:val="left"/>
        <w:rPr/>
      </w:pPr>
      <w:r>
        <w:rPr>
          <w:b/>
        </w:rPr>
        <w:t xml:space="preserve">Keywords: </w:t>
      </w:r>
      <w:r>
        <w:rPr/>
        <w:t>credit risk, finance, machine learning, credit modelling</w:t>
      </w:r>
    </w:p>
    <w:p>
      <w:pPr>
        <w:pStyle w:val="Normal"/>
        <w:spacing w:lineRule="auto" w:line="360"/>
        <w:rPr>
          <w:b/>
        </w:rPr>
      </w:pPr>
      <w:r>
        <w:rPr>
          <w:b/>
        </w:rPr>
      </w:r>
    </w:p>
    <w:p>
      <w:pPr>
        <w:pStyle w:val="ListParagraph"/>
        <w:spacing w:lineRule="auto" w:line="360"/>
        <w:ind w:left="0"/>
        <w:jc w:val="left"/>
        <w:rPr/>
      </w:pPr>
      <w:r>
        <w:rPr>
          <w:b/>
        </w:rPr>
        <w:t>Introdução</w:t>
      </w:r>
    </w:p>
    <w:p>
      <w:pPr>
        <w:pStyle w:val="ListParagraph"/>
        <w:spacing w:lineRule="auto" w:line="360"/>
        <w:ind w:left="0"/>
        <w:jc w:val="left"/>
        <w:rPr/>
      </w:pPr>
      <w:r>
        <w:rPr/>
      </w:r>
    </w:p>
    <w:p>
      <w:pPr>
        <w:pStyle w:val="Normal"/>
        <w:spacing w:lineRule="auto" w:line="360"/>
        <w:ind w:firstLine="709"/>
        <w:rPr/>
      </w:pPr>
      <w:r>
        <w:rPr>
          <w:bCs/>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pPr>
      <w:r>
        <w:rPr>
          <w:bCs/>
        </w:rPr>
        <w:t>Não somente a preocupação em cumprir os normativos fazem parte do dia a 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pPr>
      <w:r>
        <w:rPr>
          <w:bCs/>
        </w:rPr>
        <w:t>A utilização de extensivos bancos de dados e a evolução dos algoritmos de machine learning facilitaram uma melhor compreensão dos dados do tomadores, permitindo a predição de probabilidades de inadimplência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pPr>
      <w:r>
        <w:rPr>
          <w:bCs/>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pPr>
      <w:r>
        <w:rPr>
          <w:bCs/>
        </w:rPr>
        <w:t>Embora alguns estudos de referência tenham sido realizados com informações de empresas, é possível fazer um paralelo com a situação econômico-financeira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pPr>
      <w:r>
        <w:rPr>
          <w:bCs/>
        </w:rPr>
        <w:t>Como as técnicas de machine learning conseguem uma boa performance em classificação de dados, metodologias como redes neurais, support vector machines e árvores de classificação/regressão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pPr>
      <w:r>
        <w:rPr>
          <w:bCs/>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detrimento aos modelos estatísticos.</w:t>
      </w:r>
    </w:p>
    <w:p>
      <w:pPr>
        <w:pStyle w:val="Normal"/>
        <w:spacing w:lineRule="auto" w:line="360"/>
        <w:ind w:firstLine="709"/>
        <w:rPr/>
      </w:pPr>
      <w:r>
        <w:rPr>
          <w:bCs/>
        </w:rPr>
        <w:t xml:space="preserve">A literatura atual contempla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r>
        <w:rPr/>
        <w:commentReference w:id="0"/>
      </w:r>
      <w:r>
        <w:rPr/>
        <w:commentReference w:id="1"/>
      </w:r>
    </w:p>
    <w:p>
      <w:pPr>
        <w:pStyle w:val="Normal"/>
        <w:spacing w:lineRule="auto" w:line="360"/>
        <w:ind w:firstLine="709"/>
        <w:rPr/>
      </w:pPr>
      <w:r>
        <w:rPr>
          <w:rStyle w:val="normaltextrun"/>
          <w:bCs/>
          <w:color w:val="000000"/>
          <w:shd w:fill="FFFFFF" w:val="clear"/>
        </w:rPr>
        <w:t>A utilização de variáveis macroeconômicas em modelos de previsão de inadimplência se mostra importante dada a relação de forte influência de variáveis macroeconômicas (crescimento econômico, desemprego, inflação, taxas de juros…) sobre o risco de crédito bancário (CHEN, 2023). Em sua obra o autor explica a forte relação positiva que existe entre o crescimento do PIB e o aumento da qualidade do crédito, uma vez que a expansão econômica tipicamente reduz o risco de inadimplência dos tomadores, então reduzindo o risco geral de crédito para dos bancos.</w:t>
      </w:r>
    </w:p>
    <w:p>
      <w:pPr>
        <w:pStyle w:val="Normal"/>
        <w:spacing w:lineRule="auto" w:line="360"/>
        <w:ind w:firstLine="709"/>
        <w:rPr/>
      </w:pPr>
      <w:r>
        <w:rPr>
          <w:rStyle w:val="normaltextrun"/>
          <w:bCs/>
          <w:color w:val="000000"/>
          <w:shd w:fill="FFFFFF" w:val="clear"/>
        </w:rPr>
        <w:t>De forma semelhante, Naili e Lahrichii (2022) escrevem que o crescimento do PIB, taxa de desemprego, nível de capitalização bancária, performance bancária, ineficiência operacional bancária, concentração bancária, inflação, dívida soberana e tamanho dos bancos são os principais determinantes de inadimplência sobre empréstimos. Neste contexto, a inflação representa uma variável macroeconômica a ser trabalhada pelo governo nacional normalmente valendo-se de três instrumentos principais: operações de compra e venda de títulos do tesouro nacional em mercado aberto, aperto ou afrouxamento fiscal e, diretamente ligado a este estudo proposto, aumento ou redução da taxa básica de juros.</w:t>
      </w:r>
    </w:p>
    <w:p>
      <w:pPr>
        <w:pStyle w:val="Normal"/>
        <w:spacing w:lineRule="auto" w:line="360"/>
        <w:ind w:firstLine="709"/>
        <w:rPr/>
      </w:pPr>
      <w:r>
        <w:rPr>
          <w:rStyle w:val="normaltextrun"/>
          <w:color w:val="000000"/>
          <w:shd w:fill="FFFFFF" w:val="clear"/>
        </w:rPr>
        <w:t>Este trabalho pretende averiguar empiricamente a eficácia de algoritmos de machine learning (random forest, gradient boosting, LDA, SVM e redes neurais) para análise de risco de crédito especificamente na tentativa de previsão de contrato de crédito em futura situação de prejuízo no âmbito de empréstimos pessoais</w:t>
      </w:r>
      <w:r>
        <w:rPr/>
        <w:commentReference w:id="2"/>
      </w:r>
      <w:r>
        <w:rPr/>
        <w:commentReference w:id="3"/>
      </w:r>
      <w:r>
        <w:rPr>
          <w:rStyle w:val="normaltextrun"/>
          <w:color w:val="000000"/>
          <w:shd w:fill="FFFFFF" w:val="clear"/>
        </w:rPr>
        <w:t xml:space="preserve">, </w:t>
      </w:r>
      <w:r>
        <w:rPr>
          <w:rStyle w:val="normaltextrun"/>
          <w:color w:val="3465A4"/>
          <w:shd w:fill="FFFFFF" w:val="clear"/>
        </w:rPr>
        <w:t xml:space="preserve">utilizando os dados disponibilizados ao público pela Lending Club, uma empresa pública americana de empréstimos pessoais sediada em San Francisco, Califórnia, </w:t>
      </w:r>
      <w:r>
        <w:rPr>
          <w:rStyle w:val="normaltextrun"/>
          <w:color w:val="000000"/>
          <w:shd w:fill="FFFFFF" w:val="clear"/>
        </w:rPr>
        <w:t>realizando comparações entre os modelos treinados.</w:t>
      </w:r>
    </w:p>
    <w:p>
      <w:pPr>
        <w:pStyle w:val="Normal"/>
        <w:spacing w:lineRule="auto" w:line="360"/>
        <w:ind w:firstLine="709"/>
        <w:rPr/>
      </w:pPr>
      <w:r>
        <w:rPr/>
      </w:r>
    </w:p>
    <w:p>
      <w:pPr>
        <w:pStyle w:val="ListParagraph"/>
        <w:spacing w:lineRule="auto" w:line="360"/>
        <w:ind w:left="0"/>
        <w:rPr/>
      </w:pPr>
      <w:r>
        <w:rPr>
          <w:b/>
        </w:rPr>
        <w:t>Material e Métodos</w:t>
      </w:r>
    </w:p>
    <w:p>
      <w:pPr>
        <w:pStyle w:val="ListParagraph"/>
        <w:spacing w:lineRule="auto" w:line="360"/>
        <w:ind w:left="0"/>
        <w:rPr/>
      </w:pPr>
      <w:r>
        <w:rPr/>
      </w:r>
    </w:p>
    <w:p>
      <w:pPr>
        <w:pStyle w:val="Normal"/>
        <w:shd w:val="clear" w:color="auto" w:fill="FFFFFF"/>
        <w:spacing w:lineRule="auto" w:line="360"/>
        <w:ind w:firstLine="709"/>
        <w:rPr/>
      </w:pPr>
      <w:r>
        <w:rPr/>
        <w:t xml:space="preserve">Foi </w:t>
      </w:r>
      <w:r>
        <w:rPr>
          <w:rFonts w:eastAsia="Times New Roman"/>
          <w:lang w:eastAsia="pt-BR"/>
        </w:rPr>
        <w:t>realizado um estudo com base em banco de dados dos empréstimos concedidos pelo Lending Club Corporation, que concede empréstimos de até US$40mil, sem contrapartida, através de modalidade peer-to-peer (investidores e tomadores com interação direta), disponibilizado no website Kaggle</w:t>
      </w:r>
      <w:r>
        <w:rPr>
          <w:rStyle w:val="FootnoteReference"/>
          <w:rFonts w:eastAsia="Times New Roman"/>
          <w:lang w:eastAsia="pt-BR"/>
        </w:rPr>
        <w:footnoteReference w:id="2"/>
      </w:r>
      <w:r>
        <w:rPr>
          <w:rFonts w:eastAsia="Times New Roman"/>
          <w:lang w:eastAsia="pt-BR"/>
        </w:rPr>
        <w:t xml:space="preserve"> com a inclusão de informações referentes à </w:t>
      </w:r>
      <w:r>
        <w:rPr>
          <w:rFonts w:eastAsia="Times New Roman"/>
          <w:i/>
          <w:iCs/>
          <w:lang w:eastAsia="pt-BR"/>
        </w:rPr>
        <w:t>Effective Federal Funds Rate</w:t>
      </w:r>
      <w:r>
        <w:rPr>
          <w:rFonts w:eastAsia="Times New Roman"/>
          <w:lang w:eastAsia="pt-BR"/>
        </w:rPr>
        <w:t xml:space="preserve"> (EFFR) na época da solicitação do empréstimo, obtida através do website do </w:t>
      </w:r>
      <w:r>
        <w:rPr>
          <w:rFonts w:eastAsia="Times New Roman"/>
          <w:i/>
          <w:iCs/>
          <w:lang w:eastAsia="pt-BR"/>
        </w:rPr>
        <w:t>Federal Reserve Bank of St. Louis</w:t>
      </w:r>
      <w:r>
        <w:rPr>
          <w:rStyle w:val="FootnoteReference"/>
          <w:rFonts w:eastAsia="Times New Roman"/>
          <w:i/>
          <w:iCs/>
          <w:lang w:eastAsia="pt-BR"/>
        </w:rPr>
        <w:footnoteReference w:id="3"/>
      </w:r>
      <w:r>
        <w:rPr>
          <w:rFonts w:eastAsia="Times New Roman"/>
          <w:lang w:eastAsia="pt-BR"/>
        </w:rPr>
        <w:t>, também incluindo expectativas de taxas futuras (períodos de 6 e 12 meses). Para estas taxas de juros de expectativas futuras é utilizada a própria taxa efetiva futura mais um ruido aleatório de até 1pp ao ano. Este ruído é incluído em função da impossibilidade de se conhecer a taxa futura efetiva a priori.</w:t>
      </w:r>
    </w:p>
    <w:p>
      <w:pPr>
        <w:pStyle w:val="Normal"/>
        <w:shd w:val="clear" w:color="auto" w:fill="FFFFFF"/>
        <w:spacing w:lineRule="auto" w:line="360"/>
        <w:ind w:firstLine="709"/>
        <w:rPr/>
      </w:pPr>
      <w:r>
        <w:rPr>
          <w:rFonts w:eastAsia="Times New Roman"/>
          <w:lang w:eastAsia="pt-BR"/>
        </w:rPr>
        <w:t xml:space="preserve">A EFFR é estabelecida pelo </w:t>
      </w:r>
      <w:r>
        <w:rPr>
          <w:rFonts w:eastAsia="Times New Roman"/>
          <w:i/>
          <w:iCs/>
          <w:lang w:eastAsia="pt-BR"/>
        </w:rPr>
        <w:t xml:space="preserve">Federal Open Market Comitee </w:t>
      </w:r>
      <w:r>
        <w:rPr>
          <w:rFonts w:eastAsia="Times New Roman"/>
          <w:lang w:eastAsia="pt-BR"/>
        </w:rPr>
        <w:t xml:space="preserve">(FOMC), órgão americano equivalente ao Comitê de Política Monetária (Copom) no Brasil, responsável pelas diretrizes da política monetária e, particularmente,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pPr>
      <w:r>
        <w:rPr>
          <w:rFonts w:eastAsia="Times New Roman"/>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lang w:eastAsia="pt-BR"/>
        </w:rPr>
        <w:footnoteReference w:id="4"/>
      </w:r>
      <w:r>
        <w:rPr>
          <w:rFonts w:eastAsia="Times New Roman"/>
          <w:lang w:eastAsia="pt-BR"/>
        </w:rPr>
        <w:t xml:space="preserve">. Por questões de reprodutibilidade,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pPr>
      <w:r>
        <w:rPr/>
        <w:t>O banco de dados compreende o período de janeiro de 2007 até o final de 2017, é composto de 107 variáveis numéricas e 35 variáveis não-numéricas. com 2,92 milhões de observações no total.</w:t>
      </w:r>
      <w:r>
        <w:rPr/>
        <w:commentReference w:id="4"/>
      </w:r>
      <w:r>
        <w:rPr/>
        <w:commentReference w:id="5"/>
      </w:r>
    </w:p>
    <w:p>
      <w:pPr>
        <w:pStyle w:val="Normal"/>
        <w:spacing w:lineRule="auto" w:line="360"/>
        <w:ind w:firstLine="709"/>
        <w:rPr/>
      </w:pPr>
      <w:r>
        <w:rPr/>
        <w:t>Os dados são tratados em relação a se o proponente dos contratos tem histórico de renegociações (</w:t>
      </w:r>
      <w:r>
        <w:rPr>
          <w:i/>
          <w:iCs/>
        </w:rPr>
        <w:t>hardships</w:t>
      </w:r>
      <w:r>
        <w:rPr/>
        <w:t xml:space="preserve">) e se as propostas são submetidas de forma individual (apenas um mutuário) ou conjunta (normalmente um casal). Após filtragem das variáveis desnecessárias e procedimentos como o One Hot Encoding e </w:t>
      </w:r>
      <w:r>
        <w:rPr>
          <w:i/>
          <w:iCs/>
        </w:rPr>
        <w:t>binning</w:t>
      </w:r>
      <w:r>
        <w:rPr/>
        <w:t xml:space="preserve"> de categorias, o banco de dados finalizado compreendeu um total de 2</w:t>
      </w:r>
      <w:r>
        <w:rPr>
          <w:shd w:fill="auto" w:val="clear"/>
        </w:rPr>
        <w:t>10 variáveis, tod</w:t>
      </w:r>
      <w:r>
        <w:rPr/>
        <w:t>as numéricas, prontas para serem utilizadas no treinamento e verificação dos modelos propostos, contendo um total de 2,35 milhões de observações.</w:t>
      </w:r>
    </w:p>
    <w:p>
      <w:pPr>
        <w:pStyle w:val="Normal"/>
        <w:spacing w:lineRule="auto" w:line="360"/>
        <w:ind w:firstLine="709"/>
        <w:rPr/>
      </w:pPr>
      <w:r>
        <w:rPr/>
        <w:t xml:space="preserve">Anterior ao início de treino e verificação dos modelos, foi separado um grupo de observações (15% do total) com dois objetivos: (1) redução de dimensionalidade do banco de dados de treino e teste, possibilitando a computação pela máquina local em utilização (economias de CPU e RAM); e (2) servir como base de validação dos modelos em linha de produção, ou seja, sendo utilizados no dia a dia da instituição financeira. Dos 85% restantes (2 milhões de observações), separou-se dois agregados distintos: um grupo exclusivo para treinamento dos modelos (80% desse montante) e outro grupo exclusivo para teste dos modelos (os 20% restantes). </w:t>
      </w:r>
    </w:p>
    <w:p>
      <w:pPr>
        <w:pStyle w:val="Normal"/>
        <w:spacing w:lineRule="auto" w:line="360"/>
        <w:ind w:firstLine="709"/>
        <w:rPr/>
      </w:pPr>
      <w:r>
        <w:rPr/>
        <w:t xml:space="preserve">Como modelo de regressão de referência de modelos estatísticos para análise de risco será utilizada a análise de discriminante linear (LDA – </w:t>
      </w:r>
      <w:r>
        <w:rPr>
          <w:i/>
          <w:iCs/>
        </w:rPr>
        <w:t>linear discriminant analysis</w:t>
      </w:r>
      <w:r>
        <w:rPr/>
        <w:t xml:space="preserve">), que, segundo Moscatelli et al. (2020), permite uma análise da qualidade de crédito de uma instituição utilizando uma função linear que classifica os tomadores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Sobre modelo LDA específico para classificações em apenas duas categorias, Duda et al. </w:t>
      </w:r>
      <w:r>
        <w:rPr>
          <w:color w:val="auto"/>
        </w:rPr>
        <w:t>(2021) informam que este pode ser também chamado de Fisher Discriminant Analysis (FDA).</w:t>
      </w:r>
    </w:p>
    <w:p>
      <w:pPr>
        <w:pStyle w:val="Normal"/>
        <w:spacing w:lineRule="auto" w:line="360"/>
        <w:ind w:firstLine="709"/>
        <w:rPr>
          <w:color w:val="auto"/>
        </w:rPr>
      </w:pPr>
      <w:r>
        <w:rPr>
          <w:color w:val="auto"/>
        </w:rPr>
        <w:t xml:space="preserve">Uma função discriminante linear divide o espaço de variáveis por um hiperplano de limiar de decisão (Duda et al., 2021). Estes autores escrevem que essa função discriminante é uma combinação linear dos componentes de </w:t>
      </w:r>
      <w:r>
        <w:rPr/>
      </w:r>
      <m:oMath xmlns:m="http://schemas.openxmlformats.org/officeDocument/2006/math">
        <m:r>
          <w:rPr>
            <w:rFonts w:ascii="Cambria Math" w:hAnsi="Cambria Math"/>
          </w:rPr>
          <m:t xml:space="preserve">x</m:t>
        </m:r>
      </m:oMath>
      <w:r>
        <w:rPr>
          <w:color w:val="auto"/>
        </w:rPr>
        <w:t xml:space="preserve"> que pode ser escrita conforme a eq. (1):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user"/>
              <w:jc w:val="center"/>
              <w:rPr>
                <w:color w:val="auto"/>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Contedodatabelauser"/>
              <w:jc w:val="right"/>
              <w:rPr>
                <w:color w:val="auto"/>
              </w:rPr>
            </w:pPr>
            <w:r>
              <w:rPr>
                <w:color w:val="auto"/>
              </w:rPr>
              <w:t>(1)</w:t>
            </w:r>
          </w:p>
        </w:tc>
      </w:tr>
    </w:tbl>
    <w:p>
      <w:pPr>
        <w:pStyle w:val="Normal"/>
        <w:spacing w:lineRule="auto" w:line="360"/>
        <w:rPr/>
      </w:pPr>
      <w:r>
        <w:rPr>
          <w:color w:val="auto"/>
        </w:rPr>
        <w:t xml:space="preserve">onde </w:t>
      </w:r>
      <w:r>
        <w:rPr/>
      </w:r>
      <m:oMath xmlns:m="http://schemas.openxmlformats.org/officeDocument/2006/math">
        <m:r>
          <w:rPr>
            <w:rFonts w:ascii="Cambria Math" w:hAnsi="Cambria Math"/>
          </w:rPr>
          <m:t xml:space="preserve">w</m:t>
        </m:r>
      </m:oMath>
      <w:r>
        <w:rPr>
          <w:color w:val="auto"/>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auto"/>
        </w:rPr>
        <w:t xml:space="preserve"> é a tendência ou o limiar de discriminação (</w:t>
      </w:r>
      <w:r>
        <w:rPr>
          <w:i/>
          <w:iCs/>
          <w:color w:val="auto"/>
        </w:rPr>
        <w:t>threshold weight</w:t>
      </w:r>
      <w:r>
        <w:rPr>
          <w:color w:val="auto"/>
        </w:rPr>
        <w:t xml:space="preserve">). Nesse sentido, os autores afirmam que um classificador linear de duas categorias implementa </w:t>
      </w:r>
      <w:r>
        <w:rPr>
          <w:color w:val="000000"/>
          <w:shd w:fill="auto" w:val="clear"/>
        </w:rPr>
        <w:t xml:space="preserve">uma regra de decisão para os elementos do vetor </w:t>
      </w:r>
      <w:r>
        <w:rPr/>
      </w:r>
      <m:oMath xmlns:m="http://schemas.openxmlformats.org/officeDocument/2006/math">
        <m:r>
          <w:rPr>
            <w:rFonts w:ascii="Cambria Math" w:hAnsi="Cambria Math"/>
          </w:rPr>
          <m:t xml:space="preserve">w</m:t>
        </m:r>
      </m:oMath>
      <w:r>
        <w:rPr>
          <w:color w:val="000000"/>
          <w:shd w:fill="auto" w:val="clear"/>
        </w:rPr>
        <w:t xml:space="preserve">: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000000"/>
          <w:shd w:fill="auto" w:val="clea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000000"/>
          <w:shd w:fill="auto" w:val="clear"/>
        </w:rPr>
        <w:t xml:space="preserve"> 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000000"/>
          <w:shd w:fill="auto" w:val="clea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000000"/>
          <w:shd w:fill="auto" w:val="clear"/>
        </w:rPr>
        <w:t xml:space="preserve">. Assim, </w:t>
      </w:r>
      <w:r>
        <w:rPr/>
      </w:r>
      <m:oMath xmlns:m="http://schemas.openxmlformats.org/officeDocument/2006/math">
        <m:r>
          <w:rPr>
            <w:rFonts w:ascii="Cambria Math" w:hAnsi="Cambria Math"/>
          </w:rPr>
          <m:t xml:space="preserve">x</m:t>
        </m:r>
      </m:oMath>
      <w:r>
        <w:rPr>
          <w:color w:val="000000"/>
          <w:shd w:fill="auto" w:val="clear"/>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000000"/>
          <w:shd w:fill="auto" w:val="clear"/>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color w:val="000000"/>
          <w:shd w:fill="auto" w:val="clear"/>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000000"/>
          <w:shd w:fill="auto" w:val="clear"/>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000000"/>
          <w:shd w:fill="auto" w:val="clear"/>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000000"/>
          <w:shd w:fill="auto" w:val="clear"/>
        </w:rPr>
        <w:t xml:space="preserve">, então </w:t>
      </w:r>
      <w:r>
        <w:rPr/>
      </w:r>
      <m:oMath xmlns:m="http://schemas.openxmlformats.org/officeDocument/2006/math">
        <m:r>
          <w:rPr>
            <w:rFonts w:ascii="Cambria Math" w:hAnsi="Cambria Math"/>
          </w:rPr>
          <m:t xml:space="preserve">x</m:t>
        </m:r>
      </m:oMath>
      <w:r>
        <w:rPr>
          <w:color w:val="000000"/>
          <w:shd w:fill="auto" w:val="clear"/>
        </w:rPr>
        <w:t xml:space="preserve"> pode ser atribuído </w:t>
      </w:r>
      <w:r>
        <w:rPr>
          <w:shd w:fill="auto" w:val="clear"/>
        </w:rPr>
        <w:t xml:space="preserve">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shd w:fill="auto" w:val="clear"/>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shd w:fill="auto" w:val="clear"/>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shd w:fill="auto" w:val="clear"/>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shd w:fill="auto" w:val="clear"/>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hd w:fill="auto" w:val="clear"/>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hd w:fill="auto" w:val="clear"/>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shd w:fill="auto" w:val="clear"/>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shd w:fill="auto" w:val="clear"/>
        </w:rPr>
        <w:t xml:space="preserve"> e isso demonstra que </w:t>
      </w:r>
      <w:r>
        <w:rPr/>
      </w:r>
      <m:oMath xmlns:m="http://schemas.openxmlformats.org/officeDocument/2006/math">
        <m:r>
          <w:rPr>
            <w:rFonts w:ascii="Cambria Math" w:hAnsi="Cambria Math"/>
          </w:rPr>
          <m:t xml:space="preserve">w</m:t>
        </m:r>
      </m:oMath>
      <w:r>
        <w:rPr>
          <w:shd w:fill="auto" w:val="clear"/>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shd w:fill="auto" w:val="clear"/>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shd w:fill="auto" w:val="clear"/>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shd w:fill="auto" w:val="clear"/>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shd w:fill="auto" w:val="clear"/>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shd w:fill="auto" w:val="clear"/>
        </w:rPr>
        <w:t xml:space="preserve">, se </w:t>
      </w:r>
      <w:r>
        <w:rPr/>
      </w:r>
      <m:oMath xmlns:m="http://schemas.openxmlformats.org/officeDocument/2006/math">
        <m:r>
          <w:rPr>
            <w:rFonts w:ascii="Cambria Math" w:hAnsi="Cambria Math"/>
          </w:rPr>
          <m:t xml:space="preserve">x</m:t>
        </m:r>
      </m:oMath>
      <w:r>
        <w:rPr>
          <w:shd w:fill="auto" w:val="clear"/>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sucede-se que o vetor normal </w:t>
      </w:r>
      <w:r>
        <w:rPr/>
      </w:r>
      <m:oMath xmlns:m="http://schemas.openxmlformats.org/officeDocument/2006/math">
        <m:r>
          <w:rPr>
            <w:rFonts w:ascii="Cambria Math" w:hAnsi="Cambria Math"/>
          </w:rPr>
          <m:t xml:space="preserve">w</m:t>
        </m:r>
      </m:oMath>
      <w:r>
        <w:rPr>
          <w:shd w:fill="auto" w:val="clear"/>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Ocasionalmente refere-se que qualquer </w:t>
      </w:r>
      <w:r>
        <w:rPr/>
      </w:r>
      <m:oMath xmlns:m="http://schemas.openxmlformats.org/officeDocument/2006/math">
        <m:r>
          <w:rPr>
            <w:rFonts w:ascii="Cambria Math" w:hAnsi="Cambria Math"/>
          </w:rPr>
          <m:t xml:space="preserve">x</m:t>
        </m:r>
      </m:oMath>
      <w:r>
        <w:rPr>
          <w:shd w:fill="auto" w:val="clear"/>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encontra-se no </w:t>
      </w:r>
      <w:r>
        <w:rPr>
          <w:i/>
          <w:iCs/>
          <w:shd w:fill="auto" w:val="clear"/>
        </w:rPr>
        <w:t>lado positivo</w:t>
      </w:r>
      <w:r>
        <w:rPr>
          <w:shd w:fill="auto" w:val="clear"/>
        </w:rPr>
        <w:t xml:space="preserve"> de </w:t>
      </w:r>
      <w:r>
        <w:rPr/>
      </w:r>
      <m:oMath xmlns:m="http://schemas.openxmlformats.org/officeDocument/2006/math">
        <m:r>
          <w:rPr>
            <w:rFonts w:ascii="Cambria Math" w:hAnsi="Cambria Math"/>
          </w:rPr>
          <m:t xml:space="preserve">H</m:t>
        </m:r>
      </m:oMath>
      <w:r>
        <w:rPr>
          <w:shd w:fill="auto" w:val="clear"/>
        </w:rPr>
        <w:t xml:space="preserve"> e qualquer </w:t>
      </w:r>
      <w:r>
        <w:rPr/>
      </w:r>
      <m:oMath xmlns:m="http://schemas.openxmlformats.org/officeDocument/2006/math">
        <m:r>
          <w:rPr>
            <w:rFonts w:ascii="Cambria Math" w:hAnsi="Cambria Math"/>
          </w:rPr>
          <m:t xml:space="preserve">x</m:t>
        </m:r>
      </m:oMath>
      <w:r>
        <w:rPr>
          <w:shd w:fill="auto" w:val="clear"/>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shd w:fill="auto" w:val="clear"/>
        </w:rPr>
        <w:t xml:space="preserve"> encontra-se no </w:t>
      </w:r>
      <w:r>
        <w:rPr>
          <w:i/>
          <w:iCs/>
          <w:shd w:fill="auto" w:val="clear"/>
        </w:rPr>
        <w:t>lado negativo</w:t>
      </w:r>
      <w:r>
        <w:rPr>
          <w:shd w:fill="auto" w:val="clear"/>
        </w:rPr>
        <w:t xml:space="preserve"> de </w:t>
      </w:r>
      <w:r>
        <w:rPr/>
      </w:r>
      <m:oMath xmlns:m="http://schemas.openxmlformats.org/officeDocument/2006/math">
        <m:r>
          <w:rPr>
            <w:rFonts w:ascii="Cambria Math" w:hAnsi="Cambria Math"/>
          </w:rPr>
          <m:t xml:space="preserve">H</m:t>
        </m:r>
      </m:oMath>
      <w:r>
        <w:rPr>
          <w:shd w:fill="auto" w:val="clear"/>
        </w:rPr>
        <w:t>.</w:t>
      </w:r>
    </w:p>
    <w:p>
      <w:pPr>
        <w:pStyle w:val="Normal"/>
        <w:spacing w:lineRule="auto" w:line="360"/>
        <w:ind w:firstLine="709"/>
        <w:rPr/>
      </w:pPr>
      <w:r>
        <w:rPr>
          <w:shd w:fill="auto" w:val="clear"/>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shd w:fill="auto" w:val="clear"/>
        </w:rPr>
        <w:t>, e as localizações do limiar é determ</w:t>
      </w:r>
      <w:r>
        <w:rPr/>
        <w:t xml:space="preserve">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é proporcional à distância sinalizada de </w:t>
      </w:r>
      <w:r>
        <w:rPr/>
      </w:r>
      <m:oMath xmlns:m="http://schemas.openxmlformats.org/officeDocument/2006/math">
        <m:r>
          <w:rPr>
            <w:rFonts w:ascii="Cambria Math" w:hAnsi="Cambria Math"/>
          </w:rPr>
          <m:t xml:space="preserve">x</m:t>
        </m:r>
      </m:oMath>
      <w:r>
        <w:rPr/>
        <w:t xml:space="preserve"> em direção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está no lado negativo (Duda et al., 2021).</w:t>
      </w:r>
    </w:p>
    <w:p>
      <w:pPr>
        <w:pStyle w:val="Normal"/>
        <w:spacing w:lineRule="auto" w:line="360"/>
        <w:ind w:firstLine="709"/>
        <w:rPr/>
      </w:pPr>
      <w:r>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retorna uma medida algébrica da distância de </w:t>
      </w:r>
      <w:r>
        <w:rPr/>
      </w:r>
      <m:oMath xmlns:m="http://schemas.openxmlformats.org/officeDocument/2006/math">
        <m:r>
          <w:rPr>
            <w:rFonts w:ascii="Cambria Math" w:hAnsi="Cambria Math"/>
          </w:rPr>
          <m:t xml:space="preserve">x</m:t>
        </m:r>
      </m:oMath>
      <w:r>
        <w:rPr/>
        <w:t xml:space="preserve"> em relação ao hiperplano. Alternativamente, é possível expressar </w:t>
      </w:r>
      <w:r>
        <w:rPr/>
      </w:r>
      <m:oMath xmlns:m="http://schemas.openxmlformats.org/officeDocument/2006/math">
        <m:r>
          <w:rPr>
            <w:rFonts w:ascii="Cambria Math" w:hAnsi="Cambria Math"/>
          </w:rPr>
          <m:t xml:space="preserve">x</m:t>
        </m:r>
      </m:oMath>
      <w:r>
        <w:rPr/>
        <w:t xml:space="preserve"> como descrito na eq. (2):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Contedodatabelauser"/>
              <w:jc w:val="right"/>
              <w:rPr/>
            </w:pPr>
            <w:r>
              <w:rPr/>
              <w:t>(2)</w:t>
            </w:r>
          </w:p>
        </w:tc>
      </w:tr>
    </w:tbl>
    <w:p>
      <w:pPr>
        <w:pStyle w:val="Normal"/>
        <w:spacing w:lineRule="auto" w:line="360"/>
        <w:rPr/>
      </w:pPr>
      <w:r>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t xml:space="preserve"> é a projeção regular de </w:t>
      </w:r>
      <w:r>
        <w:rPr/>
      </w:r>
      <m:oMath xmlns:m="http://schemas.openxmlformats.org/officeDocument/2006/math">
        <m:r>
          <w:rPr>
            <w:rFonts w:ascii="Cambria Math" w:hAnsi="Cambria Math"/>
          </w:rPr>
          <m:t xml:space="preserve">x</m:t>
        </m:r>
      </m:oMath>
      <w:r>
        <w:rPr/>
        <w:t xml:space="preserve"> em </w:t>
      </w:r>
      <w:r>
        <w:rPr/>
      </w:r>
      <m:oMath xmlns:m="http://schemas.openxmlformats.org/officeDocument/2006/math">
        <m:r>
          <w:rPr>
            <w:rFonts w:ascii="Cambria Math" w:hAnsi="Cambria Math"/>
          </w:rPr>
          <m:t xml:space="preserve">H</m:t>
        </m:r>
      </m:oMath>
      <w:r>
        <w:rPr/>
        <w:t xml:space="preserve">, e </w:t>
      </w:r>
      <w:r>
        <w:rPr/>
      </w:r>
      <m:oMath xmlns:m="http://schemas.openxmlformats.org/officeDocument/2006/math">
        <m:r>
          <w:rPr>
            <w:rFonts w:ascii="Cambria Math" w:hAnsi="Cambria Math"/>
          </w:rPr>
          <m:t xml:space="preserve">r</m:t>
        </m:r>
      </m:oMath>
      <w:r>
        <w:rPr/>
        <w:t xml:space="preserve"> é a distância algébrica desejada - positiva se </w:t>
      </w:r>
      <w:r>
        <w:rPr/>
      </w:r>
      <m:oMath xmlns:m="http://schemas.openxmlformats.org/officeDocument/2006/math">
        <m:r>
          <w:rPr>
            <w:rFonts w:ascii="Cambria Math" w:hAnsi="Cambria Math"/>
          </w:rPr>
          <m:t xml:space="preserve">x</m:t>
        </m:r>
      </m:oMath>
      <w:r>
        <w:rPr/>
        <w:t xml:space="preserve"> está no lado positivo e negativa se </w:t>
      </w:r>
      <w:r>
        <w:rPr/>
      </w:r>
      <m:oMath xmlns:m="http://schemas.openxmlformats.org/officeDocument/2006/math">
        <m:r>
          <w:rPr>
            <w:rFonts w:ascii="Cambria Math" w:hAnsi="Cambria Math"/>
          </w:rPr>
          <m:t xml:space="preserve">x</m:t>
        </m:r>
      </m:oMath>
      <w:r>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t>, tem-se a eq. (3):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Contedodatabelauser"/>
              <w:jc w:val="right"/>
              <w:rPr/>
            </w:pPr>
            <w:r>
              <w:rPr/>
              <w:t>(3)</w:t>
            </w:r>
          </w:p>
        </w:tc>
      </w:tr>
    </w:tbl>
    <w:p>
      <w:pPr>
        <w:pStyle w:val="Normal"/>
        <w:spacing w:lineRule="auto" w:line="360"/>
        <w:rPr/>
      </w:pPr>
      <w:r>
        <w:rPr/>
        <w:t xml:space="preserve">que, invertendo </w:t>
      </w:r>
      <w:r>
        <w:rPr/>
      </w:r>
      <m:oMath xmlns:m="http://schemas.openxmlformats.org/officeDocument/2006/math">
        <m:d>
          <m:dPr>
            <m:begChr m:val="‖"/>
            <m:endChr m:val="‖"/>
          </m:dPr>
          <m:e>
            <m:r>
              <w:rPr>
                <w:rFonts w:ascii="Cambria Math" w:hAnsi="Cambria Math"/>
              </w:rPr>
              <m:t xml:space="preserve">w</m:t>
            </m:r>
          </m:e>
        </m:d>
      </m:oMath>
      <w:r>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tem-se a eq. (4):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Contedodatabelauser"/>
              <w:jc w:val="right"/>
              <w:rPr/>
            </w:pPr>
            <w:r>
              <w:rPr/>
              <w:t>(4)</w:t>
            </w:r>
          </w:p>
        </w:tc>
      </w:tr>
    </w:tbl>
    <w:p>
      <w:pPr>
        <w:pStyle w:val="Normal"/>
        <w:spacing w:lineRule="auto" w:line="360"/>
        <w:ind w:firstLine="709"/>
        <w:rPr/>
      </w:pPr>
      <w:r>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pPr>
      <w:r>
        <w:rPr/>
        <w:t xml:space="preserve">No trabalho de Addo et al. (2018), os autores definem </w:t>
      </w:r>
      <w:r>
        <w:rPr>
          <w:i/>
          <w:iCs/>
        </w:rPr>
        <w:t xml:space="preserve">random forest </w:t>
      </w:r>
      <w:r>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pPr>
      <w:r>
        <w:rPr/>
        <w:t xml:space="preserve">Cada resultado de uma decisão em um dado nó é chamado de </w:t>
      </w:r>
      <w:r>
        <w:rPr>
          <w:i/>
          <w:iCs/>
        </w:rPr>
        <w:t xml:space="preserve">split </w:t>
      </w:r>
      <w:r>
        <w:rPr/>
        <w:t>(separação, divisão), uma vez que pode ser representado utilizando apenas decisões binárias e corresponde à separação (</w:t>
      </w:r>
      <w:r>
        <w:rPr>
          <w:i/>
          <w:iCs/>
        </w:rPr>
        <w:t>split</w:t>
      </w:r>
      <w:r>
        <w:rPr/>
        <w:t>, literalmente) de um banco de dados em dois subgrupos. O primeiro nó (também chamado de nó raiz) separa a totalidade do dataset em uso, cada sucessiva decisão separa um subgrupo apropriado de dados (Duda et al., 2021). Via de regra, a quantidade máxima de splits é definida como hiperparâmetro, ou seja, definida pelo usuário, e pode variar ao longo da(s) árvore(s).</w:t>
      </w:r>
    </w:p>
    <w:p>
      <w:pPr>
        <w:pStyle w:val="Normal"/>
        <w:spacing w:lineRule="auto" w:line="360"/>
        <w:ind w:firstLine="709"/>
        <w:rPr/>
      </w:pPr>
      <w:r>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variável utilizada; segundo, que os modelos de random forest são simples de usar e muito convenientes uma vez que produzam boas predições valendo-se dos hiperparâmetros padrões; e terceiro, que os modelos de random forest raramente atingem o </w:t>
      </w:r>
      <w:r>
        <w:rPr>
          <w:i/>
          <w:iCs/>
        </w:rPr>
        <w:t>overfit</w:t>
      </w:r>
      <w:r>
        <w:rPr/>
        <w:t>, a adaptação perfeita ou quase-perfeita do algoritmo ao banco de dados de treino, uma vez que se possua uma quantidade significativa de árvores de decisão na floresta.</w:t>
      </w:r>
    </w:p>
    <w:p>
      <w:pPr>
        <w:pStyle w:val="Normal"/>
        <w:spacing w:lineRule="auto" w:line="360"/>
        <w:ind w:firstLine="709"/>
        <w:rPr/>
      </w:pPr>
      <w:r>
        <w:rPr/>
        <w:t xml:space="preserve">Contudo, o trabalho de Duda et al. (2021) informa que se os splits continuarem indefinidamente (e ao longo de todas as árvores distintas) até o ponto de menor impureza possível, então os dados sofreram </w:t>
      </w:r>
      <w:r>
        <w:rPr>
          <w:i/>
          <w:iCs/>
        </w:rPr>
        <w:t>overfit</w:t>
      </w:r>
      <w:r>
        <w:rPr/>
        <w:t>.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rPr>
        <w:t>loss</w:t>
      </w:r>
      <w:r>
        <w:rPr/>
        <w:t>) resultante do treinamento não é suficientemente baixa e por consequência o modelo terá problemas de performance (</w:t>
      </w:r>
      <w:r>
        <w:rPr>
          <w:i/>
          <w:iCs/>
        </w:rPr>
        <w:t>underfit</w:t>
      </w:r>
      <w:r>
        <w:rPr/>
        <w:t>, a falha na adaptação do algoritmo ao banco de dados).</w:t>
      </w:r>
    </w:p>
    <w:p>
      <w:pPr>
        <w:pStyle w:val="Normal"/>
        <w:spacing w:lineRule="auto" w:line="360"/>
        <w:ind w:firstLine="709"/>
        <w:rPr/>
      </w:pPr>
      <w:r>
        <w:rPr/>
        <w:t>De acordo com Maimon e Rokach (2010), os tomadores de decisão naturalmente preferem árvores simples, menos complexas (o que corrobora com o princípio da Navalha de Occam, onde a explicação mais simples para um fenômeno é geralmente a mais correta), uma vez que essas árvores mais simples são consideradas mais compreensíveis. Segundo esses autores, a complexidade da árvore é explicitamente controlada pelo critério de interrupção e pelo método de poda empregados, ambos parâmetros estabelecidos pelo usuário nas definições dos hiperparâmetros do algoritmo utilizado. Acerca do crescimento e complexidade das árvores de decisão, Cappelli e Zhang (2007) afirmam que qualquer método baseado em árvores envolve duas etapas principais: o crescimento da árvore (desenvolvimento a partir dos splits) e a poda (</w:t>
      </w:r>
      <w:r>
        <w:rPr>
          <w:i/>
          <w:iCs/>
        </w:rPr>
        <w:t>prunning</w:t>
      </w:r>
      <w:r>
        <w:rPr/>
        <w:t>) de ramificações dessa árvore, caracterizada como a remoção retroativa de alguns 'galhos' de forma a manter a árvore menor e mais precisa.</w:t>
      </w:r>
    </w:p>
    <w:p>
      <w:pPr>
        <w:pStyle w:val="Normal"/>
        <w:spacing w:lineRule="auto" w:line="360"/>
        <w:ind w:firstLine="709"/>
        <w:rPr/>
      </w:pPr>
      <w:r>
        <w:rPr/>
        <w:t>A etapa de crescimento é orientada pelo objetivo de formar um número de subsets homogêneos em relação à variável de resposta e, nesse sentido, formada através de splits. Maimon e Rokach (2010) informam os critérios de split de um nó, quando atestam que na maioria dos casos os critérios de split discretos são univariados, ou seja, um nó é seccionado (</w:t>
      </w:r>
      <w:r>
        <w:rPr>
          <w:i/>
          <w:iCs/>
        </w:rPr>
        <w:t>splitted</w:t>
      </w:r>
      <w:r>
        <w:rPr/>
        <w:t>) de acordo com o valor de um único atributo. Os critérios univariados são caracterizados de acordo com a origem da métrica utilizada (por exemplo o ganho de informação ou entropia) ou de acordo com a estrutura da métrica utilizada (o índice Gini, por exemplo, como critério de heterogeneidade ou impureza).</w:t>
      </w:r>
    </w:p>
    <w:p>
      <w:pPr>
        <w:pStyle w:val="Normal"/>
        <w:spacing w:lineRule="auto" w:line="360"/>
        <w:ind w:firstLine="709"/>
        <w:rPr/>
      </w:pPr>
      <w:r>
        <w:rPr/>
        <w:t xml:space="preserve">Considera-se um candidato a split </w:t>
      </w:r>
      <w:r>
        <w:rPr/>
      </w:r>
      <m:oMath xmlns:m="http://schemas.openxmlformats.org/officeDocument/2006/math">
        <m:r>
          <w:rPr>
            <w:rFonts w:ascii="Cambria Math" w:hAnsi="Cambria Math"/>
          </w:rPr>
          <m:t xml:space="preserve">s</m:t>
        </m:r>
      </m:oMath>
      <w:r>
        <w:rPr/>
        <w:t xml:space="preserve"> de um nó </w:t>
      </w:r>
      <w:r>
        <w:rPr/>
      </w:r>
      <m:oMath xmlns:m="http://schemas.openxmlformats.org/officeDocument/2006/math">
        <m:r>
          <w:rPr>
            <w:rFonts w:ascii="Cambria Math" w:hAnsi="Cambria Math"/>
          </w:rPr>
          <m:t xml:space="preserve">t</m:t>
        </m:r>
      </m:oMath>
      <w:r>
        <w:rPr/>
        <w:t xml:space="preserve"> em duas ramificações,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t xml:space="preserve">, e seja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oMath>
      <w:r>
        <w:rPr/>
        <w:t xml:space="preserve"> 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oMath>
      <w:r>
        <w:rPr/>
        <w:t xml:space="preserve"> as proporções de observações distribuídas por </w:t>
      </w:r>
      <w:r>
        <w:rPr/>
      </w:r>
      <m:oMath xmlns:m="http://schemas.openxmlformats.org/officeDocument/2006/math">
        <m:r>
          <w:rPr>
            <w:rFonts w:ascii="Cambria Math" w:hAnsi="Cambria Math"/>
          </w:rPr>
          <m:t xml:space="preserve">s</m:t>
        </m:r>
      </m:oMath>
      <w:r>
        <w:rPr/>
        <w:t xml:space="preserve"> a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t xml:space="preserve">, respectivamente (Cappelli e Zhang, 2007). O grau de impureza do no </w:t>
      </w:r>
      <w:r>
        <w:rPr/>
      </w:r>
      <m:oMath xmlns:m="http://schemas.openxmlformats.org/officeDocument/2006/math">
        <m:r>
          <w:rPr>
            <w:rFonts w:ascii="Cambria Math" w:hAnsi="Cambria Math"/>
          </w:rPr>
          <m:t xml:space="preserve">t</m:t>
        </m:r>
      </m:oMath>
      <w:r>
        <w:rPr/>
        <w:t xml:space="preserve">, denotado por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t>, mede as impurezas baseado nas probabilidades intraclasse. Desse modo, a forma natural de se avaliar a performance de um candidato a split é a variação na impureza dado pela eq. (5):</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r</m:t>
                            </m:r>
                          </m:sub>
                        </m:sSub>
                      </m:e>
                    </m:d>
                  </m:e>
                </m:d>
              </m:oMath>
            </m:oMathPara>
          </w:p>
        </w:tc>
        <w:tc>
          <w:tcPr>
            <w:tcW w:w="526" w:type="dxa"/>
            <w:tcBorders/>
            <w:vAlign w:val="center"/>
          </w:tcPr>
          <w:p>
            <w:pPr>
              <w:pStyle w:val="Contedodatabelauser"/>
              <w:jc w:val="right"/>
              <w:rPr/>
            </w:pPr>
            <w:r>
              <w:rPr/>
              <w:t>(5)</w:t>
            </w:r>
          </w:p>
        </w:tc>
      </w:tr>
    </w:tbl>
    <w:p>
      <w:pPr>
        <w:pStyle w:val="Normal"/>
        <w:spacing w:lineRule="auto" w:line="360"/>
        <w:rPr/>
      </w:pPr>
      <w:r>
        <w:rPr/>
        <w:t xml:space="preserve">a quantia </w:t>
      </w:r>
      <w:r>
        <w:rPr/>
      </w:r>
      <m:oMath xmlns:m="http://schemas.openxmlformats.org/officeDocument/2006/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t xml:space="preserve"> é utilizada então como o critério de partição (split).</w:t>
      </w:r>
    </w:p>
    <w:p>
      <w:pPr>
        <w:pStyle w:val="Normal"/>
        <w:spacing w:lineRule="auto" w:line="360"/>
        <w:ind w:firstLine="709"/>
        <w:rPr/>
      </w:pPr>
      <w:r>
        <w:rPr/>
      </w:r>
    </w:p>
    <w:p>
      <w:pPr>
        <w:pStyle w:val="Normal"/>
        <w:spacing w:lineRule="auto" w:line="360"/>
        <w:ind w:firstLine="709"/>
        <w:rPr/>
      </w:pPr>
      <w:r>
        <w:rPr/>
        <w:t xml:space="preserve">Já para critérios multivariados para se realizar os splits, vários atributos podem participar em um único processo de split (Maimon e Rokach, 2010). De acordo com os autores, a maioria dos critérios multivariados se baseiam na combinação linear dos atributos de entrada. Nas palavras dos autores, "o processo de estimar essa combinação linear pode ser realizado utilizando </w:t>
      </w:r>
      <w:r>
        <w:rPr>
          <w:i/>
          <w:iCs/>
        </w:rPr>
        <w:t>greedy search</w:t>
      </w:r>
      <w:r>
        <w:rPr/>
        <w:t>, programação linear, LDA entre outros" (Maimon e Rokach, 2010, p. 157, tradução minha).</w:t>
      </w:r>
    </w:p>
    <w:p>
      <w:pPr>
        <w:pStyle w:val="Normal"/>
        <w:spacing w:lineRule="auto" w:line="360"/>
        <w:ind w:firstLine="709"/>
        <w:rPr/>
      </w:pPr>
      <w:r>
        <w:rPr/>
        <w:t>O trabalho de Cappelli e Zhang (2007) discorre sobre a poda das árvores de decisão, que geralmente segue-se ao crescimento da árvore em função de duas preocupações principais: (1) complexidade - a estrutura resultante tende a ser bem grande, especialmente no caso de árvores binárias uma vez que um atributo pode ter recorrência por várias vezes ao longo da árvore; e (2) overfitting - várias ramificações (galhos), especialmente as finais, refletem características particulares dos dados que surgem do processo de amostragem ao invés do treinamento.</w:t>
      </w:r>
    </w:p>
    <w:p>
      <w:pPr>
        <w:pStyle w:val="Normal"/>
        <w:spacing w:lineRule="auto" w:line="360"/>
        <w:ind w:firstLine="709"/>
        <w:rPr/>
      </w:pPr>
      <w:r>
        <w:rPr/>
        <w:t>Corroborando com essa informação, Maimon e Rokach (2010) escrevem que a fase de crescimento de uma árvore de decisão continua até encontrar um critério de interrupção. Para os autores, algumas condições são regras comuns de interrupção: (a) todas as folhas do banco de dados de treino pertencem a um único valor de y; (b) a profundidade máxima da árvore foi atingida; (c) o número de casos no nó terminal é menor do que o número mínimo de casos do nó anterior; (d) se o nó teve split, o número de casos em um ou mais nós-filhos é menor do que o número mínimo de casos para nós-filhos; (e) o melhor critério de split não é maior do que um dado limiar.</w:t>
      </w:r>
    </w:p>
    <w:p>
      <w:pPr>
        <w:pStyle w:val="Normal"/>
        <w:spacing w:lineRule="auto" w:line="360"/>
        <w:ind w:firstLine="709"/>
        <w:rPr/>
      </w:pPr>
      <w:r>
        <w:rPr/>
        <w:t>A utilização de critérios de interrupção de crescimento muito incisivos (apertados) tende a criar árvores de decisão pequeninas e sofrendo de underfit. O oposto também é verdadeiro: a utilização de critérios de interrupção de crescimento muito amplos (frouxos) tende a criar árvores de decisão exageradamente grandes e sofrendo de overfitting. Para esse impasse Breiman et al. (1984) sugeriram técnicas de poda (</w:t>
      </w:r>
      <w:r>
        <w:rPr>
          <w:i/>
          <w:iCs/>
        </w:rPr>
        <w:t>prunning</w:t>
      </w:r>
      <w:r>
        <w:rPr/>
        <w:t>), nas quais um critério frouxo de interrupção de crescimento é utilizado, de modo a que a árvore de decisão sofra de overfit. A partir disso a árvore então é cortada de modo a reduzir seu tamanho através da remoção de galhos que não contribuem para a acurácia de generalização.</w:t>
      </w:r>
    </w:p>
    <w:p>
      <w:pPr>
        <w:pStyle w:val="Normal"/>
        <w:spacing w:lineRule="auto" w:line="360"/>
        <w:ind w:firstLine="709"/>
        <w:rPr/>
      </w:pPr>
      <w:r>
        <w:rPr/>
        <w:t>Maimon e Rokach (2010) argumentam que outra motivação chave para a poda das árvores de decisão é a troca de acurácia por simplicidade, uma vez que o objetivo é o desenvolvimento de um conceito descritivo suficientemente preciso. No processo de poda, um nó só é efetivamente podado se a operação melhorar um certo critério. Como exemplo, os autores citam dois exemplos de poda: poda de custo-complexidade (também chamada de 'poda do elo mais fraco') e poda de redução de erro.</w:t>
      </w:r>
    </w:p>
    <w:p>
      <w:pPr>
        <w:pStyle w:val="Normal"/>
        <w:spacing w:lineRule="auto" w:line="360"/>
        <w:ind w:firstLine="709"/>
        <w:rPr/>
      </w:pPr>
      <w:r>
        <w:rPr/>
        <w:t xml:space="preserve">A poda de custo-complexidade foi apresentada no trabalho de Breiman et al. (1984) e é composta de duas etapas. Primeiro, uma sequência de árvores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t xml:space="preserve"> é construída baseada nos dados de treino, onde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t xml:space="preserve"> é a árvore original antes da poda 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t xml:space="preserve"> representa apenas o tronco. Segundo, uma dessas árvores é escolhida como a árvore pós-poda através da estimação de seu erro de generalização. Uma árvore </w:t>
      </w: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oMath>
      <w:r>
        <w:rPr/>
        <w:t xml:space="preserve"> é obtida substituindo-se uma ou mais das árvores predecessoras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com folhas disponíveis para poda. As árvores a se podar são aquelas que resultam no menor aumento da taxa de erro aparente a cada folha podada, conforme a eq. (6):</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ε</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num>
                  <m:den>
                    <m:d>
                      <m:dPr>
                        <m:begChr m:val="|"/>
                        <m:endChr m:val="|"/>
                      </m:dPr>
                      <m:e>
                        <m:r>
                          <w:rPr>
                            <w:rFonts w:ascii="Cambria Math" w:hAnsi="Cambria Math"/>
                          </w:rPr>
                          <m:t xml:space="preserve">leaves</m:t>
                        </m:r>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leaves</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e>
                    </m:d>
                  </m:den>
                </m:f>
              </m:oMath>
            </m:oMathPara>
          </w:p>
        </w:tc>
        <w:tc>
          <w:tcPr>
            <w:tcW w:w="526" w:type="dxa"/>
            <w:tcBorders/>
            <w:vAlign w:val="center"/>
          </w:tcPr>
          <w:p>
            <w:pPr>
              <w:pStyle w:val="Contedodatabelauser"/>
              <w:jc w:val="right"/>
              <w:rPr/>
            </w:pPr>
            <w:r>
              <w:rPr/>
              <w:t>(6)</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oMath>
      <w:r>
        <w:rPr/>
        <w:t xml:space="preserve"> representa a taxa de erro da árvore </w:t>
      </w:r>
      <w:r>
        <w:rPr/>
      </w:r>
      <m:oMath xmlns:m="http://schemas.openxmlformats.org/officeDocument/2006/math">
        <m:r>
          <w:rPr>
            <w:rFonts w:ascii="Cambria Math" w:hAnsi="Cambria Math"/>
          </w:rPr>
          <m:t xml:space="preserve">T</m:t>
        </m:r>
      </m:oMath>
      <w:r>
        <w:rPr/>
        <w:t xml:space="preserve"> sobre a amostra </w:t>
      </w:r>
      <w:r>
        <w:rPr/>
      </w:r>
      <m:oMath xmlns:m="http://schemas.openxmlformats.org/officeDocument/2006/math">
        <m:r>
          <w:rPr>
            <w:rFonts w:ascii="Cambria Math" w:hAnsi="Cambria Math"/>
          </w:rPr>
          <m:t xml:space="preserve">S</m:t>
        </m:r>
      </m:oMath>
      <w:r>
        <w:rPr/>
        <w:t xml:space="preserve"> e </w:t>
      </w:r>
      <w:r>
        <w:rPr/>
      </w:r>
      <m:oMath xmlns:m="http://schemas.openxmlformats.org/officeDocument/2006/math">
        <m:d>
          <m:dPr>
            <m:begChr m:val="|"/>
            <m:endChr m:val="|"/>
          </m:dPr>
          <m:e>
            <m:r>
              <w:rPr>
                <w:rFonts w:ascii="Cambria Math" w:hAnsi="Cambria Math"/>
              </w:rPr>
              <m:t xml:space="preserve">leaves</m:t>
            </m:r>
            <m:d>
              <m:dPr>
                <m:begChr m:val="("/>
                <m:endChr m:val=")"/>
              </m:dPr>
              <m:e>
                <m:r>
                  <w:rPr>
                    <w:rFonts w:ascii="Cambria Math" w:hAnsi="Cambria Math"/>
                  </w:rPr>
                  <m:t xml:space="preserve">T</m:t>
                </m:r>
              </m:e>
            </m:d>
          </m:e>
        </m:d>
      </m:oMath>
      <w:r>
        <w:rPr/>
        <w:t xml:space="preserve"> simboliza o número de folhas em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oMath>
      <w:r>
        <w:rPr/>
        <w:t xml:space="preserve"> representa a árvore obtida através da substituição do nó </w:t>
      </w:r>
      <w:r>
        <w:rPr/>
      </w:r>
      <m:oMath xmlns:m="http://schemas.openxmlformats.org/officeDocument/2006/math">
        <m:r>
          <w:rPr>
            <w:rFonts w:ascii="Cambria Math" w:hAnsi="Cambria Math"/>
          </w:rPr>
          <m:t xml:space="preserve">t</m:t>
        </m:r>
      </m:oMath>
      <w:r>
        <w:rPr/>
        <w:t xml:space="preserve"> em </w:t>
      </w:r>
      <w:r>
        <w:rPr/>
      </w:r>
      <m:oMath xmlns:m="http://schemas.openxmlformats.org/officeDocument/2006/math">
        <m:r>
          <w:rPr>
            <w:rFonts w:ascii="Cambria Math" w:hAnsi="Cambria Math"/>
          </w:rPr>
          <m:t xml:space="preserve">T</m:t>
        </m:r>
      </m:oMath>
      <w:r>
        <w:rPr/>
        <w:t xml:space="preserve"> com outra folha. Na sequência desse processo então o erro de generalização é estimado para cada árvore podada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t xml:space="preserve"> e a melhor árvore podada é escolhida.</w:t>
      </w:r>
    </w:p>
    <w:p>
      <w:pPr>
        <w:pStyle w:val="Normal"/>
        <w:spacing w:lineRule="auto" w:line="360"/>
        <w:ind w:firstLine="709"/>
        <w:rPr/>
      </w:pPr>
      <w:r>
        <w:rPr/>
        <w:t>Já a poda de redução de erro foi sugerida por Quinlan (1987) e define que, enquanto percorre os nós da base da árvore de decisão até o topo, o procedimento verifica para cada nó se a substituição desse nó com a moda da variável em questão reduz ou não a acurácia da árvore. Se não reduzir, o nó é cortado. Esse processo continua até o momento em que qualquer poda adicional resultaria na queda da acurácia.</w:t>
      </w:r>
    </w:p>
    <w:p>
      <w:pPr>
        <w:pStyle w:val="Normal"/>
        <w:spacing w:lineRule="auto" w:line="360"/>
        <w:ind w:firstLine="709"/>
        <w:rPr/>
      </w:pPr>
      <w:r>
        <w:rPr/>
        <w:t>Duda et al. (2021) escrevem que uma random forest é particularmente útil em problemas binários, uma vez que impureza zero é desejável apenas quando o nó representa somente padrões de uma única categoria. A mais simples forma polinomial dá-se pela eq. (7):</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Contedodatabelauser"/>
              <w:jc w:val="right"/>
              <w:rPr/>
            </w:pPr>
            <w:r>
              <w:rPr/>
              <w:t>(7)</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e>
        </m:d>
      </m:oMath>
      <w:r>
        <w:rPr/>
        <w:t xml:space="preserve"> é a quantidade percentual de padrões no nó </w:t>
      </w:r>
      <w:r>
        <w:rPr/>
      </w:r>
      <m:oMath xmlns:m="http://schemas.openxmlformats.org/officeDocument/2006/math">
        <m:r>
          <w:rPr>
            <w:rFonts w:ascii="Cambria Math" w:hAnsi="Cambria Math"/>
          </w:rPr>
          <m:t xml:space="preserve">N</m:t>
        </m:r>
      </m:oMath>
      <w:r>
        <w:rPr/>
        <w:t xml:space="preserve"> que encontram-se na categoria </w:t>
      </w:r>
      <w:r>
        <w:rPr/>
      </w:r>
      <m:oMath xmlns:m="http://schemas.openxmlformats.org/officeDocument/2006/math">
        <m:r>
          <w:rPr>
            <w:rFonts w:ascii="Cambria Math" w:hAnsi="Cambria Math"/>
          </w:rPr>
          <m:t xml:space="preserve">w</m:t>
        </m:r>
      </m:oMath>
      <w:r>
        <w:rPr/>
        <w:t>.o que pode ser interpretado como variância de impureza, uma vez que ela é relacionada à variância de uma distribuição associada com as duas categorias.</w:t>
      </w:r>
    </w:p>
    <w:p>
      <w:pPr>
        <w:pStyle w:val="Normal"/>
        <w:spacing w:lineRule="auto" w:line="360"/>
        <w:ind w:firstLine="709"/>
        <w:rPr/>
      </w:pPr>
      <w:r>
        <w:rPr/>
        <w:t xml:space="preserve">Dastile et al. (2020) informam que o </w:t>
      </w:r>
      <w:r>
        <w:rPr>
          <w:i/>
          <w:iCs/>
        </w:rPr>
        <w:t>gradient boosting</w:t>
      </w:r>
      <w:r>
        <w:rPr/>
        <w:t xml:space="preserve"> é amplamente conhecido pela sua velocidade de processamento e performance, seu funcionamento é similar ao gradient boosting (que estima múltiplos modelos iterativamente e atribui pesos a cada instância de dados) porém ele cria árvores de decisão em paralelo ao invés de serializadas. De acordo com os autores, o algoritmo começa desenvolvendo um modelo fraco (por exemplo, uma árvore de decisão rasa), em sequência um modelo melhorado tenta resolver os problemas encontrados pelo modelo anterior. As instâncias em que as classificações foram incorretas pelo modelo anterior tem novos pesos atribuídos e o processo é repetido por um número X de vezes (definido pelo usuário), onde um terceiro modelo tenta resolver os problemas do segundo e assim sucessivamente, buscando minimizar a função de perda (</w:t>
      </w:r>
      <w:r>
        <w:rPr>
          <w:i/>
          <w:iCs/>
        </w:rPr>
        <w:t>loss</w:t>
      </w:r>
      <w:r>
        <w:rPr/>
        <w:t>) definida pelo usuário nos hiperparâmetros da função.</w:t>
      </w:r>
    </w:p>
    <w:p>
      <w:pPr>
        <w:pStyle w:val="Normal"/>
        <w:spacing w:lineRule="auto" w:line="360"/>
        <w:ind w:firstLine="709"/>
        <w:rPr/>
      </w:pPr>
      <w:r>
        <w:rPr/>
        <w:t xml:space="preserve">A respeito das SVM, ou </w:t>
      </w:r>
      <w:r>
        <w:rPr>
          <w:i/>
          <w:iCs/>
        </w:rPr>
        <w:t>support vector machines</w:t>
      </w:r>
      <w:r>
        <w:rPr/>
        <w:t xml:space="preserve">, Barboza et al. (2017) escrevem que esses modelos são similares à análise discriminante linear, porém não são sujeitas a uma série de premissas, o que por consequência faz com que as SVM sejam menos restritivas. 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t xml:space="preserve"> entre os hiperplanos negativo e positivo., conforme a eq. (8):</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user"/>
              <w:jc w:val="center"/>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Contedodatabelauser"/>
              <w:jc w:val="right"/>
              <w:rPr/>
            </w:pPr>
            <w:r>
              <w:rPr/>
              <w:t>(8)</w:t>
            </w:r>
          </w:p>
        </w:tc>
      </w:tr>
    </w:tbl>
    <w:p>
      <w:pPr>
        <w:pStyle w:val="Normal"/>
        <w:spacing w:lineRule="auto" w:line="360"/>
        <w:ind w:firstLine="709"/>
        <w:rPr/>
      </w:pPr>
      <w:r>
        <w:rPr/>
        <w:t xml:space="preserve">A classe correta é então atribuída de acordo com a eq. (9): </w:t>
      </w:r>
    </w:p>
    <w:tbl>
      <w:tblPr>
        <w:tblW w:w="909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20"/>
        <w:gridCol w:w="569"/>
      </w:tblGrid>
      <w:tr>
        <w:trPr/>
        <w:tc>
          <w:tcPr>
            <w:tcW w:w="8520"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Contedodatabelauser"/>
              <w:jc w:val="right"/>
              <w:rPr/>
            </w:pPr>
            <w:r>
              <w:rPr/>
              <w:t>(9)</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b</m:t>
        </m:r>
      </m:oMath>
      <w:r>
        <w:rPr/>
        <w:t xml:space="preserve"> representa a tendência ou viés. Desse modo, quanto maior a margem melhor é a generalização do classificador.</w:t>
      </w:r>
    </w:p>
    <w:p>
      <w:pPr>
        <w:pStyle w:val="Normal"/>
        <w:spacing w:lineRule="auto" w:line="360"/>
        <w:ind w:firstLine="709"/>
        <w:rPr/>
      </w:pPr>
      <w:r>
        <w:rPr/>
        <w:t xml:space="preserve">Por fim, redes neurais artificiais 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pPr>
      <w:r>
        <w:rPr/>
        <w:t>Dastile et al. (2020) escrevem que uma rede neural consiste em três camadas (</w:t>
      </w:r>
      <w:r>
        <w:rPr>
          <w:i/>
          <w:iCs/>
        </w:rPr>
        <w:t>layers</w:t>
      </w:r>
      <w:r>
        <w:rPr/>
        <w:t>) distintas: uma camada de entrada (</w:t>
      </w:r>
      <w:r>
        <w:rPr>
          <w:i/>
          <w:iCs/>
        </w:rPr>
        <w:t>input layer</w:t>
      </w:r>
      <w:r>
        <w:rPr/>
        <w:t>), uma camada de processamento (</w:t>
      </w:r>
      <w:r>
        <w:rPr>
          <w:i/>
          <w:iCs/>
        </w:rPr>
        <w:t>hidden layer</w:t>
      </w:r>
      <w:r>
        <w:rPr/>
        <w:t>) e uma camada de saída (</w:t>
      </w:r>
      <w:r>
        <w:rPr>
          <w:i/>
          <w:iCs/>
        </w:rPr>
        <w:t>output layer</w:t>
      </w:r>
      <w:r>
        <w:rPr/>
        <w:t>). Nos casos em que o número de hidden layers é igual ou superior a dois, a rede neural é chamada de rede neural profunda (</w:t>
      </w:r>
      <w:r>
        <w:rPr>
          <w:i/>
          <w:iCs/>
        </w:rPr>
        <w:t>Deep Neural Network –</w:t>
      </w:r>
      <w:r>
        <w:rPr/>
        <w:t xml:space="preserve"> DNN) (Bayraci e Susuz, 2019). O treino de uma rede neural envolve o processo de obter-se os pesos ótimos atribuídos que mapeiam as camadas input/output através de uma mecânica chamada de retropropagação (</w:t>
      </w:r>
      <w:r>
        <w:rPr>
          <w:i/>
          <w:iCs/>
        </w:rPr>
        <w:t>backpropagation</w:t>
      </w:r>
      <w:r>
        <w:rPr/>
        <w:t>) (Dastile et al., 2020).</w:t>
      </w:r>
    </w:p>
    <w:p>
      <w:pPr>
        <w:pStyle w:val="Normal"/>
        <w:spacing w:lineRule="auto" w:line="360"/>
        <w:ind w:firstLine="709"/>
        <w:rPr/>
      </w:pPr>
      <w:r>
        <w:rPr/>
        <w:t xml:space="preserve">Duda et al. (2021) argumentam que a retropropagação é um dos meios mais simples e gerais para o treinamento de modelos supervisionados de redes neurais. A maior utilidade da retropropagação é ela permitir o cálculo de um erro efetivo para cada neurônio, e assim resulta em uma regra de aprendizagem </w:t>
      </w:r>
      <w:r>
        <w:rPr/>
      </w:r>
      <m:oMath xmlns:m="http://schemas.openxmlformats.org/officeDocument/2006/math">
        <m:r>
          <w:rPr>
            <w:rFonts w:ascii="Cambria Math" w:hAnsi="Cambria Math"/>
          </w:rPr>
          <m:t xml:space="preserve">J</m:t>
        </m:r>
      </m:oMath>
      <w:r>
        <w:rPr/>
        <w:t xml:space="preserve"> para os pesos, conforme observado na eq. (10):</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Contedodatabelauser"/>
              <w:jc w:val="right"/>
              <w:rPr/>
            </w:pPr>
            <w:r>
              <w:rPr/>
              <w:t>(10)</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t</m:t>
        </m:r>
      </m:oMath>
      <w:r>
        <w:rPr/>
        <w:t xml:space="preserve"> é o target e </w:t>
      </w:r>
      <w:r>
        <w:rPr/>
      </w:r>
      <m:oMath xmlns:m="http://schemas.openxmlformats.org/officeDocument/2006/math">
        <m:r>
          <w:rPr>
            <w:rFonts w:ascii="Cambria Math" w:hAnsi="Cambria Math"/>
          </w:rPr>
          <m:t xml:space="preserve">z</m:t>
        </m:r>
      </m:oMath>
      <w:r>
        <w:rPr/>
        <w:t xml:space="preserve"> é o vetor de output da rede com comprimento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w</m:t>
        </m:r>
      </m:oMath>
      <w:r>
        <w:rPr/>
        <w:t xml:space="preserve"> representa os pesos arbitrados na rede neural.</w:t>
      </w:r>
    </w:p>
    <w:p>
      <w:pPr>
        <w:pStyle w:val="Normal"/>
        <w:spacing w:lineRule="auto" w:line="360"/>
        <w:ind w:firstLine="709"/>
        <w:rPr/>
      </w:pPr>
      <w:r>
        <w:rPr/>
        <w:t xml:space="preserve">Essa regra de aprendizagem é baseada em </w:t>
      </w:r>
      <w:r>
        <w:rPr>
          <w:i/>
          <w:iCs/>
        </w:rPr>
        <w:t>gradient descent</w:t>
      </w:r>
      <w:r>
        <w:rPr/>
        <w:t xml:space="preserve"> (método do máximo declive): os pesos são inicializados com valores aleatórios e são alterados na direção em que o erro é reduzido seguindo a eq. (11), representada em sua forma componente vetorial pela eq. (12):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Δw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Contedodatabelauser"/>
              <w:jc w:val="right"/>
              <w:rPr/>
            </w:pPr>
            <w:r>
              <w:rPr/>
              <w:t>(11)</w:t>
            </w:r>
          </w:p>
        </w:tc>
      </w:tr>
      <w:tr>
        <w:trPr/>
        <w:tc>
          <w:tcPr>
            <w:tcW w:w="851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Contedodatabelauser"/>
              <w:jc w:val="right"/>
              <w:rPr/>
            </w:pPr>
            <w:r>
              <w:rPr/>
              <w:t>(12)</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ƞ</m:t>
        </m:r>
      </m:oMath>
      <w:r>
        <w:rPr/>
        <w:t xml:space="preserve"> é a taxa de aprendizagem (</w:t>
      </w:r>
      <w:r>
        <w:rPr>
          <w:i/>
          <w:iCs/>
        </w:rPr>
        <w:t>learning rate</w:t>
      </w:r>
      <w:r>
        <w:rPr/>
        <w:t xml:space="preserve">) e indica o tamanho relativo das alterações nos pesos (Duda et al, 2021). Esse algoritmo iterativo utiliza então um vetor de peso em </w:t>
      </w:r>
      <w:r>
        <w:rPr/>
      </w:r>
      <m:oMath xmlns:m="http://schemas.openxmlformats.org/officeDocument/2006/math">
        <m:r>
          <w:rPr>
            <w:rFonts w:ascii="Cambria Math" w:hAnsi="Cambria Math"/>
          </w:rPr>
          <m:t xml:space="preserve">m</m:t>
        </m:r>
      </m:oMath>
      <w:r>
        <w:rPr/>
        <w:t xml:space="preserve"> e procede com sua atualização de cordo com a eq. (13):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Δw</m:t>
                </m:r>
                <m:d>
                  <m:dPr>
                    <m:begChr m:val="("/>
                    <m:endChr m:val=")"/>
                  </m:dPr>
                  <m:e>
                    <m:r>
                      <w:rPr>
                        <w:rFonts w:ascii="Cambria Math" w:hAnsi="Cambria Math"/>
                      </w:rPr>
                      <m:t xml:space="preserve">m</m:t>
                    </m:r>
                  </m:e>
                </m:d>
              </m:oMath>
            </m:oMathPara>
          </w:p>
        </w:tc>
        <w:tc>
          <w:tcPr>
            <w:tcW w:w="555" w:type="dxa"/>
            <w:tcBorders/>
            <w:vAlign w:val="center"/>
          </w:tcPr>
          <w:p>
            <w:pPr>
              <w:pStyle w:val="Contedodatabelauser"/>
              <w:jc w:val="right"/>
              <w:rPr/>
            </w:pPr>
            <w:r>
              <w:rPr/>
              <w:t>(13)</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m</m:t>
        </m:r>
      </m:oMath>
      <w:r>
        <w:rPr/>
        <w:t xml:space="preserve"> representa o índice de iteração em uso.</w:t>
      </w:r>
    </w:p>
    <w:p>
      <w:pPr>
        <w:pStyle w:val="Normal"/>
        <w:spacing w:lineRule="auto" w:line="360"/>
        <w:ind w:firstLine="709"/>
        <w:rPr/>
      </w:pPr>
      <w:r>
        <w:rPr/>
        <w:t xml:space="preserve">De forma simplificada, Dastile et al. (2020) explicam que para um vetor de dados </w:t>
      </w:r>
      <w:r>
        <w:rPr/>
      </w:r>
      <m:oMath xmlns:m="http://schemas.openxmlformats.org/officeDocument/2006/math">
        <m:r>
          <w:rPr>
            <w:rFonts w:ascii="Cambria Math" w:hAnsi="Cambria Math"/>
          </w:rPr>
          <m:t xml:space="preserve">x</m:t>
        </m:r>
      </m:oMath>
      <w:r>
        <w:rPr/>
        <w:t xml:space="preserve"> qualquer, uma rede neural simples de três camadas calcula o resultado </w:t>
      </w:r>
      <w:r>
        <w:rPr/>
      </w:r>
      <m:oMath xmlns:m="http://schemas.openxmlformats.org/officeDocument/2006/math">
        <m:r>
          <w:rPr>
            <w:rFonts w:ascii="Cambria Math" w:hAnsi="Cambria Math"/>
          </w:rPr>
          <m:t xml:space="preserve">ŷ</m:t>
        </m:r>
      </m:oMath>
      <w:r>
        <w:rPr/>
        <w:t xml:space="preserve"> de acordo com a eq. (14):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Contedodatabelauser"/>
              <w:jc w:val="right"/>
              <w:rPr/>
            </w:pPr>
            <w:r>
              <w:rPr/>
              <w:t>(14)</w:t>
            </w:r>
          </w:p>
        </w:tc>
      </w:tr>
    </w:tbl>
    <w:p>
      <w:pPr>
        <w:pStyle w:val="Normal"/>
        <w:spacing w:lineRule="auto" w:line="360"/>
        <w:rPr/>
      </w:pPr>
      <w:r>
        <w:rPr/>
        <w:t xml:space="preserve">onde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t xml:space="preserv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t xml:space="preserv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t xml:space="preserve"> 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t xml:space="preserve"> são pesos;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t xml:space="preserve"> são as funções de ativação entre a camada de entrada e a camada de processamento. Os parâmetros de decisão são aprendidos durante a fase de treino, para a entrega efetiva de um resultado a rede neural depende de ainda uma função de decisão (também referida como </w:t>
      </w:r>
      <w:r>
        <w:rPr>
          <w:i/>
          <w:iCs/>
        </w:rPr>
        <w:t>função de ativação</w:t>
      </w:r>
      <w:r>
        <w:rPr/>
        <w:t>), como, por exemplo, softmax ou sigmoide, que é registrada na camada de saída.</w:t>
      </w:r>
    </w:p>
    <w:p>
      <w:pPr>
        <w:pStyle w:val="Normal"/>
        <w:spacing w:lineRule="auto" w:line="360"/>
        <w:ind w:firstLine="709"/>
        <w:rPr/>
      </w:pPr>
      <w:commentRangeStart w:id="6"/>
      <w:r>
        <w:rPr/>
        <w:t>Para fins de análise e comparação dos modelos, são utilizadas métricas baseadas na Matriz de Confusão, sendo elas acurácia (precisão simples de acertos), sensibilidade (</w:t>
      </w:r>
      <w:r>
        <w:rPr>
          <w:i/>
          <w:iCs/>
        </w:rPr>
        <w:t>recall</w:t>
      </w:r>
      <w:r>
        <w:rPr/>
        <w:t>), especificidade e precisão, além da Matriz de Confusão propriamente dita.</w:t>
      </w:r>
      <w:r>
        <w:rPr/>
      </w:r>
      <w:commentRangeEnd w:id="6"/>
      <w:r>
        <w:commentReference w:id="6"/>
      </w:r>
      <w:r>
        <w:rPr/>
        <w:commentReference w:id="7"/>
      </w:r>
      <w:r>
        <w:rPr/>
        <w:commentReference w:id="8"/>
      </w:r>
      <w:r>
        <w:rPr/>
        <w:t xml:space="preserve"> Para todos os modelos treinados foi utilizado sempre o mesmo </w:t>
      </w:r>
      <w:r>
        <w:rPr>
          <w:i/>
          <w:iCs/>
        </w:rPr>
        <w:t>cutoff</w:t>
      </w:r>
      <w:r>
        <w:rPr/>
        <w:t xml:space="preserve"> padrão (0,5): o </w:t>
      </w:r>
      <w:r>
        <w:rPr>
          <w:i/>
          <w:iCs/>
        </w:rPr>
        <w:t>cutoff</w:t>
      </w:r>
      <w:r>
        <w:rPr/>
        <w:t xml:space="preserve"> é o valor limite de decisão em que o algoritmo classifica um problema binário em uma classe ou em outra.</w:t>
      </w:r>
    </w:p>
    <w:p>
      <w:pPr>
        <w:pStyle w:val="Normal"/>
        <w:spacing w:lineRule="auto" w:line="360"/>
        <w:ind w:firstLine="709"/>
        <w:rPr/>
      </w:pPr>
      <w:r>
        <w:rPr/>
        <w:t>Com base no estudo de classificação de Niu et al. (2020), a Figura 1 esboça a estrutura básica de uma Matriz de Confusão:</w:t>
      </w:r>
    </w:p>
    <w:p>
      <w:pPr>
        <w:pStyle w:val="Normal"/>
        <w:spacing w:lineRule="auto" w:line="240"/>
        <w:rPr/>
      </w:pPr>
      <w: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t>Figura 1. Estrutura básica da Matriz de Confusão.</w:t>
      </w:r>
    </w:p>
    <w:p>
      <w:pPr>
        <w:pStyle w:val="Normal"/>
        <w:spacing w:lineRule="auto" w:line="360"/>
        <w:rPr/>
      </w:pPr>
      <w:r>
        <w:rPr/>
        <w:t>Fonte: elaboração do autor</w:t>
      </w:r>
    </w:p>
    <w:p>
      <w:pPr>
        <w:pStyle w:val="Normal"/>
        <w:spacing w:lineRule="auto" w:line="360"/>
        <w:ind w:firstLine="709"/>
        <w:rPr/>
      </w:pPr>
      <w:r>
        <w:rPr/>
        <w:t xml:space="preserve">Os cálculos das métricas utilizadas neste trabalho são definido desde a eq. (15) até a eq.(18): </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Precisão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Contedodatabelauser"/>
              <w:jc w:val="right"/>
              <w:rPr/>
            </w:pPr>
            <w:r>
              <w:rPr/>
              <w:t>(15)</w:t>
            </w:r>
          </w:p>
        </w:tc>
      </w:tr>
      <w:tr>
        <w:trPr/>
        <w:tc>
          <w:tcPr>
            <w:tcW w:w="851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Contedodatabelauser"/>
              <w:jc w:val="right"/>
              <w:rPr/>
            </w:pPr>
            <w:r>
              <w:rPr/>
              <w:t>(16)</w:t>
            </w:r>
          </w:p>
        </w:tc>
      </w:tr>
      <w:tr>
        <w:trPr/>
        <w:tc>
          <w:tcPr>
            <w:tcW w:w="851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Contedodatabelauser"/>
              <w:jc w:val="right"/>
              <w:rPr/>
            </w:pPr>
            <w:r>
              <w:rPr/>
              <w:t>(17)</w:t>
            </w:r>
          </w:p>
        </w:tc>
      </w:tr>
      <w:tr>
        <w:trPr/>
        <w:tc>
          <w:tcPr>
            <w:tcW w:w="8519" w:type="dxa"/>
            <w:tcBorders/>
          </w:tcPr>
          <w:p>
            <w:pPr>
              <w:pStyle w:val="Contedodatabelauser"/>
              <w:jc w:val="center"/>
              <w:rPr/>
            </w:pPr>
            <w:r>
              <w:rPr/>
            </w:r>
            <m:oMathPara xmlns:m="http://schemas.openxmlformats.org/officeDocument/2006/math">
              <m:oMathParaPr>
                <m:jc m:val="center"/>
              </m:oMathParaPr>
              <m:oMath>
                <m:r>
                  <w:rPr>
                    <w:rFonts w:ascii="Cambria Math" w:hAnsi="Cambria Math"/>
                  </w:rPr>
                  <m:t xml:space="preserve">Acurácia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Contedodatabelauser"/>
              <w:jc w:val="right"/>
              <w:rPr/>
            </w:pPr>
            <w:r>
              <w:rPr/>
              <w:t>(18)</w:t>
            </w:r>
          </w:p>
        </w:tc>
      </w:tr>
    </w:tbl>
    <w:p>
      <w:pPr>
        <w:pStyle w:val="Normal"/>
        <w:spacing w:lineRule="auto" w:line="360"/>
        <w:rPr/>
      </w:pPr>
      <w:r>
        <w:rPr/>
        <w:t>onde FP (</w:t>
      </w:r>
      <w:r>
        <w:rPr>
          <w:i/>
          <w:iCs/>
        </w:rPr>
        <w:t>false positives</w:t>
      </w:r>
      <w:r>
        <w:rPr/>
        <w:t>) são os falsos positivos; TP (</w:t>
      </w:r>
      <w:r>
        <w:rPr>
          <w:i/>
          <w:iCs/>
        </w:rPr>
        <w:t>true positives</w:t>
      </w:r>
      <w:r>
        <w:rPr/>
        <w:t>) são os verdadeiros positivos; FN (</w:t>
      </w:r>
      <w:r>
        <w:rPr>
          <w:i/>
          <w:iCs/>
        </w:rPr>
        <w:t>false negatives</w:t>
      </w:r>
      <w:r>
        <w:rPr/>
        <w:t>) são os falsos negativos; TN (</w:t>
      </w:r>
      <w:r>
        <w:rPr>
          <w:i/>
          <w:iCs/>
        </w:rPr>
        <w:t>true negatives</w:t>
      </w:r>
      <w:r>
        <w:rPr/>
        <w:t>) são os verdadeiros negativos.</w:t>
      </w:r>
    </w:p>
    <w:p>
      <w:pPr>
        <w:pStyle w:val="Normal"/>
        <w:spacing w:lineRule="auto" w:line="360"/>
        <w:rPr/>
      </w:pPr>
      <w:r>
        <w:rPr/>
        <w:tab/>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rPr/>
      </w:pPr>
      <w:r>
        <w:rPr/>
        <w:tab/>
        <w:t>No contexto deste trabalho, então, um erro de tipo I se apresenta quando a uma proposta de crédito (observação) recebe indevidamente a classificação como provável inadimplente (que não se mostraria real), e um erro de tipo II percebe-se quando acontece a classificação como</w:t>
      </w:r>
      <w:r>
        <w:rPr>
          <w:color w:val="auto"/>
        </w:rPr>
        <w:t xml:space="preserve">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w:t>
      </w:r>
    </w:p>
    <w:p>
      <w:pPr>
        <w:pStyle w:val="Normal"/>
        <w:spacing w:lineRule="auto" w:line="360"/>
        <w:rPr>
          <w:color w:val="auto"/>
        </w:rPr>
      </w:pPr>
      <w:r>
        <w:rPr>
          <w:color w:val="000000"/>
          <w:shd w:fill="FFFFFF" w:val="clear"/>
        </w:rPr>
        <w:tab/>
        <w:t xml:space="preserve">Outro ponto a se considerar na utilização de modelos de previsão de inadimplência e/ou de análise de risco de crédito se dá em função de regulamentações do setor financeiro. Dastile et al. (2020) fazem notar o Acordo de Basiléia II, a partir do qual os modelos de credit scoring são obrigados a serem transparentes, por exemplo. Os autores também relatam que a maior parte dos modelos de machine learning não são transparentes em sua natureza, são modelos caracterizados como </w:t>
      </w:r>
      <w:r>
        <w:rPr>
          <w:i/>
          <w:iCs/>
          <w:color w:val="000000"/>
          <w:shd w:fill="FFFFFF" w:val="clear"/>
        </w:rPr>
        <w:t>black-box:</w:t>
      </w:r>
      <w:r>
        <w:rPr>
          <w:color w:val="000000"/>
          <w:shd w:fill="FFFFFF" w:val="clear"/>
        </w:rPr>
        <w:t xml:space="preserve"> não possuem uma explicação fácil, simples ou exata do seu funcionamento, tornando difícil a explicação de por quê um candidato tomador não teve seu empréstimo aceito. Observação que vem ao encontro de Kellner et al. (2022), que argumentam que modelos de machine learning seguidamente são tidos como problemáticos em função de sua característica black-box, especialmente dada a perspectiva de regulamentação das instituições.</w:t>
      </w:r>
    </w:p>
    <w:p>
      <w:pPr>
        <w:pStyle w:val="Normal"/>
        <w:spacing w:lineRule="auto" w:line="360"/>
        <w:rPr/>
      </w:pPr>
      <w:r>
        <w:rPr>
          <w:color w:val="auto"/>
        </w:rPr>
        <w:tab/>
      </w: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LDA, SVM e para random forest.</w:t>
      </w:r>
    </w:p>
    <w:p>
      <w:pPr>
        <w:pStyle w:val="Normal"/>
        <w:shd w:val="clear" w:color="auto" w:fill="FFFFFF"/>
        <w:spacing w:lineRule="auto" w:line="360"/>
        <w:ind w:firstLine="709"/>
        <w:rPr/>
      </w:pPr>
      <w:r>
        <w:rPr>
          <w:rStyle w:val="normaltextrun"/>
          <w:rFonts w:eastAsia="Times New Roman"/>
          <w:color w:val="000000"/>
          <w:shd w:fill="FFFFFF" w:val="clear"/>
          <w:lang w:eastAsia="pt-BR"/>
        </w:rPr>
        <w:t>Após ser realizada a manipulação dos dados de modo a possibilitar o uso com os algoritmos de machine learning, as variáveis numéricas foram padronizadas através de Z-Score e as variáveis categóricas passaram pelo processo de One Hot Encoding utilizando o pacote scikit-learn.</w:t>
      </w:r>
    </w:p>
    <w:p>
      <w:pPr>
        <w:pStyle w:val="Normal"/>
        <w:spacing w:lineRule="auto" w:line="360"/>
        <w:rPr/>
      </w:pPr>
      <w:r>
        <w:rPr/>
      </w:r>
    </w:p>
    <w:p>
      <w:pPr>
        <w:pStyle w:val="ListParagraph"/>
        <w:spacing w:lineRule="auto" w:line="360"/>
        <w:ind w:left="0"/>
        <w:jc w:val="left"/>
        <w:rPr/>
      </w:pPr>
      <w:r>
        <w:rPr>
          <w:b/>
        </w:rPr>
        <w:t>Resultados e Discussão</w:t>
      </w:r>
    </w:p>
    <w:p>
      <w:pPr>
        <w:pStyle w:val="ListParagraph"/>
        <w:spacing w:lineRule="auto" w:line="360"/>
        <w:ind w:left="0"/>
        <w:jc w:val="left"/>
        <w:rPr>
          <w:b/>
        </w:rPr>
      </w:pPr>
      <w:r>
        <w:rPr>
          <w:b/>
        </w:rPr>
      </w:r>
    </w:p>
    <w:p>
      <w:pPr>
        <w:pStyle w:val="ListParagraph"/>
        <w:spacing w:lineRule="auto" w:line="360"/>
        <w:ind w:firstLine="709" w:left="0"/>
        <w:rPr/>
      </w:pPr>
      <w:r>
        <w:rPr>
          <w:bCs/>
        </w:rPr>
        <w:t>Após o treino dos modelos utilizando a mesma base de dados, os resultados não indicam um melhor modelo em absoluto. Dependendo da métrica a ser considerada o melhor resultado pode pertencer a um ou outro modelo, com a exceção do modelo SVM, em que todas as métricas são inferiores aos demais resultados. Os valores obtidos em cada métrica para cada um dos modelos quando verificados sobre o banco de dados de validação podem ser verificados na Tabela 1.</w:t>
      </w:r>
    </w:p>
    <w:p>
      <w:pPr>
        <w:pStyle w:val="ListParagraph"/>
        <w:spacing w:lineRule="auto" w:line="360"/>
        <w:ind w:firstLine="709" w:left="0"/>
        <w:rPr>
          <w:rFonts w:ascii="Roboto" w:hAnsi="Roboto"/>
        </w:rPr>
      </w:pPr>
      <w:r>
        <w:rPr>
          <w:rFonts w:ascii="Roboto" w:hAnsi="Roboto"/>
        </w:rPr>
      </w:r>
    </w:p>
    <w:p>
      <w:pPr>
        <w:pStyle w:val="ListParagraph"/>
        <w:spacing w:lineRule="auto" w:line="360"/>
        <w:ind w:left="0"/>
        <w:rPr/>
      </w:pPr>
      <w:r>
        <w:rPr>
          <w:bCs/>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tcPr>
          <w:p>
            <w:pPr>
              <w:pStyle w:val="Contedodatabelauser"/>
              <w:jc w:val="center"/>
              <w:rPr/>
            </w:pPr>
            <w:r>
              <w:rPr/>
              <w:t>Modelo</w:t>
            </w:r>
          </w:p>
        </w:tc>
        <w:tc>
          <w:tcPr>
            <w:tcW w:w="1814" w:type="dxa"/>
            <w:tcBorders>
              <w:top w:val="single" w:sz="4" w:space="0" w:color="000000"/>
              <w:bottom w:val="single" w:sz="4" w:space="0" w:color="000000"/>
            </w:tcBorders>
          </w:tcPr>
          <w:p>
            <w:pPr>
              <w:pStyle w:val="Contedodatabelauser"/>
              <w:jc w:val="center"/>
              <w:rPr/>
            </w:pPr>
            <w:r>
              <w:rPr/>
              <w:t>Acurácia</w:t>
            </w:r>
          </w:p>
        </w:tc>
        <w:tc>
          <w:tcPr>
            <w:tcW w:w="1814" w:type="dxa"/>
            <w:tcBorders>
              <w:top w:val="single" w:sz="4" w:space="0" w:color="000000"/>
              <w:bottom w:val="single" w:sz="4" w:space="0" w:color="000000"/>
            </w:tcBorders>
          </w:tcPr>
          <w:p>
            <w:pPr>
              <w:pStyle w:val="Contedodatabelauser"/>
              <w:jc w:val="center"/>
              <w:rPr/>
            </w:pPr>
            <w:r>
              <w:rPr/>
              <w:t>Sensitividade</w:t>
            </w:r>
          </w:p>
        </w:tc>
        <w:tc>
          <w:tcPr>
            <w:tcW w:w="1814" w:type="dxa"/>
            <w:tcBorders>
              <w:top w:val="single" w:sz="4" w:space="0" w:color="000000"/>
              <w:bottom w:val="single" w:sz="4" w:space="0" w:color="000000"/>
            </w:tcBorders>
          </w:tcPr>
          <w:p>
            <w:pPr>
              <w:pStyle w:val="Contedodatabelauser"/>
              <w:jc w:val="center"/>
              <w:rPr/>
            </w:pPr>
            <w:r>
              <w:rPr/>
              <w:t>Especificidade</w:t>
            </w:r>
          </w:p>
        </w:tc>
        <w:tc>
          <w:tcPr>
            <w:tcW w:w="1814" w:type="dxa"/>
            <w:tcBorders>
              <w:top w:val="single" w:sz="4" w:space="0" w:color="000000"/>
              <w:bottom w:val="single" w:sz="4" w:space="0" w:color="000000"/>
            </w:tcBorders>
          </w:tcPr>
          <w:p>
            <w:pPr>
              <w:pStyle w:val="Contedodatabelauser"/>
              <w:jc w:val="center"/>
              <w:rPr/>
            </w:pPr>
            <w:r>
              <w:rPr/>
              <w:t>Precisão</w:t>
            </w:r>
          </w:p>
        </w:tc>
      </w:tr>
      <w:tr>
        <w:trPr/>
        <w:tc>
          <w:tcPr>
            <w:tcW w:w="1814" w:type="dxa"/>
            <w:tcBorders/>
          </w:tcPr>
          <w:p>
            <w:pPr>
              <w:pStyle w:val="Contedodatabelauser"/>
              <w:jc w:val="left"/>
              <w:rPr/>
            </w:pPr>
            <w:r>
              <w:rPr/>
              <w:t>Rede Neural</w:t>
            </w:r>
          </w:p>
        </w:tc>
        <w:tc>
          <w:tcPr>
            <w:tcW w:w="1814" w:type="dxa"/>
            <w:tcBorders/>
          </w:tcPr>
          <w:p>
            <w:pPr>
              <w:pStyle w:val="Contedodatabelauser"/>
              <w:jc w:val="right"/>
              <w:rPr/>
            </w:pPr>
            <w:r>
              <w:rPr/>
              <w:t>0.994406</w:t>
            </w:r>
          </w:p>
        </w:tc>
        <w:tc>
          <w:tcPr>
            <w:tcW w:w="1814" w:type="dxa"/>
            <w:tcBorders/>
          </w:tcPr>
          <w:p>
            <w:pPr>
              <w:pStyle w:val="Contedodatabelauser"/>
              <w:jc w:val="right"/>
              <w:rPr/>
            </w:pPr>
            <w:r>
              <w:rPr/>
              <w:t>0.965922</w:t>
            </w:r>
          </w:p>
        </w:tc>
        <w:tc>
          <w:tcPr>
            <w:tcW w:w="1814" w:type="dxa"/>
            <w:tcBorders/>
          </w:tcPr>
          <w:p>
            <w:pPr>
              <w:pStyle w:val="Contedodatabelauser"/>
              <w:jc w:val="right"/>
              <w:rPr/>
            </w:pPr>
            <w:r>
              <w:rPr/>
              <w:t>0.998570</w:t>
            </w:r>
          </w:p>
        </w:tc>
        <w:tc>
          <w:tcPr>
            <w:tcW w:w="1814" w:type="dxa"/>
            <w:tcBorders/>
          </w:tcPr>
          <w:p>
            <w:pPr>
              <w:pStyle w:val="Contedodatabelauser"/>
              <w:jc w:val="right"/>
              <w:rPr/>
            </w:pPr>
            <w:r>
              <w:rPr/>
              <w:t>0.989972</w:t>
            </w:r>
          </w:p>
        </w:tc>
      </w:tr>
      <w:tr>
        <w:trPr/>
        <w:tc>
          <w:tcPr>
            <w:tcW w:w="1814" w:type="dxa"/>
            <w:tcBorders/>
          </w:tcPr>
          <w:p>
            <w:pPr>
              <w:pStyle w:val="Contedodatabelauser"/>
              <w:jc w:val="left"/>
              <w:rPr/>
            </w:pPr>
            <w:r>
              <w:rPr/>
              <w:t>Gradient Boost</w:t>
            </w:r>
          </w:p>
        </w:tc>
        <w:tc>
          <w:tcPr>
            <w:tcW w:w="1814" w:type="dxa"/>
            <w:tcBorders/>
          </w:tcPr>
          <w:p>
            <w:pPr>
              <w:pStyle w:val="Contedodatabelauser"/>
              <w:jc w:val="right"/>
              <w:rPr/>
            </w:pPr>
            <w:r>
              <w:rPr/>
              <w:t>0.981926</w:t>
            </w:r>
          </w:p>
        </w:tc>
        <w:tc>
          <w:tcPr>
            <w:tcW w:w="1814" w:type="dxa"/>
            <w:tcBorders/>
          </w:tcPr>
          <w:p>
            <w:pPr>
              <w:pStyle w:val="Contedodatabelauser"/>
              <w:jc w:val="right"/>
              <w:rPr/>
            </w:pPr>
            <w:r>
              <w:rPr/>
              <w:t>0.858496</w:t>
            </w:r>
          </w:p>
        </w:tc>
        <w:tc>
          <w:tcPr>
            <w:tcW w:w="1814" w:type="dxa"/>
            <w:tcBorders/>
          </w:tcPr>
          <w:p>
            <w:pPr>
              <w:pStyle w:val="Contedodatabelauser"/>
              <w:jc w:val="right"/>
              <w:rPr/>
            </w:pPr>
            <w:r>
              <w:rPr/>
              <w:t>0.999971</w:t>
            </w:r>
          </w:p>
        </w:tc>
        <w:tc>
          <w:tcPr>
            <w:tcW w:w="1814" w:type="dxa"/>
            <w:tcBorders/>
          </w:tcPr>
          <w:p>
            <w:pPr>
              <w:pStyle w:val="Contedodatabelauser"/>
              <w:jc w:val="right"/>
              <w:rPr/>
            </w:pPr>
            <w:r>
              <w:rPr/>
              <w:t>0.999767</w:t>
            </w:r>
          </w:p>
        </w:tc>
      </w:tr>
      <w:tr>
        <w:trPr/>
        <w:tc>
          <w:tcPr>
            <w:tcW w:w="1814" w:type="dxa"/>
            <w:tcBorders/>
          </w:tcPr>
          <w:p>
            <w:pPr>
              <w:pStyle w:val="Contedodatabelauser"/>
              <w:jc w:val="left"/>
              <w:rPr/>
            </w:pPr>
            <w:r>
              <w:rPr/>
              <w:t>Random Forest</w:t>
            </w:r>
          </w:p>
        </w:tc>
        <w:tc>
          <w:tcPr>
            <w:tcW w:w="1814" w:type="dxa"/>
            <w:tcBorders/>
          </w:tcPr>
          <w:p>
            <w:pPr>
              <w:pStyle w:val="Contedodatabelauser"/>
              <w:jc w:val="right"/>
              <w:rPr/>
            </w:pPr>
            <w:r>
              <w:rPr/>
              <w:t>0.975987</w:t>
            </w:r>
          </w:p>
        </w:tc>
        <w:tc>
          <w:tcPr>
            <w:tcW w:w="1814" w:type="dxa"/>
            <w:tcBorders/>
          </w:tcPr>
          <w:p>
            <w:pPr>
              <w:pStyle w:val="Contedodatabelauser"/>
              <w:jc w:val="right"/>
              <w:rPr/>
            </w:pPr>
            <w:r>
              <w:rPr/>
              <w:t>0.812083</w:t>
            </w:r>
          </w:p>
        </w:tc>
        <w:tc>
          <w:tcPr>
            <w:tcW w:w="1814" w:type="dxa"/>
            <w:tcBorders/>
          </w:tcPr>
          <w:p>
            <w:pPr>
              <w:pStyle w:val="Contedodatabelauser"/>
              <w:jc w:val="right"/>
              <w:rPr/>
            </w:pPr>
            <w:r>
              <w:rPr/>
              <w:t>0.999948</w:t>
            </w:r>
          </w:p>
        </w:tc>
        <w:tc>
          <w:tcPr>
            <w:tcW w:w="1814" w:type="dxa"/>
            <w:tcBorders/>
          </w:tcPr>
          <w:p>
            <w:pPr>
              <w:pStyle w:val="Contedodatabelauser"/>
              <w:jc w:val="right"/>
              <w:rPr/>
            </w:pPr>
            <w:r>
              <w:rPr/>
              <w:t>0.999563</w:t>
            </w:r>
          </w:p>
        </w:tc>
      </w:tr>
      <w:tr>
        <w:trPr/>
        <w:tc>
          <w:tcPr>
            <w:tcW w:w="1814" w:type="dxa"/>
            <w:tcBorders/>
          </w:tcPr>
          <w:p>
            <w:pPr>
              <w:pStyle w:val="Contedodatabelauser"/>
              <w:jc w:val="left"/>
              <w:rPr/>
            </w:pPr>
            <w:r>
              <w:rPr/>
              <w:t>LDA</w:t>
            </w:r>
          </w:p>
        </w:tc>
        <w:tc>
          <w:tcPr>
            <w:tcW w:w="1814" w:type="dxa"/>
            <w:tcBorders/>
          </w:tcPr>
          <w:p>
            <w:pPr>
              <w:pStyle w:val="Contedodatabelauser"/>
              <w:jc w:val="right"/>
              <w:rPr/>
            </w:pPr>
            <w:r>
              <w:rPr/>
              <w:t>0.976080</w:t>
            </w:r>
          </w:p>
        </w:tc>
        <w:tc>
          <w:tcPr>
            <w:tcW w:w="1814" w:type="dxa"/>
            <w:tcBorders/>
          </w:tcPr>
          <w:p>
            <w:pPr>
              <w:pStyle w:val="Contedodatabelauser"/>
              <w:jc w:val="right"/>
              <w:rPr/>
            </w:pPr>
            <w:r>
              <w:rPr/>
              <w:t>0.821201</w:t>
            </w:r>
          </w:p>
        </w:tc>
        <w:tc>
          <w:tcPr>
            <w:tcW w:w="1814" w:type="dxa"/>
            <w:tcBorders/>
          </w:tcPr>
          <w:p>
            <w:pPr>
              <w:pStyle w:val="Contedodatabelauser"/>
              <w:jc w:val="right"/>
              <w:rPr/>
            </w:pPr>
            <w:r>
              <w:rPr/>
              <w:t>0.998722</w:t>
            </w:r>
          </w:p>
        </w:tc>
        <w:tc>
          <w:tcPr>
            <w:tcW w:w="1814" w:type="dxa"/>
            <w:tcBorders/>
          </w:tcPr>
          <w:p>
            <w:pPr>
              <w:pStyle w:val="Contedodatabelauser"/>
              <w:jc w:val="right"/>
              <w:rPr/>
            </w:pPr>
            <w:r>
              <w:rPr/>
              <w:t>0.989467</w:t>
            </w:r>
          </w:p>
        </w:tc>
      </w:tr>
      <w:tr>
        <w:trPr/>
        <w:tc>
          <w:tcPr>
            <w:tcW w:w="1814" w:type="dxa"/>
            <w:tcBorders>
              <w:bottom w:val="single" w:sz="4" w:space="0" w:color="000000"/>
            </w:tcBorders>
          </w:tcPr>
          <w:p>
            <w:pPr>
              <w:pStyle w:val="Contedodatabelauser"/>
              <w:jc w:val="left"/>
              <w:rPr/>
            </w:pPr>
            <w:r>
              <w:rPr/>
              <w:t>SVM</w:t>
            </w:r>
          </w:p>
        </w:tc>
        <w:tc>
          <w:tcPr>
            <w:tcW w:w="1814" w:type="dxa"/>
            <w:tcBorders>
              <w:bottom w:val="single" w:sz="4" w:space="0" w:color="000000"/>
            </w:tcBorders>
          </w:tcPr>
          <w:p>
            <w:pPr>
              <w:pStyle w:val="Contedodatabelauser"/>
              <w:jc w:val="right"/>
              <w:rPr/>
            </w:pPr>
            <w:r>
              <w:rPr/>
              <w:t>0.660908</w:t>
            </w:r>
          </w:p>
        </w:tc>
        <w:tc>
          <w:tcPr>
            <w:tcW w:w="1814" w:type="dxa"/>
            <w:tcBorders>
              <w:bottom w:val="single" w:sz="4" w:space="0" w:color="000000"/>
            </w:tcBorders>
          </w:tcPr>
          <w:p>
            <w:pPr>
              <w:pStyle w:val="Contedodatabelauser"/>
              <w:jc w:val="right"/>
              <w:rPr/>
            </w:pPr>
            <w:r>
              <w:rPr/>
              <w:t>0.906529</w:t>
            </w:r>
          </w:p>
        </w:tc>
        <w:tc>
          <w:tcPr>
            <w:tcW w:w="1814" w:type="dxa"/>
            <w:tcBorders>
              <w:bottom w:val="single" w:sz="4" w:space="0" w:color="000000"/>
            </w:tcBorders>
          </w:tcPr>
          <w:p>
            <w:pPr>
              <w:pStyle w:val="Contedodatabelauser"/>
              <w:jc w:val="right"/>
              <w:rPr/>
            </w:pPr>
            <w:r>
              <w:rPr/>
              <w:t>0.625000</w:t>
            </w:r>
          </w:p>
        </w:tc>
        <w:tc>
          <w:tcPr>
            <w:tcW w:w="1814" w:type="dxa"/>
            <w:tcBorders>
              <w:bottom w:val="single" w:sz="4" w:space="0" w:color="000000"/>
            </w:tcBorders>
          </w:tcPr>
          <w:p>
            <w:pPr>
              <w:pStyle w:val="Contedodatabelauser"/>
              <w:jc w:val="right"/>
              <w:rPr/>
            </w:pPr>
            <w:r>
              <w:rPr/>
              <w:t>0.261125</w:t>
            </w:r>
          </w:p>
        </w:tc>
      </w:tr>
    </w:tbl>
    <w:p>
      <w:pPr>
        <w:pStyle w:val="ListParagraph"/>
        <w:spacing w:lineRule="auto" w:line="360"/>
        <w:ind w:left="0"/>
        <w:rPr/>
      </w:pPr>
      <w:r>
        <w:rPr/>
        <w:t>Fonte: Resultados originais da pesquisa</w:t>
      </w:r>
    </w:p>
    <w:p>
      <w:pPr>
        <w:pStyle w:val="ListParagraph"/>
        <w:spacing w:lineRule="auto" w:line="360"/>
        <w:ind w:left="0"/>
        <w:rPr>
          <w:rFonts w:ascii="Roboto" w:hAnsi="Roboto"/>
        </w:rPr>
      </w:pPr>
      <w:r>
        <w:rPr>
          <w:rFonts w:ascii="Roboto" w:hAnsi="Roboto"/>
        </w:rPr>
      </w:r>
    </w:p>
    <w:p>
      <w:pPr>
        <w:pStyle w:val="Normal"/>
        <w:spacing w:lineRule="auto" w:line="360"/>
        <w:rPr/>
      </w:pPr>
      <w:r>
        <w:rPr>
          <w:b/>
        </w:rPr>
        <w:tab/>
      </w:r>
      <w:r>
        <w:rPr/>
        <w:t>Como observado, o melhor score para as métricas Acurácia e Sensitividade correspondem ao modelo de rede neural, ao passo que o modelo de Gradient Boost possui o melhor resultado das métricas Especificidade e Precisão, acompanhado de perto nessas métricas pelo modelo de Random Forest.</w:t>
      </w:r>
    </w:p>
    <w:p>
      <w:pPr>
        <w:pStyle w:val="Normal"/>
        <w:spacing w:lineRule="auto" w:line="360"/>
        <w:rPr/>
      </w:pPr>
      <w:r>
        <w:rPr>
          <w:b/>
        </w:rPr>
        <w:tab/>
      </w:r>
      <w:r>
        <w:rPr/>
        <w:t>Os valores previstos em cada campo da Matriz de Confusão de cada modelo para o banco de dados de teste encontram-se na Tabela 2. Os respectivos valores para o banco de dados de validação encontram-se na Tabela 3.</w:t>
      </w:r>
    </w:p>
    <w:p>
      <w:pPr>
        <w:pStyle w:val="Normal"/>
        <w:spacing w:lineRule="auto" w:line="360"/>
        <w:rPr>
          <w:b/>
        </w:rPr>
      </w:pPr>
      <w:r>
        <w:rPr>
          <w:b/>
        </w:rPr>
      </w:r>
    </w:p>
    <w:p>
      <w:pPr>
        <w:pStyle w:val="ListParagraph"/>
        <w:spacing w:lineRule="auto" w:line="360"/>
        <w:ind w:left="0"/>
        <w:rPr/>
      </w:pPr>
      <w:r>
        <w:rPr>
          <w:bCs/>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Contedodatabelauser"/>
              <w:jc w:val="center"/>
              <w:rPr/>
            </w:pPr>
            <w:r>
              <w:rPr/>
              <w:t>Modelo</w:t>
            </w:r>
          </w:p>
        </w:tc>
        <w:tc>
          <w:tcPr>
            <w:tcW w:w="1814" w:type="dxa"/>
            <w:tcBorders>
              <w:top w:val="single" w:sz="4" w:space="0" w:color="000000"/>
              <w:bottom w:val="single" w:sz="4" w:space="0" w:color="000000"/>
            </w:tcBorders>
            <w:vAlign w:val="center"/>
          </w:tcPr>
          <w:p>
            <w:pPr>
              <w:pStyle w:val="Contedodatabelauser"/>
              <w:jc w:val="center"/>
              <w:rPr/>
            </w:pPr>
            <w:r>
              <w:rPr/>
              <w:t>Verdadeiros Positivos</w:t>
            </w:r>
          </w:p>
        </w:tc>
        <w:tc>
          <w:tcPr>
            <w:tcW w:w="1814" w:type="dxa"/>
            <w:tcBorders>
              <w:top w:val="single" w:sz="4" w:space="0" w:color="000000"/>
              <w:bottom w:val="single" w:sz="4" w:space="0" w:color="000000"/>
            </w:tcBorders>
            <w:vAlign w:val="center"/>
          </w:tcPr>
          <w:p>
            <w:pPr>
              <w:pStyle w:val="Contedodatabelauser"/>
              <w:jc w:val="center"/>
              <w:rPr/>
            </w:pPr>
            <w:r>
              <w:rPr/>
              <w:t>Falsos Positivos</w:t>
            </w:r>
          </w:p>
        </w:tc>
        <w:tc>
          <w:tcPr>
            <w:tcW w:w="1814" w:type="dxa"/>
            <w:tcBorders>
              <w:top w:val="single" w:sz="4" w:space="0" w:color="000000"/>
              <w:bottom w:val="single" w:sz="4" w:space="0" w:color="000000"/>
            </w:tcBorders>
            <w:vAlign w:val="center"/>
          </w:tcPr>
          <w:p>
            <w:pPr>
              <w:pStyle w:val="Contedodatabelauser"/>
              <w:jc w:val="center"/>
              <w:rPr/>
            </w:pPr>
            <w:r>
              <w:rPr/>
              <w:t>Falsos Negativos</w:t>
            </w:r>
          </w:p>
        </w:tc>
        <w:tc>
          <w:tcPr>
            <w:tcW w:w="1814" w:type="dxa"/>
            <w:tcBorders>
              <w:top w:val="single" w:sz="4" w:space="0" w:color="000000"/>
              <w:bottom w:val="single" w:sz="4" w:space="0" w:color="000000"/>
            </w:tcBorders>
            <w:vAlign w:val="center"/>
          </w:tcPr>
          <w:p>
            <w:pPr>
              <w:pStyle w:val="Contedodatabelauser"/>
              <w:jc w:val="center"/>
              <w:rPr/>
            </w:pPr>
            <w:r>
              <w:rPr/>
              <w:t>Verdadeiros Negativos</w:t>
            </w:r>
          </w:p>
        </w:tc>
      </w:tr>
      <w:tr>
        <w:trPr/>
        <w:tc>
          <w:tcPr>
            <w:tcW w:w="1814" w:type="dxa"/>
            <w:tcBorders/>
          </w:tcPr>
          <w:p>
            <w:pPr>
              <w:pStyle w:val="Contedodatabelauser"/>
              <w:jc w:val="left"/>
              <w:rPr/>
            </w:pPr>
            <w:r>
              <w:rPr/>
              <w:t>Rede Neural</w:t>
            </w:r>
          </w:p>
        </w:tc>
        <w:tc>
          <w:tcPr>
            <w:tcW w:w="1814" w:type="dxa"/>
            <w:tcBorders/>
          </w:tcPr>
          <w:p>
            <w:pPr>
              <w:pStyle w:val="Contedodatabelauser"/>
              <w:jc w:val="right"/>
              <w:rPr/>
            </w:pPr>
            <w:r>
              <w:rPr/>
              <w:t>49.191</w:t>
            </w:r>
          </w:p>
        </w:tc>
        <w:tc>
          <w:tcPr>
            <w:tcW w:w="1814" w:type="dxa"/>
            <w:tcBorders/>
          </w:tcPr>
          <w:p>
            <w:pPr>
              <w:pStyle w:val="Contedodatabelauser"/>
              <w:jc w:val="right"/>
              <w:rPr/>
            </w:pPr>
            <w:r>
              <w:rPr/>
              <w:t>598</w:t>
            </w:r>
          </w:p>
        </w:tc>
        <w:tc>
          <w:tcPr>
            <w:tcW w:w="1814" w:type="dxa"/>
            <w:tcBorders/>
          </w:tcPr>
          <w:p>
            <w:pPr>
              <w:pStyle w:val="Contedodatabelauser"/>
              <w:jc w:val="right"/>
              <w:rPr/>
            </w:pPr>
            <w:r>
              <w:rPr/>
              <w:t>1.733</w:t>
            </w:r>
          </w:p>
        </w:tc>
        <w:tc>
          <w:tcPr>
            <w:tcW w:w="1814" w:type="dxa"/>
            <w:tcBorders/>
          </w:tcPr>
          <w:p>
            <w:pPr>
              <w:pStyle w:val="Contedodatabelauser"/>
              <w:jc w:val="right"/>
              <w:rPr/>
            </w:pPr>
            <w:r>
              <w:rPr/>
              <w:t>348.980</w:t>
            </w:r>
          </w:p>
        </w:tc>
      </w:tr>
      <w:tr>
        <w:trPr/>
        <w:tc>
          <w:tcPr>
            <w:tcW w:w="1814" w:type="dxa"/>
            <w:tcBorders/>
          </w:tcPr>
          <w:p>
            <w:pPr>
              <w:pStyle w:val="Contedodatabelauser"/>
              <w:jc w:val="left"/>
              <w:rPr/>
            </w:pPr>
            <w:r>
              <w:rPr/>
              <w:t>Gradient Boost</w:t>
            </w:r>
          </w:p>
        </w:tc>
        <w:tc>
          <w:tcPr>
            <w:tcW w:w="1814" w:type="dxa"/>
            <w:tcBorders/>
          </w:tcPr>
          <w:p>
            <w:pPr>
              <w:pStyle w:val="Contedodatabelauser"/>
              <w:jc w:val="right"/>
              <w:rPr/>
            </w:pPr>
            <w:r>
              <w:rPr/>
              <w:t>50.481</w:t>
            </w:r>
          </w:p>
        </w:tc>
        <w:tc>
          <w:tcPr>
            <w:tcW w:w="1814" w:type="dxa"/>
            <w:tcBorders/>
          </w:tcPr>
          <w:p>
            <w:pPr>
              <w:pStyle w:val="Contedodatabelauser"/>
              <w:jc w:val="right"/>
              <w:rPr/>
            </w:pPr>
            <w:r>
              <w:rPr/>
              <w:t>15</w:t>
            </w:r>
          </w:p>
        </w:tc>
        <w:tc>
          <w:tcPr>
            <w:tcW w:w="1814" w:type="dxa"/>
            <w:tcBorders/>
          </w:tcPr>
          <w:p>
            <w:pPr>
              <w:pStyle w:val="Contedodatabelauser"/>
              <w:jc w:val="right"/>
              <w:rPr/>
            </w:pPr>
            <w:r>
              <w:rPr/>
              <w:t>443</w:t>
            </w:r>
          </w:p>
        </w:tc>
        <w:tc>
          <w:tcPr>
            <w:tcW w:w="1814" w:type="dxa"/>
            <w:tcBorders/>
          </w:tcPr>
          <w:p>
            <w:pPr>
              <w:pStyle w:val="Contedodatabelauser"/>
              <w:jc w:val="right"/>
              <w:rPr/>
            </w:pPr>
            <w:r>
              <w:rPr/>
              <w:t>349.563</w:t>
            </w:r>
          </w:p>
        </w:tc>
      </w:tr>
      <w:tr>
        <w:trPr/>
        <w:tc>
          <w:tcPr>
            <w:tcW w:w="1814" w:type="dxa"/>
            <w:tcBorders/>
          </w:tcPr>
          <w:p>
            <w:pPr>
              <w:pStyle w:val="Contedodatabelauser"/>
              <w:jc w:val="left"/>
              <w:rPr/>
            </w:pPr>
            <w:r>
              <w:rPr/>
              <w:t>Random Forest</w:t>
            </w:r>
          </w:p>
        </w:tc>
        <w:tc>
          <w:tcPr>
            <w:tcW w:w="1814" w:type="dxa"/>
            <w:tcBorders/>
          </w:tcPr>
          <w:p>
            <w:pPr>
              <w:pStyle w:val="Contedodatabelauser"/>
              <w:jc w:val="right"/>
              <w:rPr/>
            </w:pPr>
            <w:r>
              <w:rPr/>
              <w:t>50.082</w:t>
            </w:r>
          </w:p>
        </w:tc>
        <w:tc>
          <w:tcPr>
            <w:tcW w:w="1814" w:type="dxa"/>
            <w:tcBorders/>
          </w:tcPr>
          <w:p>
            <w:pPr>
              <w:pStyle w:val="Contedodatabelauser"/>
              <w:jc w:val="right"/>
              <w:rPr/>
            </w:pPr>
            <w:r>
              <w:rPr/>
              <w:t>23</w:t>
            </w:r>
          </w:p>
        </w:tc>
        <w:tc>
          <w:tcPr>
            <w:tcW w:w="1814" w:type="dxa"/>
            <w:tcBorders/>
          </w:tcPr>
          <w:p>
            <w:pPr>
              <w:pStyle w:val="Contedodatabelauser"/>
              <w:jc w:val="right"/>
              <w:rPr/>
            </w:pPr>
            <w:r>
              <w:rPr/>
              <w:t>842</w:t>
            </w:r>
          </w:p>
        </w:tc>
        <w:tc>
          <w:tcPr>
            <w:tcW w:w="1814" w:type="dxa"/>
            <w:tcBorders/>
          </w:tcPr>
          <w:p>
            <w:pPr>
              <w:pStyle w:val="Contedodatabelauser"/>
              <w:jc w:val="right"/>
              <w:rPr/>
            </w:pPr>
            <w:r>
              <w:rPr/>
              <w:t>349.555</w:t>
            </w:r>
          </w:p>
        </w:tc>
      </w:tr>
      <w:tr>
        <w:trPr/>
        <w:tc>
          <w:tcPr>
            <w:tcW w:w="1814" w:type="dxa"/>
            <w:tcBorders/>
          </w:tcPr>
          <w:p>
            <w:pPr>
              <w:pStyle w:val="Contedodatabelauser"/>
              <w:jc w:val="left"/>
              <w:rPr/>
            </w:pPr>
            <w:r>
              <w:rPr/>
              <w:t>LDA</w:t>
            </w:r>
          </w:p>
        </w:tc>
        <w:tc>
          <w:tcPr>
            <w:tcW w:w="1814" w:type="dxa"/>
            <w:tcBorders/>
          </w:tcPr>
          <w:p>
            <w:pPr>
              <w:pStyle w:val="Contedodatabelauser"/>
              <w:jc w:val="right"/>
              <w:rPr/>
            </w:pPr>
            <w:r>
              <w:rPr/>
              <w:t>41.736</w:t>
            </w:r>
          </w:p>
        </w:tc>
        <w:tc>
          <w:tcPr>
            <w:tcW w:w="1814" w:type="dxa"/>
            <w:tcBorders/>
          </w:tcPr>
          <w:p>
            <w:pPr>
              <w:pStyle w:val="Contedodatabelauser"/>
              <w:jc w:val="right"/>
              <w:rPr/>
            </w:pPr>
            <w:r>
              <w:rPr/>
              <w:t>422</w:t>
            </w:r>
          </w:p>
        </w:tc>
        <w:tc>
          <w:tcPr>
            <w:tcW w:w="1814" w:type="dxa"/>
            <w:tcBorders/>
          </w:tcPr>
          <w:p>
            <w:pPr>
              <w:pStyle w:val="Contedodatabelauser"/>
              <w:jc w:val="right"/>
              <w:rPr/>
            </w:pPr>
            <w:r>
              <w:rPr/>
              <w:t>9.188</w:t>
            </w:r>
          </w:p>
        </w:tc>
        <w:tc>
          <w:tcPr>
            <w:tcW w:w="1814" w:type="dxa"/>
            <w:tcBorders/>
          </w:tcPr>
          <w:p>
            <w:pPr>
              <w:pStyle w:val="Contedodatabelauser"/>
              <w:jc w:val="right"/>
              <w:rPr/>
            </w:pPr>
            <w:r>
              <w:rPr/>
              <w:t>349.156</w:t>
            </w:r>
          </w:p>
        </w:tc>
      </w:tr>
      <w:tr>
        <w:trPr/>
        <w:tc>
          <w:tcPr>
            <w:tcW w:w="1814" w:type="dxa"/>
            <w:tcBorders>
              <w:bottom w:val="single" w:sz="4" w:space="0" w:color="000000"/>
            </w:tcBorders>
          </w:tcPr>
          <w:p>
            <w:pPr>
              <w:pStyle w:val="Contedodatabelauser"/>
              <w:jc w:val="left"/>
              <w:rPr/>
            </w:pPr>
            <w:r>
              <w:rPr/>
              <w:t>SVM</w:t>
            </w:r>
          </w:p>
        </w:tc>
        <w:tc>
          <w:tcPr>
            <w:tcW w:w="1814" w:type="dxa"/>
            <w:tcBorders>
              <w:bottom w:val="single" w:sz="4" w:space="0" w:color="000000"/>
            </w:tcBorders>
          </w:tcPr>
          <w:p>
            <w:pPr>
              <w:pStyle w:val="Contedodatabelauser"/>
              <w:jc w:val="right"/>
              <w:rPr/>
            </w:pPr>
            <w:r>
              <w:rPr/>
              <w:t>46.145</w:t>
            </w:r>
          </w:p>
        </w:tc>
        <w:tc>
          <w:tcPr>
            <w:tcW w:w="1814" w:type="dxa"/>
            <w:tcBorders>
              <w:bottom w:val="single" w:sz="4" w:space="0" w:color="000000"/>
            </w:tcBorders>
          </w:tcPr>
          <w:p>
            <w:pPr>
              <w:pStyle w:val="Contedodatabelauser"/>
              <w:jc w:val="right"/>
              <w:rPr/>
            </w:pPr>
            <w:r>
              <w:rPr/>
              <w:t>131.573</w:t>
            </w:r>
          </w:p>
        </w:tc>
        <w:tc>
          <w:tcPr>
            <w:tcW w:w="1814" w:type="dxa"/>
            <w:tcBorders>
              <w:bottom w:val="single" w:sz="4" w:space="0" w:color="000000"/>
            </w:tcBorders>
          </w:tcPr>
          <w:p>
            <w:pPr>
              <w:pStyle w:val="Contedodatabelauser"/>
              <w:jc w:val="right"/>
              <w:rPr/>
            </w:pPr>
            <w:r>
              <w:rPr/>
              <w:t>4.779</w:t>
            </w:r>
          </w:p>
        </w:tc>
        <w:tc>
          <w:tcPr>
            <w:tcW w:w="1814" w:type="dxa"/>
            <w:tcBorders>
              <w:bottom w:val="single" w:sz="4" w:space="0" w:color="000000"/>
            </w:tcBorders>
          </w:tcPr>
          <w:p>
            <w:pPr>
              <w:pStyle w:val="Contedodatabelauser"/>
              <w:jc w:val="right"/>
              <w:rPr/>
            </w:pPr>
            <w:r>
              <w:rPr/>
              <w:t>218.005</w:t>
            </w:r>
          </w:p>
        </w:tc>
      </w:tr>
    </w:tbl>
    <w:p>
      <w:pPr>
        <w:pStyle w:val="ListParagraph"/>
        <w:spacing w:lineRule="auto" w:line="360"/>
        <w:ind w:left="0"/>
        <w:rPr/>
      </w:pPr>
      <w:r>
        <w:rPr/>
        <w:t>Fonte: Resultados originais da pesquisa</w:t>
      </w:r>
    </w:p>
    <w:p>
      <w:pPr>
        <w:pStyle w:val="Normal"/>
        <w:spacing w:lineRule="auto" w:line="360"/>
        <w:rPr/>
      </w:pPr>
      <w:r>
        <w:rPr/>
      </w:r>
    </w:p>
    <w:p>
      <w:pPr>
        <w:pStyle w:val="ListParagraph"/>
        <w:spacing w:lineRule="auto" w:line="360"/>
        <w:ind w:left="0"/>
        <w:rPr/>
      </w:pPr>
      <w:r>
        <w:rPr>
          <w:bCs/>
        </w:rPr>
        <w:t>Tabela 3. Valores previstos na Matriz de Confusão para cada modelo, com base no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Contedodatabelauser"/>
              <w:jc w:val="center"/>
              <w:rPr/>
            </w:pPr>
            <w:r>
              <w:rPr/>
              <w:t>Modelo</w:t>
            </w:r>
          </w:p>
        </w:tc>
        <w:tc>
          <w:tcPr>
            <w:tcW w:w="1814" w:type="dxa"/>
            <w:tcBorders>
              <w:top w:val="single" w:sz="4" w:space="0" w:color="000000"/>
              <w:bottom w:val="single" w:sz="4" w:space="0" w:color="000000"/>
            </w:tcBorders>
            <w:vAlign w:val="center"/>
          </w:tcPr>
          <w:p>
            <w:pPr>
              <w:pStyle w:val="Contedodatabelauser"/>
              <w:jc w:val="center"/>
              <w:rPr/>
            </w:pPr>
            <w:r>
              <w:rPr/>
              <w:t>Verdadeiros Positivos</w:t>
            </w:r>
          </w:p>
        </w:tc>
        <w:tc>
          <w:tcPr>
            <w:tcW w:w="1814" w:type="dxa"/>
            <w:tcBorders>
              <w:top w:val="single" w:sz="4" w:space="0" w:color="000000"/>
              <w:bottom w:val="single" w:sz="4" w:space="0" w:color="000000"/>
            </w:tcBorders>
            <w:vAlign w:val="center"/>
          </w:tcPr>
          <w:p>
            <w:pPr>
              <w:pStyle w:val="Contedodatabelauser"/>
              <w:jc w:val="center"/>
              <w:rPr/>
            </w:pPr>
            <w:r>
              <w:rPr/>
              <w:t>Falsos Positivos</w:t>
            </w:r>
          </w:p>
        </w:tc>
        <w:tc>
          <w:tcPr>
            <w:tcW w:w="1814" w:type="dxa"/>
            <w:tcBorders>
              <w:top w:val="single" w:sz="4" w:space="0" w:color="000000"/>
              <w:bottom w:val="single" w:sz="4" w:space="0" w:color="000000"/>
            </w:tcBorders>
            <w:vAlign w:val="center"/>
          </w:tcPr>
          <w:p>
            <w:pPr>
              <w:pStyle w:val="Contedodatabelauser"/>
              <w:jc w:val="center"/>
              <w:rPr/>
            </w:pPr>
            <w:r>
              <w:rPr/>
              <w:t>Falsos Negativos</w:t>
            </w:r>
          </w:p>
        </w:tc>
        <w:tc>
          <w:tcPr>
            <w:tcW w:w="1814" w:type="dxa"/>
            <w:tcBorders>
              <w:top w:val="single" w:sz="4" w:space="0" w:color="000000"/>
              <w:bottom w:val="single" w:sz="4" w:space="0" w:color="000000"/>
            </w:tcBorders>
            <w:vAlign w:val="center"/>
          </w:tcPr>
          <w:p>
            <w:pPr>
              <w:pStyle w:val="Contedodatabelauser"/>
              <w:jc w:val="center"/>
              <w:rPr/>
            </w:pPr>
            <w:r>
              <w:rPr/>
              <w:t>Verdadeiros Negativos</w:t>
            </w:r>
          </w:p>
        </w:tc>
      </w:tr>
      <w:tr>
        <w:trPr/>
        <w:tc>
          <w:tcPr>
            <w:tcW w:w="1814" w:type="dxa"/>
            <w:tcBorders/>
          </w:tcPr>
          <w:p>
            <w:pPr>
              <w:pStyle w:val="Contedodatabelauser"/>
              <w:jc w:val="left"/>
              <w:rPr/>
            </w:pPr>
            <w:r>
              <w:rPr/>
              <w:t>Rede Neural</w:t>
            </w:r>
          </w:p>
        </w:tc>
        <w:tc>
          <w:tcPr>
            <w:tcW w:w="1814" w:type="dxa"/>
            <w:tcBorders/>
          </w:tcPr>
          <w:p>
            <w:pPr>
              <w:pStyle w:val="Contedodatabelauser"/>
              <w:jc w:val="right"/>
              <w:rPr/>
            </w:pPr>
            <w:r>
              <w:rPr/>
              <w:t>43.537</w:t>
            </w:r>
          </w:p>
        </w:tc>
        <w:tc>
          <w:tcPr>
            <w:tcW w:w="1814" w:type="dxa"/>
            <w:tcBorders/>
          </w:tcPr>
          <w:p>
            <w:pPr>
              <w:pStyle w:val="Contedodatabelauser"/>
              <w:jc w:val="right"/>
              <w:rPr/>
            </w:pPr>
            <w:r>
              <w:rPr/>
              <w:t>441</w:t>
            </w:r>
          </w:p>
        </w:tc>
        <w:tc>
          <w:tcPr>
            <w:tcW w:w="1814" w:type="dxa"/>
            <w:tcBorders/>
          </w:tcPr>
          <w:p>
            <w:pPr>
              <w:pStyle w:val="Contedodatabelauser"/>
              <w:jc w:val="right"/>
              <w:rPr/>
            </w:pPr>
            <w:r>
              <w:rPr/>
              <w:t>1.536</w:t>
            </w:r>
          </w:p>
        </w:tc>
        <w:tc>
          <w:tcPr>
            <w:tcW w:w="1814" w:type="dxa"/>
            <w:tcBorders/>
          </w:tcPr>
          <w:p>
            <w:pPr>
              <w:pStyle w:val="Contedodatabelauser"/>
              <w:jc w:val="right"/>
              <w:rPr/>
            </w:pPr>
            <w:r>
              <w:rPr/>
              <w:t>307.871</w:t>
            </w:r>
          </w:p>
        </w:tc>
      </w:tr>
      <w:tr>
        <w:trPr/>
        <w:tc>
          <w:tcPr>
            <w:tcW w:w="1814" w:type="dxa"/>
            <w:tcBorders/>
          </w:tcPr>
          <w:p>
            <w:pPr>
              <w:pStyle w:val="Contedodatabelauser"/>
              <w:jc w:val="left"/>
              <w:rPr/>
            </w:pPr>
            <w:r>
              <w:rPr/>
              <w:t>Gradient Boost</w:t>
            </w:r>
          </w:p>
        </w:tc>
        <w:tc>
          <w:tcPr>
            <w:tcW w:w="1814" w:type="dxa"/>
            <w:tcBorders/>
          </w:tcPr>
          <w:p>
            <w:pPr>
              <w:pStyle w:val="Contedodatabelauser"/>
              <w:jc w:val="right"/>
              <w:rPr/>
            </w:pPr>
            <w:r>
              <w:rPr/>
              <w:t>38.695</w:t>
            </w:r>
          </w:p>
        </w:tc>
        <w:tc>
          <w:tcPr>
            <w:tcW w:w="1814" w:type="dxa"/>
            <w:tcBorders/>
          </w:tcPr>
          <w:p>
            <w:pPr>
              <w:pStyle w:val="Contedodatabelauser"/>
              <w:jc w:val="right"/>
              <w:rPr/>
            </w:pPr>
            <w:r>
              <w:rPr/>
              <w:t>9</w:t>
            </w:r>
          </w:p>
        </w:tc>
        <w:tc>
          <w:tcPr>
            <w:tcW w:w="1814" w:type="dxa"/>
            <w:tcBorders/>
          </w:tcPr>
          <w:p>
            <w:pPr>
              <w:pStyle w:val="Contedodatabelauser"/>
              <w:jc w:val="right"/>
              <w:rPr/>
            </w:pPr>
            <w:r>
              <w:rPr/>
              <w:t>6.378</w:t>
            </w:r>
          </w:p>
        </w:tc>
        <w:tc>
          <w:tcPr>
            <w:tcW w:w="1814" w:type="dxa"/>
            <w:tcBorders/>
          </w:tcPr>
          <w:p>
            <w:pPr>
              <w:pStyle w:val="Contedodatabelauser"/>
              <w:jc w:val="right"/>
              <w:rPr/>
            </w:pPr>
            <w:r>
              <w:rPr/>
              <w:t>308.303</w:t>
            </w:r>
          </w:p>
        </w:tc>
      </w:tr>
      <w:tr>
        <w:trPr/>
        <w:tc>
          <w:tcPr>
            <w:tcW w:w="1814" w:type="dxa"/>
            <w:tcBorders/>
          </w:tcPr>
          <w:p>
            <w:pPr>
              <w:pStyle w:val="Contedodatabelauser"/>
              <w:jc w:val="left"/>
              <w:rPr/>
            </w:pPr>
            <w:r>
              <w:rPr/>
              <w:t>Random Forest</w:t>
            </w:r>
          </w:p>
        </w:tc>
        <w:tc>
          <w:tcPr>
            <w:tcW w:w="1814" w:type="dxa"/>
            <w:tcBorders/>
          </w:tcPr>
          <w:p>
            <w:pPr>
              <w:pStyle w:val="Contedodatabelauser"/>
              <w:jc w:val="right"/>
              <w:rPr/>
            </w:pPr>
            <w:r>
              <w:rPr/>
              <w:t>36.603</w:t>
            </w:r>
          </w:p>
        </w:tc>
        <w:tc>
          <w:tcPr>
            <w:tcW w:w="1814" w:type="dxa"/>
            <w:tcBorders/>
          </w:tcPr>
          <w:p>
            <w:pPr>
              <w:pStyle w:val="Contedodatabelauser"/>
              <w:jc w:val="right"/>
              <w:rPr/>
            </w:pPr>
            <w:r>
              <w:rPr/>
              <w:t>16</w:t>
            </w:r>
          </w:p>
        </w:tc>
        <w:tc>
          <w:tcPr>
            <w:tcW w:w="1814" w:type="dxa"/>
            <w:tcBorders/>
          </w:tcPr>
          <w:p>
            <w:pPr>
              <w:pStyle w:val="Contedodatabelauser"/>
              <w:jc w:val="right"/>
              <w:rPr/>
            </w:pPr>
            <w:r>
              <w:rPr/>
              <w:t>8.470</w:t>
            </w:r>
          </w:p>
        </w:tc>
        <w:tc>
          <w:tcPr>
            <w:tcW w:w="1814" w:type="dxa"/>
            <w:tcBorders/>
          </w:tcPr>
          <w:p>
            <w:pPr>
              <w:pStyle w:val="Contedodatabelauser"/>
              <w:jc w:val="right"/>
              <w:rPr/>
            </w:pPr>
            <w:r>
              <w:rPr/>
              <w:t>308.296</w:t>
            </w:r>
          </w:p>
        </w:tc>
      </w:tr>
      <w:tr>
        <w:trPr/>
        <w:tc>
          <w:tcPr>
            <w:tcW w:w="1814" w:type="dxa"/>
            <w:tcBorders/>
          </w:tcPr>
          <w:p>
            <w:pPr>
              <w:pStyle w:val="Contedodatabelauser"/>
              <w:jc w:val="left"/>
              <w:rPr/>
            </w:pPr>
            <w:r>
              <w:rPr/>
              <w:t>LDA</w:t>
            </w:r>
          </w:p>
        </w:tc>
        <w:tc>
          <w:tcPr>
            <w:tcW w:w="1814" w:type="dxa"/>
            <w:tcBorders/>
          </w:tcPr>
          <w:p>
            <w:pPr>
              <w:pStyle w:val="Contedodatabelauser"/>
              <w:jc w:val="right"/>
              <w:rPr/>
            </w:pPr>
            <w:r>
              <w:rPr/>
              <w:t>37.014</w:t>
            </w:r>
          </w:p>
        </w:tc>
        <w:tc>
          <w:tcPr>
            <w:tcW w:w="1814" w:type="dxa"/>
            <w:tcBorders/>
          </w:tcPr>
          <w:p>
            <w:pPr>
              <w:pStyle w:val="Contedodatabelauser"/>
              <w:jc w:val="right"/>
              <w:rPr/>
            </w:pPr>
            <w:r>
              <w:rPr/>
              <w:t>394</w:t>
            </w:r>
          </w:p>
        </w:tc>
        <w:tc>
          <w:tcPr>
            <w:tcW w:w="1814" w:type="dxa"/>
            <w:tcBorders/>
          </w:tcPr>
          <w:p>
            <w:pPr>
              <w:pStyle w:val="Contedodatabelauser"/>
              <w:jc w:val="right"/>
              <w:rPr/>
            </w:pPr>
            <w:r>
              <w:rPr/>
              <w:t>8.059</w:t>
            </w:r>
          </w:p>
        </w:tc>
        <w:tc>
          <w:tcPr>
            <w:tcW w:w="1814" w:type="dxa"/>
            <w:tcBorders/>
          </w:tcPr>
          <w:p>
            <w:pPr>
              <w:pStyle w:val="Contedodatabelauser"/>
              <w:jc w:val="right"/>
              <w:rPr/>
            </w:pPr>
            <w:r>
              <w:rPr/>
              <w:t>307.918</w:t>
            </w:r>
          </w:p>
        </w:tc>
      </w:tr>
      <w:tr>
        <w:trPr/>
        <w:tc>
          <w:tcPr>
            <w:tcW w:w="1814" w:type="dxa"/>
            <w:tcBorders>
              <w:bottom w:val="single" w:sz="4" w:space="0" w:color="000000"/>
            </w:tcBorders>
          </w:tcPr>
          <w:p>
            <w:pPr>
              <w:pStyle w:val="Contedodatabelauser"/>
              <w:jc w:val="left"/>
              <w:rPr/>
            </w:pPr>
            <w:r>
              <w:rPr/>
              <w:t>SVM</w:t>
            </w:r>
          </w:p>
        </w:tc>
        <w:tc>
          <w:tcPr>
            <w:tcW w:w="1814" w:type="dxa"/>
            <w:tcBorders>
              <w:bottom w:val="single" w:sz="4" w:space="0" w:color="000000"/>
            </w:tcBorders>
          </w:tcPr>
          <w:p>
            <w:pPr>
              <w:pStyle w:val="Contedodatabelauser"/>
              <w:jc w:val="right"/>
              <w:rPr/>
            </w:pPr>
            <w:r>
              <w:rPr/>
              <w:t>40.860</w:t>
            </w:r>
          </w:p>
        </w:tc>
        <w:tc>
          <w:tcPr>
            <w:tcW w:w="1814" w:type="dxa"/>
            <w:tcBorders>
              <w:bottom w:val="single" w:sz="4" w:space="0" w:color="000000"/>
            </w:tcBorders>
          </w:tcPr>
          <w:p>
            <w:pPr>
              <w:pStyle w:val="Contedodatabelauser"/>
              <w:jc w:val="right"/>
              <w:rPr/>
            </w:pPr>
            <w:r>
              <w:rPr/>
              <w:t>115.617</w:t>
            </w:r>
          </w:p>
        </w:tc>
        <w:tc>
          <w:tcPr>
            <w:tcW w:w="1814" w:type="dxa"/>
            <w:tcBorders>
              <w:bottom w:val="single" w:sz="4" w:space="0" w:color="000000"/>
            </w:tcBorders>
          </w:tcPr>
          <w:p>
            <w:pPr>
              <w:pStyle w:val="Contedodatabelauser"/>
              <w:jc w:val="right"/>
              <w:rPr/>
            </w:pPr>
            <w:r>
              <w:rPr/>
              <w:t>4.213</w:t>
            </w:r>
          </w:p>
        </w:tc>
        <w:tc>
          <w:tcPr>
            <w:tcW w:w="1814" w:type="dxa"/>
            <w:tcBorders>
              <w:bottom w:val="single" w:sz="4" w:space="0" w:color="000000"/>
            </w:tcBorders>
          </w:tcPr>
          <w:p>
            <w:pPr>
              <w:pStyle w:val="Contedodatabelauser"/>
              <w:jc w:val="right"/>
              <w:rPr/>
            </w:pPr>
            <w:r>
              <w:rPr/>
              <w:t>192.695</w:t>
            </w:r>
          </w:p>
        </w:tc>
      </w:tr>
    </w:tbl>
    <w:p>
      <w:pPr>
        <w:pStyle w:val="ListParagraph"/>
        <w:spacing w:lineRule="auto" w:line="360"/>
        <w:ind w:left="0"/>
        <w:rPr/>
      </w:pPr>
      <w:r>
        <w:rPr/>
        <w:t>Fonte: Resultados originais da pesquisa</w:t>
      </w:r>
    </w:p>
    <w:p>
      <w:pPr>
        <w:pStyle w:val="Normal"/>
        <w:spacing w:lineRule="auto" w:line="360"/>
        <w:rPr>
          <w:b/>
        </w:rPr>
      </w:pPr>
      <w:r>
        <w:rPr>
          <w:b/>
        </w:rPr>
      </w:r>
    </w:p>
    <w:p>
      <w:pPr>
        <w:pStyle w:val="Normal"/>
        <w:spacing w:lineRule="auto" w:line="360"/>
        <w:rPr/>
      </w:pPr>
      <w:r>
        <w:rPr>
          <w:color w:val="000000"/>
          <w:shd w:fill="FFFFFF" w:val="clear"/>
        </w:rPr>
        <w:tab/>
        <w:t>A análise da Tabela 3 permite que tiremos conclusões mais específicas sobre pequenas mas importantes variações entre os modelos que podem ser utilizadas de acordo com políticas institucionais ou objetivos a serem seguidos por parte da instituição detentora dos modelos. Se a instituição tiver a liberdade de escolher um dentre vários modelos ao longo do tempo, pode preferir a utilização de um modelo ou outro em face ao aumento da base de clientes, de políticas de crédito expansivas ou restritivas, de controle mais acirrado dos níveis de adimplência e assim por diante.</w:t>
      </w:r>
    </w:p>
    <w:p>
      <w:pPr>
        <w:pStyle w:val="Normal"/>
        <w:spacing w:lineRule="auto" w:line="360"/>
        <w:rPr/>
      </w:pPr>
      <w:r>
        <w:rPr>
          <w:color w:val="000000"/>
          <w:shd w:fill="FFFFFF" w:val="clear"/>
        </w:rPr>
        <w:tab/>
        <w:t>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arriscando incorrer em um maior número de operações inadimplentes mas também aumentando sua carteira de crédito, além de potencialmente aumentar sua base de clientes em um cenário de expansão empresarial e/ou econômica.</w:t>
      </w:r>
    </w:p>
    <w:p>
      <w:pPr>
        <w:pStyle w:val="Normal"/>
        <w:spacing w:lineRule="auto" w:line="360"/>
        <w:rPr/>
      </w:pPr>
      <w:r>
        <w:rPr>
          <w:color w:val="000000"/>
          <w:shd w:fill="auto" w:val="clear"/>
        </w:rPr>
        <w:tab/>
        <w:t>No caso em que os normativos internos ou externos proíbam a utilização de modelos distintos ao longo do tempo (ou impossibilitem a alteração de um algoritmo de análise dentro de uma janela de tempo específica uma vez que tenha sido divulgado o uso desse algoritmo) então a instituição pode, por exemplo, redefinir os hiperparâmetros do modelo para um melhor fine-tunning de modo a que se encaixe melhor em sua necessidade imediata, parâmetros como, por exemplo, o tamanho das árvores de decisão, quantidade de iterações e n</w:t>
      </w:r>
      <w:r>
        <w:rPr>
          <w:color w:val="000000"/>
          <w:shd w:fill="FFFFFF" w:val="clear"/>
        </w:rPr>
        <w:t>ível de cutoff.</w:t>
      </w:r>
    </w:p>
    <w:p>
      <w:pPr>
        <w:pStyle w:val="Normal"/>
        <w:spacing w:lineRule="auto" w:line="360"/>
        <w:rPr>
          <w:color w:val="3465A4"/>
        </w:rPr>
      </w:pPr>
      <w:r>
        <w:rPr>
          <w:color w:val="auto"/>
        </w:rPr>
        <w:tab/>
        <w:t>Os resultados deste trabalho corroboram parcialmente com o já apresentado em papers como Bayraci e Susuz (2019), He e Fan (2021), Jiang et al. (2023) e Kellner et al. (2022), onde redes neurais mostram-se superiores no poder de previsão de inadimplência. Contudo não foi observada uma superioridade unânime como nos resultados apresentados dos trabalhos referenciados, nas métricas tanto de Especificidade como de Precisão o modelo de gradient boost apresentou métricas mais altas neste trabalho.</w:t>
      </w:r>
    </w:p>
    <w:p>
      <w:pPr>
        <w:pStyle w:val="Normal"/>
        <w:spacing w:lineRule="auto" w:line="360"/>
        <w:rPr>
          <w:color w:val="3465A4"/>
        </w:rPr>
      </w:pPr>
      <w:r>
        <w:rPr>
          <w:color w:val="auto"/>
        </w:rPr>
        <w:tab/>
      </w:r>
      <w:r>
        <w:rPr>
          <w:color w:val="auto"/>
        </w:rPr>
        <w:t>Um melhor desempenho de redes neurais também é apresentado por Bayraci e Susuz (2019), que concluem que modelos de redes neurais profundas melhoram significativamente a performance de um sistema de credit scoring em relação a modelos de regressão linear e SVM no tocante às métricas de acurácia, erros do tipo I e do tipo II em bancos de dados com um número maior de observações. Contudo, o modelo de rede neural não performa melhor de forma significativa em relação aos outros modelos se o banco de dados forem pequenos e/ou restritos. Além dessa característica, os autores escrevem que os algoritmos de deep learning possuem uma implementação mais difícil e requerem um processo rigoroso de estabelecimento de seus hiperparâmetros.</w:t>
      </w:r>
    </w:p>
    <w:p>
      <w:pPr>
        <w:pStyle w:val="Normal"/>
        <w:spacing w:lineRule="auto" w:line="360"/>
        <w:rPr>
          <w:color w:val="3465A4"/>
        </w:rPr>
      </w:pPr>
      <w:r>
        <w:rPr>
          <w:color w:val="3465A4"/>
        </w:rPr>
        <w:tab/>
        <w:t xml:space="preserve">Comparativamente, o resultado da métrica Acurácia deste trabalho pelo modelo de redes neurais obteve um valor 0.9944, </w:t>
      </w:r>
      <w:r>
        <w:rPr>
          <w:color w:val="3465A4"/>
        </w:rPr>
        <w:t xml:space="preserve">enquanto no trabalho de Bayraci e Susuz (2019) os autores obtiveram o valor 0.8569 para a mesma métrica e mesmo algoritmo (DNN), Barboza et al. (2017) obtiveram um resultado 0.6829 em Acurácia de redes neurais. Do mesmo modo, He e Fan (2021) aplicaram um modelo de redes neurais em dois bancos de dados distintos, obtendo os valores 0.8188 e 0.8704 para a métrica Acurácia, </w:t>
      </w:r>
      <w:r>
        <w:rPr>
          <w:color w:val="3465A4"/>
        </w:rPr>
        <w:t>semelhante ao trabalho de Liu et al. (2020), que analisaram dois períodos distintos sob a ótica de um modelos de redes neurais e resultaram valores de 0.8573 e 0.7987 para a métrica Acurácia.</w:t>
      </w:r>
    </w:p>
    <w:p>
      <w:pPr>
        <w:pStyle w:val="ListParagraph"/>
        <w:spacing w:lineRule="auto" w:line="360"/>
        <w:ind w:left="0"/>
        <w:rPr>
          <w:color w:val="auto"/>
        </w:rPr>
      </w:pPr>
      <w:r>
        <w:rPr>
          <w:color w:val="auto"/>
        </w:rPr>
        <w:tab/>
        <w:t>A possibilidade de resultados distintos é respaldada por Dastile et al. (2020), quando os autores relatam que vários estudos ao longo dos anos tem comparado e contrastado as performances de diferentes modelos estatísticos e de machine learning na seara de credit scoring mas que, entretanto, nenhum consenso foi atingido em relação à identificação de um modelo que possa performar melhor que os outros. Os autores escrevem que, de forma geral, um agregado de modelos classificadores performa melhor do que um modelo classificador único. Também que apesar das utilizações ínfimas de modelos de modelos de redes neurais na literatura de credit scoring, esses modelos apresentam melhores resultados se comparados a modelos estatísticos e modelos clássicos de machine learning (como SVM, RF ou boosting).</w:t>
      </w:r>
    </w:p>
    <w:p>
      <w:pPr>
        <w:pStyle w:val="ListParagraph"/>
        <w:spacing w:lineRule="auto" w:line="360"/>
        <w:ind w:left="0"/>
        <w:rPr>
          <w:color w:val="auto"/>
        </w:rPr>
      </w:pPr>
      <w:r>
        <w:rPr>
          <w:color w:val="auto"/>
        </w:rPr>
        <w:tab/>
        <w:t>Addo et al. (2018) concluem que é importante a consideração de variados modelos que se encaixem com o problema de negócios e com os dados disponíveis, o que é claramente demonstrado através da apresentação da diferença nas métricas de análise. Os autores recomendam que as métricas de análise não fiquem restritas a um único critério, como por exemplo a métrica AUC (</w:t>
      </w:r>
      <w:r>
        <w:rPr>
          <w:i/>
          <w:iCs/>
          <w:color w:val="auto"/>
        </w:rPr>
        <w:t>area under the curve</w:t>
      </w:r>
      <w:r>
        <w:rPr>
          <w:color w:val="auto"/>
        </w:rPr>
        <w:t xml:space="preserve"> - área abaixo da curva). Também notam a importância de critérios padrões (como AIC, BIC, R²) nem sempre são apropriados para a comparação da performance de modelos distintos, dadas as diferenças das classes destes modelos (regressão/classificação).</w:t>
      </w:r>
    </w:p>
    <w:p>
      <w:pPr>
        <w:pStyle w:val="ListParagraph"/>
        <w:spacing w:lineRule="auto" w:line="360"/>
        <w:ind w:left="0"/>
        <w:rPr>
          <w:color w:val="auto"/>
        </w:rPr>
      </w:pPr>
      <w:r>
        <w:rPr>
          <w:color w:val="auto"/>
        </w:rPr>
        <w:tab/>
        <w:t>A respeito das métricas de análise, o trabalho de Barboza et al. (2017) indica que os modelos tradicionais (regressão linear, análise discriminante) tem menor capacidade de previsão se comparados aos modelos de machine learning, os autores também sugerem novas abordagens através da adaptação das técnicas de machine learning para outros estudos de risco de crédito, não exclusivamente aos estudos relativo a falências.</w:t>
      </w:r>
    </w:p>
    <w:p>
      <w:pPr>
        <w:pStyle w:val="ListParagraph"/>
        <w:spacing w:lineRule="auto" w:line="360"/>
        <w:ind w:left="0"/>
        <w:rPr>
          <w:color w:val="auto"/>
        </w:rPr>
      </w:pPr>
      <w:r>
        <w:rPr>
          <w:color w:val="auto"/>
        </w:rPr>
        <w:tab/>
        <w:t>No principal ensaio tido como base para o desenvolvimento de modelos de predição de inadimplência, Altman (1968) utilizou apenas um modelo LDA, relatando esse modelo como 'extremamente preciso' (Altman, 1968, pg. 609), com a correta classificação de 95% dos casos, ao mesmo tempo que sugere várias aplicações teóricas e práticas para o uso da modelagem LDA: análise de crédito, procedimentos de controles internos, diretrizes de investimento, seleção de portfólios...</w:t>
      </w:r>
    </w:p>
    <w:p>
      <w:pPr>
        <w:pStyle w:val="ListParagraph"/>
        <w:spacing w:lineRule="auto" w:line="360"/>
        <w:ind w:left="0"/>
        <w:rPr>
          <w:color w:val="auto"/>
        </w:rPr>
      </w:pPr>
      <w:r>
        <w:rPr>
          <w:color w:val="auto"/>
        </w:rPr>
        <w:tab/>
        <w:t>Barboza et al. (2017) escrevem que embora modelos de machine learning tenham tido muito sucesso no campo das finanças, o modelo de Altman (1968) segue sendo importante, não somente pelo poder de previsão bem como pela sua estrutura simples, prática e consistente. E afirmam que embora algoritmos com base em bagging, boosting e random forest incorporem procedimentos similares, os algoritmos de random forest geralmente produzem uma melhor acurácia e taxa de erros. Mesmo assim os autores declaram que os trabalhos sobre risco de crédito - especificamente previsão de inadimplência - devem ser investigados mais a fundo, particularmente em esforços a se obter modelos relacionados a variáveis macroeconômicas, como este trabalho se propôs. Este ponto vem ao encontro do relato de Dastile et al. (2020), que informam sobre a literatura de credit scoring ignorar com frequência os processos de EDA (</w:t>
      </w:r>
      <w:r>
        <w:rPr>
          <w:i/>
          <w:iCs/>
          <w:color w:val="auto"/>
        </w:rPr>
        <w:t>exploratory data analysis</w:t>
      </w:r>
      <w:r>
        <w:rPr>
          <w:color w:val="auto"/>
        </w:rPr>
        <w:t>, ‘análise exploratória de dados’), a inclusão de variáveis macroeconômicas e não determinam as correlações entre a variável dependente e as independentes, apenas para citar algumas limitações encontradas pelos autores.</w:t>
      </w:r>
    </w:p>
    <w:p>
      <w:pPr>
        <w:pStyle w:val="ListParagraph"/>
        <w:spacing w:lineRule="auto" w:line="360"/>
        <w:ind w:left="0"/>
        <w:rPr>
          <w:color w:val="auto"/>
        </w:rPr>
      </w:pPr>
      <w:r>
        <w:rPr>
          <w:color w:val="000000"/>
          <w:shd w:fill="FFFFFF" w:val="clear"/>
        </w:rPr>
        <w:tab/>
        <w:t xml:space="preserve">Consoante à utilização de variáveis macroeconômicas, o trabalho de Kellner et al. (2022) indica que o comportamento sistemático de uma economia, expresso então por essas variáveis, é diferente nos Estados Unidos e na Europa, e essas variáveis macroeconômicas expressam fortes efeitos conjuntos com as demais variáveis utilizadas, reforçando a superioridade de um modelo baseado em redes neurais (o trabalho dos autores utiliza um modelo de redes neurais de regressão quantílica, </w:t>
      </w:r>
      <w:r>
        <w:rPr>
          <w:i/>
          <w:iCs/>
          <w:color w:val="000000"/>
          <w:shd w:fill="FFFFFF" w:val="clear"/>
        </w:rPr>
        <w:t>quantile regression neural networks</w:t>
      </w:r>
      <w:r>
        <w:rPr>
          <w:color w:val="000000"/>
          <w:shd w:fill="FFFFFF" w:val="clear"/>
        </w:rPr>
        <w:t xml:space="preserve"> – QRNN).</w:t>
      </w:r>
    </w:p>
    <w:p>
      <w:pPr>
        <w:pStyle w:val="Normal"/>
        <w:spacing w:lineRule="auto" w:line="360"/>
        <w:rPr>
          <w:shd w:fill="FFFFFF" w:val="clear"/>
        </w:rPr>
      </w:pPr>
      <w:r>
        <w:rPr>
          <w:shd w:fill="FFFFFF" w:val="clear"/>
        </w:rPr>
      </w:r>
    </w:p>
    <w:p>
      <w:pPr>
        <w:pStyle w:val="ListParagraph"/>
        <w:spacing w:lineRule="auto" w:line="360"/>
        <w:ind w:left="0"/>
        <w:rPr/>
      </w:pPr>
      <w:commentRangeStart w:id="9"/>
      <w:r>
        <w:rPr>
          <w:b/>
        </w:rPr>
        <w:t>Considerações Finais</w:t>
      </w:r>
      <w:r>
        <w:rPr>
          <w:b/>
        </w:rPr>
      </w:r>
      <w:commentRangeEnd w:id="9"/>
      <w:r>
        <w:commentReference w:id="9"/>
      </w:r>
      <w:r>
        <w:rPr/>
        <w:commentReference w:id="10"/>
      </w:r>
      <w:r>
        <w:rPr/>
        <w:commentReference w:id="11"/>
      </w:r>
    </w:p>
    <w:p>
      <w:pPr>
        <w:pStyle w:val="ListParagraph"/>
        <w:spacing w:lineRule="auto" w:line="360"/>
        <w:ind w:left="0"/>
        <w:jc w:val="left"/>
        <w:rPr>
          <w:highlight w:val="none"/>
          <w:shd w:fill="auto" w:val="clear"/>
        </w:rPr>
      </w:pPr>
      <w:r>
        <w:rPr>
          <w:shd w:fill="auto" w:val="clear"/>
        </w:rPr>
      </w:r>
    </w:p>
    <w:p>
      <w:pPr>
        <w:pStyle w:val="ListParagraph"/>
        <w:spacing w:lineRule="auto" w:line="360"/>
        <w:ind w:left="0"/>
        <w:rPr>
          <w:highlight w:val="none"/>
          <w:shd w:fill="auto" w:val="clear"/>
        </w:rPr>
      </w:pPr>
      <w:r>
        <w:rPr>
          <w:color w:val="3465A4"/>
          <w:shd w:fill="auto" w:val="clear"/>
        </w:rPr>
        <w:tab/>
      </w:r>
      <w:r>
        <w:rPr>
          <w:shd w:fill="auto" w:val="clear"/>
        </w:rPr>
        <w:t>Percebe-se que não existe um modelo ótimo quando estuda-se modelos de previsão de risco de crédito mantendo-se fixos os bancos de dados de observações para treino, teste e validação. Cada banco de dados possui características próprias em função de seu tamanho, quantidade de variáveis, variabilidade dos dados, o que invariavelmente resultará em métricas diferentes durante a fase de análise dos modelos.</w:t>
      </w:r>
    </w:p>
    <w:p>
      <w:pPr>
        <w:pStyle w:val="Normal"/>
        <w:spacing w:lineRule="auto" w:line="360"/>
        <w:ind w:firstLine="708"/>
        <w:rPr>
          <w:highlight w:val="none"/>
          <w:shd w:fill="auto" w:val="clear"/>
        </w:rPr>
      </w:pPr>
      <w:r>
        <w:rPr>
          <w:shd w:fill="auto" w:val="clear"/>
        </w:rPr>
        <w:t>Bem como cada algoritmo possui características intrínsecas (seu método de cálculo) e extrínsecas (seus hiperparâmetros) que se traduzirão em modelos individuais após treino. Cada um desses modelos, em função da métrica utilizada como referência, pode se comportar de forma mais desejada do que outro. Existem diferenças não só nas métricas utilizadas como também ocorrerão diferenças ao longo do tempo, uma vez que novas referências, novos valores e novos eventos são observados nos bancos de dados das instituições financeiras no passar do tempo, tornando indispensável o monitoramento e a melhora contínua dos modelos de risco no decurso do tempo e das diversas situações econômico-financeiras que se apresentarem.</w:t>
      </w:r>
    </w:p>
    <w:p>
      <w:pPr>
        <w:pStyle w:val="Normal"/>
        <w:spacing w:lineRule="auto" w:line="360"/>
        <w:rPr>
          <w:highlight w:val="none"/>
          <w:shd w:fill="auto" w:val="clear"/>
        </w:rPr>
      </w:pPr>
      <w:r>
        <w:rPr>
          <w:color w:val="3465A4"/>
          <w:shd w:fill="auto" w:val="clear"/>
        </w:rPr>
        <w:tab/>
      </w:r>
    </w:p>
    <w:p>
      <w:pPr>
        <w:pStyle w:val="Normal"/>
        <w:spacing w:lineRule="auto" w:line="360"/>
        <w:jc w:val="left"/>
        <w:rPr/>
      </w:pPr>
      <w:r>
        <w:rPr>
          <w:b/>
        </w:rPr>
        <w:t>Agradecimento</w:t>
      </w:r>
    </w:p>
    <w:p>
      <w:pPr>
        <w:pStyle w:val="Normal"/>
        <w:spacing w:lineRule="auto" w:line="360"/>
        <w:jc w:val="left"/>
        <w:rPr/>
      </w:pPr>
      <w:r>
        <w:rPr/>
      </w:r>
    </w:p>
    <w:p>
      <w:pPr>
        <w:pStyle w:val="Normal"/>
        <w:spacing w:lineRule="auto" w:line="360"/>
        <w:ind w:firstLine="709"/>
        <w:rPr/>
      </w:pPr>
      <w:r>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rPr>
      </w:pPr>
      <w:r>
        <w:rPr>
          <w:b/>
        </w:rPr>
      </w:r>
    </w:p>
    <w:p>
      <w:pPr>
        <w:pStyle w:val="Normal"/>
        <w:spacing w:lineRule="auto" w:line="360"/>
        <w:rPr/>
      </w:pPr>
      <w:bookmarkStart w:id="2" w:name="_Hlk33977167"/>
      <w:r>
        <w:rPr>
          <w:b/>
        </w:rPr>
        <w:t>Referências</w:t>
      </w:r>
      <w:bookmarkEnd w:id="2"/>
    </w:p>
    <w:p>
      <w:pPr>
        <w:pStyle w:val="Normal"/>
        <w:spacing w:lineRule="auto" w:line="360"/>
        <w:rPr>
          <w:b/>
        </w:rPr>
      </w:pPr>
      <w:r>
        <w:rPr>
          <w:b/>
        </w:rPr>
      </w:r>
    </w:p>
    <w:p>
      <w:pPr>
        <w:pStyle w:val="Normal"/>
        <w:spacing w:lineRule="auto" w:line="360"/>
        <w:rPr/>
      </w:pPr>
      <w:r>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pPr>
      <w:r>
        <w:rPr/>
      </w:r>
    </w:p>
    <w:p>
      <w:pPr>
        <w:pStyle w:val="Normal"/>
        <w:spacing w:lineRule="auto" w:line="360"/>
        <w:rPr/>
      </w:pPr>
      <w:r>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pPr>
      <w:r>
        <w:rPr/>
      </w:r>
    </w:p>
    <w:p>
      <w:pPr>
        <w:pStyle w:val="Normal"/>
        <w:spacing w:lineRule="auto" w:line="360"/>
        <w:rPr/>
      </w:pPr>
      <w:r>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pPr>
      <w:r>
        <w:rPr/>
      </w:r>
    </w:p>
    <w:p>
      <w:pPr>
        <w:pStyle w:val="Normal"/>
        <w:spacing w:lineRule="auto" w:line="360"/>
        <w:rPr/>
      </w:pPr>
      <w:r>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pPr>
      <w:r>
        <w:rPr/>
      </w:r>
    </w:p>
    <w:p>
      <w:pPr>
        <w:pStyle w:val="Normal"/>
        <w:spacing w:lineRule="auto" w:line="360"/>
        <w:rPr/>
      </w:pPr>
      <w:r>
        <w:rPr/>
        <w:t>Beaver, W.H. 1966. Financial ratios as predictors of failure. Journal of Accounting Research 4: 71-111. Disponível em: &lt;https://www.jstor.org/stable/2490171&gt;. Acesso em: 28 fev. 2025.</w:t>
      </w:r>
    </w:p>
    <w:p>
      <w:pPr>
        <w:pStyle w:val="Normal"/>
        <w:spacing w:lineRule="auto" w:line="360"/>
        <w:rPr/>
      </w:pPr>
      <w:r>
        <w:rPr/>
      </w:r>
    </w:p>
    <w:p>
      <w:pPr>
        <w:pStyle w:val="Normal"/>
        <w:spacing w:lineRule="auto" w:line="360"/>
        <w:rPr/>
      </w:pPr>
      <w:r>
        <w:rPr/>
        <w:t>Breiman, L.; Friedman, J. H.; Olshen, R. A.; Stone, C. J. 1984. Classification and Regression Trees. 2a Edição. Editora CRC Press, Boca Raton, Flórida, Estados Unidos da América.</w:t>
      </w:r>
    </w:p>
    <w:p>
      <w:pPr>
        <w:pStyle w:val="Normal"/>
        <w:spacing w:lineRule="auto" w:line="360"/>
        <w:rPr/>
      </w:pPr>
      <w:r>
        <w:rPr/>
      </w:r>
    </w:p>
    <w:p>
      <w:pPr>
        <w:pStyle w:val="Normal"/>
        <w:spacing w:lineRule="auto" w:line="360"/>
        <w:rPr/>
      </w:pPr>
      <w:r>
        <w:rPr/>
        <w:t>Chen, Y. 2023. The Impact of Macroeconomic Factors on Bank Credit Risk. Advances in Economics Management and Political Sciences 53(1): 79-84. Disponível em: &lt;https://www.researchgate.net/publication/376132265_The_Impact_of_Macroeconomic_Factors_on_Bank_Credit_Risk&gt;. Acesso em: 15 ago. 2025.</w:t>
      </w:r>
    </w:p>
    <w:p>
      <w:pPr>
        <w:pStyle w:val="Normal"/>
        <w:spacing w:lineRule="auto" w:line="360"/>
        <w:rPr/>
      </w:pPr>
      <w:r>
        <w:rPr/>
      </w:r>
    </w:p>
    <w:p>
      <w:pPr>
        <w:pStyle w:val="Normal"/>
        <w:spacing w:lineRule="auto" w:line="360"/>
        <w:rPr/>
      </w:pPr>
      <w:r>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pPr>
      <w:r>
        <w:rPr/>
      </w:r>
    </w:p>
    <w:p>
      <w:pPr>
        <w:pStyle w:val="Normal"/>
        <w:spacing w:lineRule="auto" w:line="360"/>
        <w:rPr/>
      </w:pPr>
      <w:r>
        <w:rPr/>
        <w:t>Duda, R. O.; Hart, P. E.; Stork, D. G.. 2001. Pattern Classification. 2a Edição. Editora Wiley-Interscience, Hoboken, Nova Jersey, Estados Unidos da América.</w:t>
      </w:r>
    </w:p>
    <w:p>
      <w:pPr>
        <w:pStyle w:val="Normal"/>
        <w:spacing w:lineRule="auto" w:line="360"/>
        <w:rPr/>
      </w:pPr>
      <w:r>
        <w:rPr/>
      </w:r>
    </w:p>
    <w:p>
      <w:pPr>
        <w:pStyle w:val="Normal"/>
        <w:spacing w:lineRule="auto" w:line="360"/>
        <w:rPr/>
      </w:pPr>
      <w:r>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pPr>
      <w:r>
        <w:rPr/>
      </w:r>
    </w:p>
    <w:p>
      <w:pPr>
        <w:pStyle w:val="Normal"/>
        <w:spacing w:lineRule="auto" w:line="360"/>
        <w:rPr/>
      </w:pPr>
      <w:r>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pPr>
      <w:r>
        <w:rPr/>
      </w:r>
    </w:p>
    <w:p>
      <w:pPr>
        <w:pStyle w:val="Normal"/>
        <w:spacing w:lineRule="auto" w:line="360"/>
        <w:rPr/>
      </w:pPr>
      <w:r>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pPr>
      <w:r>
        <w:rPr/>
      </w:r>
    </w:p>
    <w:p>
      <w:pPr>
        <w:pStyle w:val="Normal"/>
        <w:spacing w:lineRule="auto" w:line="360"/>
        <w:rPr/>
      </w:pPr>
      <w:r>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pPr>
      <w:r>
        <w:rPr/>
      </w:r>
    </w:p>
    <w:p>
      <w:pPr>
        <w:pStyle w:val="Normal"/>
        <w:spacing w:lineRule="auto" w:line="360"/>
        <w:rPr/>
      </w:pPr>
      <w:r>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pPr>
      <w:r>
        <w:rPr/>
      </w:r>
    </w:p>
    <w:p>
      <w:pPr>
        <w:pStyle w:val="Normal"/>
        <w:spacing w:lineRule="auto" w:line="360"/>
        <w:rPr/>
      </w:pPr>
      <w:r>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pPr>
      <w:r>
        <w:rPr/>
      </w:r>
    </w:p>
    <w:p>
      <w:pPr>
        <w:pStyle w:val="Normal"/>
        <w:spacing w:lineRule="auto" w:line="360"/>
        <w:rPr/>
      </w:pPr>
      <w:r>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pPr>
      <w:r>
        <w:rPr/>
      </w:r>
    </w:p>
    <w:p>
      <w:pPr>
        <w:pStyle w:val="Normal"/>
        <w:spacing w:lineRule="auto" w:line="360"/>
        <w:rPr/>
      </w:pPr>
      <w:r>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pPr>
      <w:r>
        <w:rPr/>
      </w:r>
    </w:p>
    <w:p>
      <w:pPr>
        <w:pStyle w:val="Normal"/>
        <w:spacing w:lineRule="auto" w:line="360"/>
        <w:rPr/>
      </w:pPr>
      <w:r>
        <w:rPr/>
        <w:t>Maimon, O.; Rokach, L. 2010. Data Mining and Knowledge Discovery Handbook. 2a Edição. Editora Springer Science+Business Media, Nova York, Nova York, Estados Unidos da América.</w:t>
      </w:r>
    </w:p>
    <w:p>
      <w:pPr>
        <w:pStyle w:val="Normal"/>
        <w:spacing w:lineRule="auto" w:line="360"/>
        <w:rPr/>
      </w:pPr>
      <w:r>
        <w:rPr/>
      </w:r>
    </w:p>
    <w:p>
      <w:pPr>
        <w:pStyle w:val="Normal"/>
        <w:spacing w:lineRule="auto" w:line="360"/>
        <w:rPr/>
      </w:pPr>
      <w:r>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pPr>
      <w:r>
        <w:rPr/>
      </w:r>
    </w:p>
    <w:p>
      <w:pPr>
        <w:pStyle w:val="Normal"/>
        <w:spacing w:lineRule="auto" w:line="360"/>
        <w:rPr/>
      </w:pPr>
      <w:r>
        <w:rPr/>
        <w:t>Naili, M.; Lahrichi, Y. 2022. Banks’ credit risk, systematic determinants and specific factors: recent evidence from emerging markets. Heliyon 8(2). Disponível em: &lt;https://pmc.ncbi.nlm.nih.gov/articles/PMC8886134/&gt;. Acesso em: 15 ago. 2025.</w:t>
      </w:r>
    </w:p>
    <w:p>
      <w:pPr>
        <w:pStyle w:val="Normal"/>
        <w:spacing w:lineRule="auto" w:line="360"/>
        <w:rPr/>
      </w:pPr>
      <w:r>
        <w:rPr/>
      </w:r>
    </w:p>
    <w:p>
      <w:pPr>
        <w:pStyle w:val="Normal"/>
        <w:spacing w:lineRule="auto" w:line="360"/>
        <w:rPr/>
      </w:pPr>
      <w:r>
        <w:rPr/>
        <w:t>Niu, J.; An, G.; Gu, Z.; Li, P.; Liu, Q.; Bai, R.; Sun, J.; Du, Q. 2020. Analysis of sensitivity and specificity: precise recognition of neutrophils during regeneration of contused skeletal muscle in rats. Forensic Sciences Research 7: 1-10. Disponível em: &lt;https://www.researchgate.net/publication/340034692_Analysis_of_sensitivity_and_specificity_precise_recognition_of_neutrophils_during_regeneration_of_contused_skeletal_muscle_in_rats&gt;. Acesso em 12 jun. 2025.</w:t>
      </w:r>
    </w:p>
    <w:p>
      <w:pPr>
        <w:pStyle w:val="Normal"/>
        <w:spacing w:lineRule="auto" w:line="360"/>
        <w:rPr/>
      </w:pPr>
      <w:r>
        <w:rPr/>
      </w:r>
    </w:p>
    <w:p>
      <w:pPr>
        <w:pStyle w:val="Normal"/>
        <w:spacing w:lineRule="auto" w:line="360"/>
        <w:rPr/>
      </w:pPr>
      <w:r>
        <w:rPr/>
        <w:t>Quinlan, J. R. 1987. Simplifying decision trees. International Journal of Man-Machine Studies 27(3): 221-234. Disponível em: &lt;https://www.sciencedirect.com/science/article/pii/S0020737387800536&gt;. Acesso em 16 jun. 2025.</w:t>
      </w:r>
    </w:p>
    <w:p>
      <w:pPr>
        <w:pStyle w:val="Normal"/>
        <w:spacing w:lineRule="auto" w:line="360"/>
        <w:rPr/>
      </w:pPr>
      <w:r>
        <w:rPr/>
      </w:r>
    </w:p>
    <w:p>
      <w:pPr>
        <w:pStyle w:val="Normal"/>
        <w:spacing w:lineRule="auto" w:line="360"/>
        <w:rPr/>
      </w:pPr>
      <w:r>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pPr>
      <w:r>
        <w:rPr/>
      </w:r>
    </w:p>
    <w:p>
      <w:pPr>
        <w:pStyle w:val="Normal"/>
        <w:spacing w:lineRule="auto" w:line="360"/>
        <w:rPr/>
      </w:pPr>
      <w:r>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pPr>
      <w:r>
        <w:rPr/>
      </w:r>
    </w:p>
    <w:p>
      <w:pPr>
        <w:pStyle w:val="Normal"/>
        <w:spacing w:lineRule="auto" w:line="360"/>
        <w:rPr/>
      </w:pPr>
      <w:r>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pPr>
      <w:r>
        <w:rPr/>
      </w:r>
    </w:p>
    <w:p>
      <w:pPr>
        <w:pStyle w:val="Normal"/>
        <w:spacing w:lineRule="auto" w:line="360"/>
        <w:rPr/>
      </w:pPr>
      <w:r>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pPr>
      <w:r>
        <w:rPr/>
      </w:r>
    </w:p>
    <w:p>
      <w:pPr>
        <w:pStyle w:val="Normal"/>
        <w:spacing w:lineRule="auto" w:line="360"/>
        <w:rPr/>
      </w:pPr>
      <w:r>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pPr>
      <w:r>
        <w:rPr/>
      </w:r>
    </w:p>
    <w:p>
      <w:pPr>
        <w:pStyle w:val="Normal"/>
        <w:spacing w:lineRule="auto" w:line="360"/>
        <w:rPr/>
      </w:pPr>
      <w:r>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8-15T11:42:00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false"/>
        <w:spacing w:lineRule="auto" w:line="240"/>
        <w:jc w:val="left"/>
        <w:rPr/>
      </w:pPr>
      <w:r>
        <w:rPr>
          <w:rFonts w:eastAsia="DejaVu Sans" w:cs="DejaVu Sans" w:ascii="Liberation Serif" w:hAnsi="Liberation Serif"/>
          <w:sz w:val="24"/>
          <w:szCs w:val="24"/>
          <w:lang w:val="en-US" w:eastAsia="en-US" w:bidi="en-US"/>
        </w:rPr>
        <w:t>1.) Como eu avalio a utilidade de um modelo? Os estudos que eu utilizei como base avaliaram apenas o poder preditivo dos modelos, uns melhores que outros, com umas métricas melhores que outras e etc., mas em nenhum lugar existe algo no sentido de ‘a aplicaçao deste modelo no mundo real melhorou em X% a lucratividade da empresa Y’, que é o que eu entendo pela real utilidade de um modelo de previsao.</w:t>
      </w:r>
    </w:p>
    <w:p>
      <w:pPr>
        <w:overflowPunct w:val="false"/>
        <w:spacing w:lineRule="auto" w:line="240"/>
        <w:jc w:val="left"/>
        <w:rPr/>
      </w:pPr>
      <w:r>
        <w:rPr>
          <w:rFonts w:eastAsia="DejaVu Sans" w:ascii="Liberation Serif" w:hAnsi="Liberation Serif" w:cs="DejaVu Sans"/>
          <w:sz w:val="24"/>
          <w:szCs w:val="24"/>
          <w:lang w:eastAsia="en-US" w:val="en-US" w:bidi="en-US"/>
        </w:rPr>
      </w:r>
    </w:p>
    <w:p>
      <w:pPr>
        <w:overflowPunct w:val="false"/>
        <w:spacing w:lineRule="auto" w:line="240"/>
        <w:jc w:val="left"/>
        <w:rPr/>
      </w:pPr>
      <w:r>
        <w:rPr>
          <w:rFonts w:eastAsia="DejaVu Sans" w:cs="DejaVu Sans" w:ascii="Liberation Serif" w:hAnsi="Liberation Serif"/>
          <w:sz w:val="24"/>
          <w:szCs w:val="24"/>
          <w:shd w:fill="00FFFF" w:val="clear"/>
          <w:lang w:val="en-US" w:eastAsia="en-US" w:bidi="en-US"/>
        </w:rPr>
        <w:t>“Os estudos que eu utilizei como base avaliaram apenas o poder preditivo dos modelos, uns melhores que outros, com umas métricas melhores que outras e etc.”,</w:t>
      </w:r>
      <w:r>
        <w:rPr>
          <w:rFonts w:eastAsia="DejaVu Sans" w:cs="DejaVu Sans" w:ascii="Liberation Serif" w:hAnsi="Liberation Serif"/>
          <w:sz w:val="24"/>
          <w:szCs w:val="24"/>
          <w:lang w:val="en-US" w:eastAsia="en-US" w:bidi="en-US"/>
        </w:rPr>
        <w:t xml:space="preserve"> </w:t>
      </w:r>
      <w:r>
        <w:rPr>
          <w:rFonts w:eastAsia="DejaVu Sans" w:cs="DejaVu Sans" w:ascii="Liberation Serif" w:hAnsi="Liberation Serif"/>
          <w:sz w:val="24"/>
          <w:szCs w:val="24"/>
          <w:shd w:fill="00FFFF" w:val="clear"/>
          <w:lang w:val="en-US" w:eastAsia="en-US" w:bidi="en-US"/>
        </w:rPr>
        <w:t>Exatamente, poderia ter detalhado mais os trabalhos: Qual covariável mais impactou a resposta, as métricas dos modelos, etc….</w:t>
      </w:r>
    </w:p>
    <w:p w14:paraId="01000000">
      <w:pPr>
        <w:overflowPunct w:val="false"/>
        <w:spacing w:lineRule="auto" w:line="240"/>
        <w:jc w:val="left"/>
        <w:rPr/>
      </w:pPr>
      <w:r>
        <w:rPr>
          <w:rFonts w:eastAsia="DejaVu Sans" w:ascii="Liberation Serif" w:hAnsi="Liberation Serif" w:cs="DejaVu Sans"/>
          <w:sz w:val="24"/>
          <w:szCs w:val="24"/>
          <w:lang w:eastAsia="en-US" w:val="en-US" w:bidi="en-US"/>
        </w:rPr>
      </w:r>
    </w:p>
  </w:comment>
  <w:comment w:id="1" w:author="Autor desconhecido" w:date="2025-08-28T10:13:07Z" w:initials="">
    <w:p>
      <w:pPr>
        <w:overflowPunct w:val="false"/>
        <w:spacing w:lineRule="auto" w:line="240"/>
        <w:jc w:val="left"/>
        <w:rPr/>
      </w:pPr>
      <w:r>
        <w:annotationRef/>
      </w:r>
      <w:r>
        <w:rPr>
          <w:rFonts w:cs="DejaVu Sans" w:ascii="Liberation Serif" w:hAnsi="Liberation Serif" w:eastAsia="DejaVu Sans"/>
          <w:i/>
          <w:sz w:val="16"/>
          <w:szCs w:val="24"/>
          <w:lang w:bidi="en-US" w:eastAsia="en-US" w:val="en-US"/>
        </w:rPr>
        <w:t>Em resposta a Autor desconhecido (27/08/2025, 12:16): "..."</w:t>
      </w:r>
    </w:p>
    <w:p>
      <w:pPr>
        <w:overflowPunct w:val="false"/>
        <w:spacing w:lineRule="auto" w:line="240"/>
        <w:jc w:val="left"/>
        <w:rPr/>
      </w:pPr>
      <w:r>
        <w:rPr>
          <w:rFonts w:cs="DejaVu Sans" w:eastAsia="DejaVu Sans" w:ascii="Liberation Serif" w:hAnsi="Liberation Serif"/>
          <w:sz w:val="24"/>
          <w:szCs w:val="24"/>
          <w:lang w:bidi="en-US" w:eastAsia="en-US" w:val="en-US"/>
        </w:rPr>
        <w:t>Nenhum trabalho das referências faz menção a algo no sentido de ‘minha variável A tem um peso maior do que minha variável B no modelo XYZ’, todos somente comparam os resultados de um modelo contra outro. Logo, deduzo não ser fundamental. Upei minhas referências de PDF para o GitHub, caso seja necessário: github.com/CarecaRS/TCC_USP (mas não upei os livros).</w:t>
      </w:r>
    </w:p>
    <w:p>
      <w:pPr>
        <w:overflowPunct w:val="false"/>
        <w:spacing w:lineRule="auto" w:line="240"/>
        <w:jc w:val="left"/>
        <w:rPr/>
      </w:pPr>
      <w:r>
        <w:rPr>
          <w:rFonts w:cs="DejaVu Sans" w:eastAsia="DejaVu Sans" w:ascii="Liberation Serif" w:hAnsi="Liberation Serif"/>
          <w:sz w:val="24"/>
          <w:szCs w:val="24"/>
          <w:lang w:bidi="en-US" w:val="en-US" w:eastAsia="en-US"/>
        </w:rPr>
      </w:r>
    </w:p>
    <w:p w14:paraId="02000000">
      <w:pPr>
        <w:overflowPunct w:val="false"/>
        <w:spacing w:lineRule="auto" w:line="240"/>
        <w:jc w:val="left"/>
        <w:rPr/>
      </w:pPr>
      <w:r>
        <w:rPr>
          <w:rFonts w:cs="DejaVu Sans" w:eastAsia="DejaVu Sans" w:ascii="Liberation Serif" w:hAnsi="Liberation Serif"/>
          <w:sz w:val="24"/>
          <w:szCs w:val="24"/>
          <w:lang w:bidi="en-US" w:val="en-US" w:eastAsia="en-US"/>
        </w:rPr>
        <w:t>Alusões a alguns resultados de Acurácia dos modelos constantes das minhas referências foram explicitadas na seção ‘Resultados e Discussão’. É basicamente a métrica que temos em comum, por isso desenvolvi o texto apenas ao redor dela.</w:t>
      </w:r>
    </w:p>
  </w:comment>
  <w:comment w:id="2" w:author="Unknown Author" w:date="2025-08-15T10:57:00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false"/>
        <w:spacing w:lineRule="auto" w:line="240"/>
        <w:jc w:val="left"/>
        <w:rPr/>
      </w:pPr>
      <w:r>
        <w:rPr>
          <w:rFonts w:eastAsia="DejaVu Sans" w:cs="DejaVu Sans" w:ascii="Liberation Serif" w:hAnsi="Liberation Serif"/>
          <w:sz w:val="24"/>
          <w:szCs w:val="24"/>
          <w:lang w:val="en-US" w:eastAsia="en-US" w:bidi="en-US"/>
        </w:rPr>
        <w:t xml:space="preserve">Nao entendi o questionamento professor. Se a dúvida é quais dados eu utilizei, são explicados na parte de material e métodos; se é quais dados uma instituiçao financeira qualquer vai utilizar, aí pela lógica é os bancos de dados dela. Ainda, se for em relaçao aos dados que eu utilizei eu posso registrar também aqui, mas aí não fica redundante ou ‘enchendo linguiça’? (não sei se essa é uma expressao gaúcha ou é conhecimento comum). </w:t>
      </w:r>
    </w:p>
    <w:p>
      <w:pPr>
        <w:overflowPunct w:val="false"/>
        <w:spacing w:lineRule="auto" w:line="240"/>
        <w:jc w:val="left"/>
        <w:rPr/>
      </w:pPr>
      <w:r>
        <w:rPr>
          <w:rFonts w:eastAsia="DejaVu Sans" w:ascii="Liberation Serif" w:hAnsi="Liberation Serif" w:cs="DejaVu Sans"/>
          <w:sz w:val="24"/>
          <w:szCs w:val="24"/>
          <w:lang w:eastAsia="en-US" w:val="en-US" w:bidi="en-US"/>
        </w:rPr>
      </w:r>
    </w:p>
    <w:p w14:paraId="03000000">
      <w:pPr>
        <w:overflowPunct w:val="true"/>
        <w:spacing w:lineRule="auto" w:line="240"/>
        <w:jc w:val="left"/>
        <w:rPr/>
      </w:pPr>
      <w:r>
        <w:rPr>
          <w:rFonts w:eastAsia="DejaVu Sans" w:cs="DejaVu Sans" w:ascii="Liberation Serif" w:hAnsi="Liberation Serif"/>
          <w:sz w:val="24"/>
          <w:szCs w:val="24"/>
          <w:shd w:fill="00FFFF" w:val="clear"/>
          <w:lang w:val="en-US" w:eastAsia="en-US" w:bidi="en-US"/>
        </w:rPr>
        <w:t>Não é enchendo linguiça, É UMA COISA FICAR AMARRADA COM A OUTRA. Diante disso, pode acrescentar: “de uma empresa americana”, pelo menos. E claro, os detalhes e pormenrores foram explicados na seção a seguir.</w:t>
      </w:r>
    </w:p>
  </w:comment>
  <w:comment w:id="3" w:author="Autor desconhecido" w:date="2025-08-27T11:15:00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Em resposta a Unknown Author (15/08/2025, 10:48): "..."</w:t>
      </w:r>
    </w:p>
    <w:p w14:paraId="04000000">
      <w:pPr>
        <w:overflowPunct w:val="true"/>
        <w:spacing w:lineRule="auto" w:line="240"/>
        <w:jc w:val="left"/>
        <w:rPr/>
      </w:pPr>
      <w:r>
        <w:rPr>
          <w:rFonts w:eastAsia="DejaVu Sans" w:cs="DejaVu Sans" w:ascii="Liberation Serif" w:hAnsi="Liberation Serif"/>
          <w:sz w:val="24"/>
          <w:szCs w:val="24"/>
          <w:lang w:val="en-US" w:eastAsia="en-US" w:bidi="en-US"/>
        </w:rPr>
        <w:t>Providenciado. Para não ficar repetitivo demais eu suprimi ‘empresa americana de san francisco’ do parágrafo seguinte.</w:t>
      </w:r>
    </w:p>
  </w:comment>
  <w:comment w:id="4" w:author="Unknown Author" w:date="2025-08-15T11:22:00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false"/>
        <w:spacing w:lineRule="auto" w:line="240"/>
        <w:jc w:val="left"/>
        <w:rPr/>
      </w:pPr>
      <w:r>
        <w:rPr>
          <w:rFonts w:eastAsia="DejaVu Sans" w:cs="DejaVu Sans" w:ascii="Liberation Serif" w:hAnsi="Liberation Serif"/>
          <w:sz w:val="24"/>
          <w:szCs w:val="24"/>
          <w:lang w:val="en-US" w:eastAsia="en-US" w:bidi="en-US"/>
        </w:rPr>
        <w:t>Conversamos sobre isso por e-mail, entre os dias 27 e 28/05: “(...) todas as variáveis foram utilizadas. Parto da premissa que um banco preferiria melhorar seu poder de processamento desse tipo de modelo e captar o máximo de features possível do que eliminar/agrupar variáveis ao custo de um menor lucro potencial de suas atividades tendo em vista a redução (mesmo marginal) do poder preditivo de um modelo qualquer em função da diminuição dessas variáveis.”</w:t>
      </w:r>
    </w:p>
    <w:p>
      <w:pPr>
        <w:overflowPunct w:val="false"/>
        <w:spacing w:lineRule="auto" w:line="240"/>
        <w:jc w:val="left"/>
        <w:rPr/>
      </w:pPr>
      <w:r>
        <w:rPr>
          <w:rFonts w:eastAsia="DejaVu Sans" w:ascii="Liberation Serif" w:hAnsi="Liberation Serif" w:cs="DejaVu Sans"/>
          <w:sz w:val="24"/>
          <w:szCs w:val="24"/>
          <w:lang w:eastAsia="en-US" w:val="en-US" w:bidi="en-US"/>
        </w:rPr>
      </w:r>
    </w:p>
    <w:p w14:paraId="05000000">
      <w:pPr>
        <w:overflowPunct w:val="false"/>
        <w:spacing w:lineRule="auto" w:line="240"/>
        <w:jc w:val="left"/>
        <w:rPr/>
      </w:pPr>
      <w:r>
        <w:rPr>
          <w:rFonts w:eastAsia="DejaVu Sans" w:cs="DejaVu Sans" w:ascii="Liberation Serif" w:hAnsi="Liberation Serif"/>
          <w:sz w:val="24"/>
          <w:szCs w:val="24"/>
          <w:shd w:fill="00FFFF" w:val="clear"/>
          <w:lang w:val="en-US" w:eastAsia="en-US" w:bidi="en-US"/>
        </w:rPr>
        <w:t>Nem sempre, um modelo parcimonioso muitas vezes é preferido, por exigir menos capacidade computacional e ser de mais fácil interpretação.. E NÂO é agrupar ou eliminiar, é SELECIONAR. Pense sobre isso!</w:t>
      </w:r>
    </w:p>
  </w:comment>
  <w:comment w:id="5" w:author="Autor desconhecido" w:date="2025-08-27T11:16:34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Em resposta a Unknown Author (15/08/2025, 10:48): "..."</w:t>
      </w:r>
    </w:p>
    <w:p w14:paraId="06000000">
      <w:pPr>
        <w:overflowPunct w:val="true"/>
        <w:spacing w:lineRule="auto" w:line="240"/>
        <w:jc w:val="left"/>
        <w:rPr/>
      </w:pPr>
      <w:r>
        <w:rPr>
          <w:rFonts w:eastAsia="DejaVu Sans" w:cs="DejaVu Sans" w:ascii="Liberation Serif" w:hAnsi="Liberation Serif"/>
          <w:sz w:val="24"/>
          <w:szCs w:val="24"/>
          <w:lang w:val="en-US" w:eastAsia="en-US" w:bidi="en-US"/>
        </w:rPr>
        <w:t>Compreendido. Prefiro mesmo utilizar o máximo possível de variáveis que a máquina consiga processar.</w:t>
      </w:r>
    </w:p>
  </w:comment>
  <w:comment w:id="6" w:author="Unknown Author" w:date="2025-08-15T10:25:00Z" w:initials="">
    <w:p w14:paraId="07000000">
      <w:pPr>
        <w:overflowPunct w:val="true"/>
        <w:spacing w:lineRule="auto" w:line="240" w:before="2990" w:after="0"/>
        <w:ind w:left="2990" w:right="2990" w:hanging="0"/>
        <w:jc w:val="left"/>
        <w:rPr/>
      </w:pPr>
      <w:r>
        <w:annotationRef/>
      </w:r>
      <w:r>
        <w:rPr>
          <w:rFonts w:eastAsia="Calibri" w:cs="DejaVu Sans" w:ascii="Liberation Serif" w:hAnsi="Liberation Serif"/>
          <w:sz w:val="20"/>
          <w:szCs w:val="20"/>
          <w:lang w:val="en-US" w:eastAsia="en-US" w:bidi="en-US"/>
        </w:rPr>
        <w:t xml:space="preserve">ORIENTAÇAO: </w:t>
      </w:r>
      <w:r>
        <w:rPr>
          <w:rFonts w:cs="DejaVu Sans" w:ascii="Liberation Serif" w:hAnsi="Liberation Serif" w:eastAsia="DejaVu Sans"/>
          <w:sz w:val="24"/>
          <w:szCs w:val="24"/>
          <w:lang w:val="en-US" w:eastAsia="en-US" w:bidi="en-US"/>
        </w:rPr>
        <w:t>De uma olhada nas métricas MAPE, MAE, RMSE, talvez seria interessante também as incluir.</w:t>
      </w:r>
    </w:p>
  </w:comment>
  <w:comment w:id="7" w:author="Unknown Author" w:date="2025-08-15T10:25:00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Reply to Elton Gean Araujo (07/01/2025, 10:32): "..."</w:t>
      </w:r>
    </w:p>
    <w:p>
      <w:pPr>
        <w:overflowPunct w:val="false"/>
        <w:spacing w:lineRule="auto" w:line="240"/>
        <w:jc w:val="left"/>
        <w:rPr/>
      </w:pPr>
      <w:r>
        <w:rPr>
          <w:rFonts w:eastAsia="DejaVu Sans" w:cs="DejaVu Sans" w:ascii="Liberation Serif" w:hAnsi="Liberation Serif"/>
          <w:sz w:val="24"/>
          <w:szCs w:val="24"/>
          <w:lang w:val="en-US" w:eastAsia="en-US" w:bidi="en-US"/>
        </w:rPr>
        <w:t>No meu ponto de vista não pois não se trata de um modelo de regressao, onde aí sim tais métricas de análise seriam inclusive fundamentais. Na análise de um modelo de classificaçao eu preciso informar as métricas que apresentam a quantidade correta de classificaçao positiva, a quantidade correta de classificaçao negativa, a quantidade de erros tipo I e a quantidade de erro tipo II. RMSE e demais métricas de modelos de regressao nao informam sobre a capacidade de acerto (correta classificacao positiva ou negativa) ou de erro (tipos I e II), apenas a magnitude da dispersao das previsoes numéricas em relaçao à média basicamente.</w:t>
      </w:r>
    </w:p>
    <w:p>
      <w:pPr>
        <w:overflowPunct w:val="false"/>
        <w:spacing w:lineRule="auto" w:line="240"/>
        <w:jc w:val="left"/>
        <w:rPr/>
      </w:pPr>
      <w:r>
        <w:rPr>
          <w:rFonts w:eastAsia="DejaVu Sans" w:ascii="Liberation Serif" w:hAnsi="Liberation Serif" w:cs="DejaVu Sans"/>
          <w:sz w:val="24"/>
          <w:szCs w:val="24"/>
          <w:lang w:eastAsia="en-US" w:val="en-US" w:bidi="en-US"/>
        </w:rPr>
      </w:r>
    </w:p>
    <w:p>
      <w:pPr>
        <w:overflowPunct w:val="false"/>
        <w:spacing w:lineRule="auto" w:line="240"/>
        <w:jc w:val="left"/>
        <w:rPr/>
      </w:pPr>
      <w:r>
        <w:rPr>
          <w:rFonts w:eastAsia="DejaVu Sans" w:ascii="Liberation Serif" w:hAnsi="Liberation Serif" w:cs="DejaVu Sans"/>
          <w:sz w:val="24"/>
          <w:szCs w:val="24"/>
          <w:lang w:eastAsia="en-US" w:val="en-US" w:bidi="en-US"/>
        </w:rPr>
      </w:r>
    </w:p>
    <w:p w14:paraId="08000000">
      <w:pPr>
        <w:overflowPunct w:val="true"/>
        <w:spacing w:lineRule="auto" w:line="240" w:before="2990" w:after="0"/>
        <w:ind w:left="2990" w:right="2990" w:hanging="0"/>
        <w:jc w:val="left"/>
        <w:rPr/>
      </w:pPr>
      <w:r>
        <w:rPr>
          <w:rFonts w:eastAsia="DejaVu Sans" w:cs="DejaVu Sans" w:ascii="Liberation Serif" w:hAnsi="Liberation Serif"/>
          <w:sz w:val="24"/>
          <w:szCs w:val="24"/>
          <w:shd w:fill="00FFFF" w:val="clear"/>
          <w:lang w:val="en-US" w:eastAsia="en-US" w:bidi="en-US"/>
        </w:rPr>
        <w:t>Essas métricas são de classificação, também existem métricas de calibração e estabilidade. Veja se apenas essas são suficientes!!!!!</w:t>
      </w:r>
    </w:p>
  </w:comment>
  <w:comment w:id="8" w:author="Autor desconhecido" w:date="2025-08-27T11:46:46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Em resposta a Unknown Author (15/08/2025, 10:48): "..."</w:t>
      </w:r>
    </w:p>
    <w:p>
      <w:pPr>
        <w:overflowPunct w:val="true"/>
        <w:spacing w:lineRule="auto" w:line="240"/>
        <w:jc w:val="left"/>
        <w:rPr/>
      </w:pPr>
      <w:r>
        <w:rPr>
          <w:rFonts w:eastAsia="DejaVu Sans" w:cs="DejaVu Sans" w:ascii="Liberation Serif" w:hAnsi="Liberation Serif"/>
          <w:sz w:val="24"/>
          <w:szCs w:val="24"/>
          <w:lang w:val="en-US" w:eastAsia="en-US" w:bidi="en-US"/>
        </w:rPr>
        <w:t>Imagino que sejam suficientes, tendo em consideração essas referências do TCC. Dos trabalhos que eu usei como referência que tratam de previsão de inadimplência:</w:t>
      </w:r>
    </w:p>
    <w:p>
      <w:pPr>
        <w:overflowPunct w:val="true"/>
        <w:spacing w:lineRule="auto" w:line="240"/>
        <w:jc w:val="left"/>
        <w:rPr/>
      </w:pPr>
      <w:r>
        <w:rPr>
          <w:rFonts w:eastAsia="DejaVu Sans" w:cs="DejaVu Sans" w:ascii="Liberation Serif" w:hAnsi="Liberation Serif"/>
          <w:sz w:val="24"/>
          <w:szCs w:val="24"/>
          <w:lang w:val="en-US" w:eastAsia="en-US" w:bidi="en-US"/>
        </w:rPr>
        <w:t>Barboza et al. 2017 - usam Accuracy, erros tipo I (false positive rate) e II (false negative rate), AUC (area under the ROC curve)</w:t>
      </w:r>
    </w:p>
    <w:p>
      <w:pPr>
        <w:overflowPunct w:val="true"/>
        <w:spacing w:lineRule="auto" w:line="240"/>
        <w:jc w:val="left"/>
        <w:rPr/>
      </w:pPr>
      <w:r>
        <w:rPr>
          <w:rFonts w:eastAsia="DejaVu Sans" w:cs="DejaVu Sans" w:ascii="Liberation Serif" w:hAnsi="Liberation Serif"/>
          <w:sz w:val="24"/>
          <w:szCs w:val="24"/>
          <w:lang w:val="en-US" w:eastAsia="en-US" w:bidi="en-US"/>
        </w:rPr>
        <w:t>Bayraci e Susuz 2019 - usam Accuracy, erros tipo I e II</w:t>
      </w:r>
    </w:p>
    <w:p>
      <w:pPr>
        <w:overflowPunct w:val="true"/>
        <w:spacing w:lineRule="auto" w:line="240"/>
        <w:jc w:val="left"/>
        <w:rPr/>
      </w:pPr>
      <w:r>
        <w:rPr>
          <w:rFonts w:eastAsia="DejaVu Sans" w:cs="DejaVu Sans" w:ascii="Liberation Serif" w:hAnsi="Liberation Serif"/>
          <w:sz w:val="24"/>
          <w:szCs w:val="24"/>
          <w:lang w:val="en-US" w:eastAsia="en-US" w:bidi="en-US"/>
        </w:rPr>
        <w:t>Dastile et al. 2020 - usam Accuracy (que eles chamam de PCC) e AUC</w:t>
      </w:r>
    </w:p>
    <w:p>
      <w:pPr>
        <w:overflowPunct w:val="true"/>
        <w:spacing w:lineRule="auto" w:line="240"/>
        <w:jc w:val="left"/>
        <w:rPr/>
      </w:pPr>
      <w:r>
        <w:rPr>
          <w:rFonts w:eastAsia="DejaVu Sans" w:cs="DejaVu Sans" w:ascii="Liberation Serif" w:hAnsi="Liberation Serif"/>
          <w:sz w:val="24"/>
          <w:szCs w:val="24"/>
          <w:lang w:val="en-US" w:eastAsia="en-US" w:bidi="en-US"/>
        </w:rPr>
        <w:t>He e Fan 2021 - usam Accuracy, AUC, log-loss e Kolmogorov-Smirnov statistic</w:t>
      </w:r>
    </w:p>
    <w:p>
      <w:pPr>
        <w:overflowPunct w:val="true"/>
        <w:spacing w:lineRule="auto" w:line="240"/>
        <w:jc w:val="left"/>
        <w:rPr/>
      </w:pPr>
      <w:r>
        <w:rPr>
          <w:rFonts w:eastAsia="DejaVu Sans" w:cs="DejaVu Sans" w:ascii="Liberation Serif" w:hAnsi="Liberation Serif"/>
          <w:sz w:val="24"/>
          <w:szCs w:val="24"/>
          <w:lang w:val="en-US" w:eastAsia="en-US" w:bidi="en-US"/>
        </w:rPr>
        <w:t>Jiang et al 2023 - usam Precision, Recall, F1-score (média harmônica precision X recall) e AUC</w:t>
      </w:r>
    </w:p>
    <w:p>
      <w:pPr>
        <w:overflowPunct w:val="true"/>
        <w:spacing w:lineRule="auto" w:line="240"/>
        <w:jc w:val="left"/>
        <w:rPr/>
      </w:pPr>
      <w:r>
        <w:rPr>
          <w:rFonts w:eastAsia="DejaVu Sans" w:cs="DejaVu Sans" w:ascii="Liberation Serif" w:hAnsi="Liberation Serif"/>
          <w:sz w:val="24"/>
          <w:szCs w:val="24"/>
          <w:lang w:val="en-US" w:eastAsia="en-US" w:bidi="en-US"/>
        </w:rPr>
        <w:t>Mai 2019 - Accuracy, AUC e uma métrica de ranking de quantis definida por ele(a)</w:t>
      </w:r>
    </w:p>
    <w:p>
      <w:pPr>
        <w:overflowPunct w:val="true"/>
        <w:spacing w:lineRule="auto" w:line="240"/>
        <w:jc w:val="left"/>
        <w:rPr/>
      </w:pPr>
      <w:r>
        <w:rPr>
          <w:rFonts w:eastAsia="DejaVu Sans" w:cs="DejaVu Sans" w:ascii="Liberation Serif" w:hAnsi="Liberation Serif"/>
          <w:sz w:val="24"/>
          <w:szCs w:val="24"/>
          <w:lang w:val="en-US" w:eastAsia="en-US" w:bidi="en-US"/>
        </w:rPr>
        <w:t>Liu et al. 2020 - ROC e AUC</w:t>
      </w:r>
    </w:p>
    <w:p>
      <w:pPr>
        <w:overflowPunct w:val="true"/>
        <w:spacing w:lineRule="auto" w:line="240"/>
        <w:jc w:val="left"/>
        <w:rPr/>
      </w:pPr>
      <w:r>
        <w:rPr>
          <w:rFonts w:eastAsia="DejaVu Sans" w:cs="DejaVu Sans" w:ascii="Liberation Serif" w:hAnsi="Liberation Serif"/>
          <w:sz w:val="24"/>
          <w:szCs w:val="24"/>
          <w:lang w:val="en-US" w:eastAsia="en-US" w:bidi="en-US"/>
        </w:rPr>
        <w:t>Ribeiro e Lopes 2011 - Accuracy, Precision, Recall, erros tipo I e II, F1-score</w:t>
      </w:r>
    </w:p>
    <w:p>
      <w:pPr>
        <w:overflowPunct w:val="true"/>
        <w:spacing w:lineRule="auto" w:line="240"/>
        <w:jc w:val="left"/>
        <w:rPr/>
      </w:pPr>
      <w:r>
        <w:rPr>
          <w:rFonts w:eastAsia="DejaVu Sans" w:cs="DejaVu Sans" w:ascii="Liberation Serif" w:hAnsi="Liberation Serif"/>
          <w:sz w:val="24"/>
          <w:szCs w:val="24"/>
          <w:lang w:val="en-US" w:eastAsia="en-US" w:bidi="en-US"/>
        </w:rPr>
        <w:t>Wu et al 2022 - Accuracy (mas o trabalho deles é multi-classe)</w:t>
      </w:r>
    </w:p>
    <w:p>
      <w:pPr>
        <w:overflowPunct w:val="true"/>
        <w:spacing w:lineRule="auto" w:line="240"/>
        <w:jc w:val="left"/>
        <w:rPr/>
      </w:pPr>
      <w:r>
        <w:rPr>
          <w:rFonts w:eastAsia="DejaVu Sans" w:cs="DejaVu Sans" w:ascii="Liberation Serif" w:hAnsi="Liberation Serif"/>
          <w:sz w:val="24"/>
          <w:szCs w:val="24"/>
          <w:lang w:val="en-US" w:eastAsia="en-US" w:bidi="en-US"/>
        </w:rPr>
        <w:t>Yen et al 2025 - Accuracy, AUC e G-mean (média geométrica entre Sensibilidade e Especificidade)</w:t>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cs="DejaVu Sans" w:ascii="Liberation Serif" w:hAnsi="Liberation Serif"/>
          <w:sz w:val="24"/>
          <w:szCs w:val="24"/>
          <w:lang w:val="en-US" w:eastAsia="en-US" w:bidi="en-US"/>
        </w:rPr>
        <w:t>Os demais ou trabalham com regressão (previsão de risco, por exemplo) ou são referências auxiliares e que não se aplicam a esse raciocínio.</w:t>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cs="DejaVu Sans" w:ascii="Liberation Serif" w:hAnsi="Liberation Serif"/>
          <w:sz w:val="24"/>
          <w:szCs w:val="24"/>
          <w:lang w:val="en-US" w:eastAsia="en-US" w:bidi="en-US"/>
        </w:rPr>
        <w:t>Total 11 trabalhos de problemas de classificação, dos quais usam:</w:t>
      </w:r>
    </w:p>
    <w:p>
      <w:pPr>
        <w:overflowPunct w:val="true"/>
        <w:spacing w:lineRule="auto" w:line="240"/>
        <w:jc w:val="left"/>
        <w:rPr/>
      </w:pPr>
      <w:r>
        <w:rPr>
          <w:rFonts w:eastAsia="DejaVu Sans" w:cs="DejaVu Sans" w:ascii="Liberation Serif" w:hAnsi="Liberation Serif"/>
          <w:sz w:val="24"/>
          <w:szCs w:val="24"/>
          <w:lang w:val="en-US" w:eastAsia="en-US" w:bidi="en-US"/>
        </w:rPr>
        <w:t>Accuracy - 8 (73%)</w:t>
      </w:r>
    </w:p>
    <w:p>
      <w:pPr>
        <w:overflowPunct w:val="true"/>
        <w:spacing w:lineRule="auto" w:line="240"/>
        <w:jc w:val="left"/>
        <w:rPr/>
      </w:pPr>
      <w:r>
        <w:rPr>
          <w:rFonts w:eastAsia="DejaVu Sans" w:cs="DejaVu Sans" w:ascii="Liberation Serif" w:hAnsi="Liberation Serif"/>
          <w:sz w:val="24"/>
          <w:szCs w:val="24"/>
          <w:lang w:val="en-US" w:eastAsia="en-US" w:bidi="en-US"/>
        </w:rPr>
        <w:t>AUC - 7 (64%)</w:t>
      </w:r>
    </w:p>
    <w:p>
      <w:pPr>
        <w:overflowPunct w:val="true"/>
        <w:spacing w:lineRule="auto" w:line="240"/>
        <w:jc w:val="left"/>
        <w:rPr/>
      </w:pPr>
      <w:r>
        <w:rPr>
          <w:rFonts w:eastAsia="DejaVu Sans" w:cs="DejaVu Sans" w:ascii="Liberation Serif" w:hAnsi="Liberation Serif"/>
          <w:sz w:val="24"/>
          <w:szCs w:val="24"/>
          <w:lang w:val="en-US" w:eastAsia="en-US" w:bidi="en-US"/>
        </w:rPr>
        <w:t>Erros I e II - 3 (27%)</w:t>
      </w:r>
    </w:p>
    <w:p>
      <w:pPr>
        <w:overflowPunct w:val="true"/>
        <w:spacing w:lineRule="auto" w:line="240"/>
        <w:jc w:val="left"/>
        <w:rPr/>
      </w:pPr>
      <w:r>
        <w:rPr>
          <w:rFonts w:eastAsia="DejaVu Sans" w:cs="DejaVu Sans" w:ascii="Liberation Serif" w:hAnsi="Liberation Serif"/>
          <w:sz w:val="24"/>
          <w:szCs w:val="24"/>
          <w:lang w:val="en-US" w:eastAsia="en-US" w:bidi="en-US"/>
        </w:rPr>
        <w:t>Precision + Recall - 2 (18%)</w:t>
      </w:r>
    </w:p>
    <w:p>
      <w:pPr>
        <w:overflowPunct w:val="true"/>
        <w:spacing w:lineRule="auto" w:line="240"/>
        <w:jc w:val="left"/>
        <w:rPr/>
      </w:pPr>
      <w:r>
        <w:rPr>
          <w:rFonts w:eastAsia="DejaVu Sans" w:ascii="Liberation Serif" w:hAnsi="Liberation Serif" w:cs="DejaVu Sans"/>
          <w:sz w:val="24"/>
          <w:szCs w:val="24"/>
          <w:lang w:eastAsia="en-US" w:val="en-US" w:bidi="en-US"/>
        </w:rPr>
      </w:r>
    </w:p>
    <w:p w14:paraId="09000000">
      <w:pPr>
        <w:overflowPunct w:val="true"/>
        <w:spacing w:lineRule="auto" w:line="240"/>
        <w:jc w:val="left"/>
        <w:rPr/>
      </w:pPr>
      <w:r>
        <w:rPr>
          <w:rFonts w:eastAsia="DejaVu Sans" w:cs="DejaVu Sans" w:ascii="Liberation Serif" w:hAnsi="Liberation Serif"/>
          <w:sz w:val="24"/>
          <w:szCs w:val="24"/>
          <w:lang w:val="en-US" w:eastAsia="en-US" w:bidi="en-US"/>
        </w:rPr>
        <w:t>De resto cada trabalho usa uma métrica individual.</w:t>
      </w:r>
    </w:p>
  </w:comment>
  <w:comment w:id="9" w:author="Unknown Author" w:date="2025-08-15T10:36:00Z" w:initials="">
    <w:p w14:paraId="0a000000">
      <w:pPr>
        <w:overflowPunct w:val="true"/>
        <w:spacing w:lineRule="auto" w:line="240" w:before="2990" w:after="0"/>
        <w:ind w:left="2990" w:right="2990" w:hanging="0"/>
        <w:jc w:val="both"/>
        <w:rPr/>
      </w:pPr>
      <w:r>
        <w:annotationRef/>
      </w:r>
      <w:r>
        <w:rPr>
          <w:rFonts w:eastAsia="Calibri" w:cs="DejaVu Sans" w:ascii="Liberation Serif" w:hAnsi="Liberation Serif"/>
          <w:sz w:val="20"/>
          <w:szCs w:val="20"/>
          <w:lang w:val="en-US" w:eastAsia="en-US" w:bidi="en-US"/>
        </w:rPr>
        <w:t xml:space="preserve">ORIENTAÇAO: </w:t>
      </w:r>
      <w:r>
        <w:rPr>
          <w:rFonts w:cs="DejaVu Sans" w:ascii="Liberation Serif" w:hAnsi="Liberation Serif" w:eastAsia="DejaVu Sans"/>
          <w:sz w:val="24"/>
          <w:szCs w:val="24"/>
          <w:shd w:fill="FFFF00" w:val="clear"/>
          <w:lang w:val="en-US" w:eastAsia="en-US" w:bidi="en-US"/>
        </w:rPr>
        <w:t>Acredito que os resultados do melhor modelo no treinamento, também deveria ser o melhor no teste e na validação. Dar uma olhada nisso, do porquê talvez teria acontecido isso. Essa conclusão leva a crer que o um modelo treinado pode falhar na produção, o que seria um grande problema.</w:t>
      </w:r>
    </w:p>
  </w:comment>
  <w:comment w:id="10" w:author="Unknown Author" w:date="2025-08-15T10:48:00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false"/>
        <w:spacing w:lineRule="auto" w:line="240"/>
        <w:jc w:val="left"/>
        <w:rPr/>
      </w:pPr>
      <w:r>
        <w:rPr>
          <w:rFonts w:eastAsia="DejaVu Sans" w:cs="DejaVu Sans" w:ascii="Liberation Serif" w:hAnsi="Liberation Serif"/>
          <w:sz w:val="24"/>
          <w:szCs w:val="24"/>
          <w:lang w:val="en-US" w:eastAsia="en-US" w:bidi="en-US"/>
        </w:rPr>
        <w:t>Eu não considerei métricas de resultados baseados em banco de dados de treino pois esta secçao serve apenas para isso mesmo, treino. Um modelo que atinge 100% de eficiência preditiva em dados de treino com toda certeza está com overfitting (memoriza o comportamento da variável resposta), e invariaivelmente quando for aplicado no banco de dados de teste e/ou colocado em produçao com certeza seu poder preditivo não vai ser dos melhores pois nesse overfitting ele perde muita capacidade de generalizaçao da previsao utilizando dados novos. Um modelo treinado qualquer com certeza pode falhar se for colocado direto em produçao, por isso que temos as métricas dos dados de teste, de cross-validation e demais procedimentos que buscam garantir/promover robustez no modelo.</w:t>
      </w:r>
    </w:p>
    <w:p>
      <w:pPr>
        <w:overflowPunct w:val="false"/>
        <w:spacing w:lineRule="auto" w:line="240"/>
        <w:jc w:val="left"/>
        <w:rPr/>
      </w:pPr>
      <w:r>
        <w:rPr>
          <w:rFonts w:eastAsia="DejaVu Sans" w:ascii="Liberation Serif" w:hAnsi="Liberation Serif" w:cs="DejaVu Sans"/>
          <w:sz w:val="24"/>
          <w:szCs w:val="24"/>
          <w:lang w:eastAsia="en-US" w:val="en-US" w:bidi="en-US"/>
        </w:rPr>
      </w:r>
    </w:p>
    <w:p w14:paraId="0b000000">
      <w:pPr>
        <w:overflowPunct w:val="true"/>
        <w:spacing w:lineRule="auto" w:line="240"/>
        <w:jc w:val="left"/>
        <w:rPr/>
      </w:pPr>
      <w:r>
        <w:rPr>
          <w:rFonts w:eastAsia="DejaVu Sans" w:cs="DejaVu Sans" w:ascii="Liberation Serif" w:hAnsi="Liberation Serif"/>
          <w:sz w:val="24"/>
          <w:szCs w:val="24"/>
          <w:shd w:fill="00FFFF" w:val="clear"/>
          <w:lang w:val="en-US" w:eastAsia="en-US" w:bidi="en-US"/>
        </w:rPr>
        <w:t>Não se trata de overfitting, mais sim de testar um modelo treianado em dados de mesmo contexto.</w:t>
      </w:r>
      <w:r>
        <w:rPr>
          <w:rFonts w:eastAsia="DejaVu Sans" w:cs="DejaVu Sans" w:ascii="Liberation Serif" w:hAnsi="Liberation Serif"/>
          <w:sz w:val="24"/>
          <w:szCs w:val="24"/>
          <w:lang w:val="en-US" w:eastAsia="en-US" w:bidi="en-US"/>
        </w:rPr>
        <w:t xml:space="preserve"> </w:t>
      </w:r>
    </w:p>
  </w:comment>
  <w:comment w:id="11" w:author="Autor desconhecido" w:date="2025-08-27T12:16:57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Em resposta a Unknown Author (15/08/2025, 10:48): "..."</w:t>
      </w:r>
    </w:p>
    <w:p>
      <w:pPr>
        <w:overflowPunct w:val="true"/>
        <w:spacing w:lineRule="auto" w:line="240"/>
        <w:jc w:val="left"/>
        <w:rPr/>
      </w:pPr>
      <w:r>
        <w:rPr>
          <w:rFonts w:eastAsia="DejaVu Sans" w:cs="DejaVu Sans" w:ascii="Liberation Serif" w:hAnsi="Liberation Serif"/>
          <w:sz w:val="24"/>
          <w:szCs w:val="24"/>
          <w:lang w:val="en-US" w:eastAsia="en-US" w:bidi="en-US"/>
        </w:rPr>
        <w:t>No meu entendimento é realmente isso que foi feito com os dados de teste e de validação (testar o modelo em diferentes dados de mesmo contexto).</w:t>
      </w:r>
    </w:p>
    <w:p>
      <w:pPr>
        <w:overflowPunct w:val="true"/>
        <w:spacing w:lineRule="auto" w:line="240"/>
        <w:jc w:val="left"/>
        <w:rPr/>
      </w:pPr>
      <w:r>
        <w:rPr>
          <w:rFonts w:eastAsia="DejaVu Sans" w:cs="DejaVu Sans" w:ascii="Liberation Serif" w:hAnsi="Liberation Serif"/>
          <w:sz w:val="24"/>
          <w:szCs w:val="24"/>
          <w:lang w:val="en-US" w:eastAsia="en-US" w:bidi="en-US"/>
        </w:rPr>
        <w:t>As melhores métricas de um modelo em um dado banco de dados não obrigatoriamente serão as mesmas em outro banco de dados para um mesmo modelo. Os dados são diferentes e novos, então o resultado também vai ser diferente.</w:t>
      </w:r>
    </w:p>
    <w:p w14:paraId="0c000000">
      <w:pPr>
        <w:overflowPunct w:val="true"/>
        <w:spacing w:lineRule="auto" w:line="240"/>
        <w:jc w:val="left"/>
        <w:rPr/>
      </w:pPr>
      <w:r>
        <w:rPr>
          <w:rFonts w:eastAsia="DejaVu Sans" w:cs="DejaVu Sans" w:ascii="Liberation Serif" w:hAnsi="Liberation Serif"/>
          <w:sz w:val="24"/>
          <w:szCs w:val="24"/>
          <w:lang w:val="en-US" w:eastAsia="en-US" w:bidi="en-US"/>
        </w:rPr>
        <w:t>Até onde eu entendo este trabalho se propõe a comparar diferentes modelos de predição com o diferencial da taxa de juros, e para por aí: “este modelo, nessas condições específicas, tem um poder melhor de previsão (de acordo com essa ou essa métrica) do que aquele”. Não pretendo em hipótese alguma querer articular um modelo ótimo com a intenção final de ser colocado em produção.</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4000000" w15:paraIdParent="03000000"/>
  <w15:commentEx w15:paraId="06000000" w15:paraIdParent="05000000"/>
  <w15:commentEx w15:paraId="08000000" w15:paraIdParent="07000000"/>
  <w15:commentEx w15:paraId="09000000" w15:paraIdParent="08000000"/>
  <w15:commentEx w15:paraId="0b000000" w15:paraIdParent="0a000000"/>
  <w15:commentEx w15:paraId="0c000000" w15:paraIdParent="0b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Caracteresdenotaderodap"/>
        </w:rPr>
        <w:footnoteRef/>
      </w:r>
      <w:r>
        <w:rPr>
          <w:sz w:val="18"/>
          <w:szCs w:val="18"/>
        </w:rPr>
        <w:tab/>
        <w:t xml:space="preserve"> https://www.kaggle.com/datasets/ethon0426/lending-club-20072020q1/data</w:t>
      </w:r>
    </w:p>
  </w:footnote>
  <w:footnote w:id="3">
    <w:p>
      <w:pPr>
        <w:pStyle w:val="FootnoteText"/>
        <w:rPr>
          <w:sz w:val="18"/>
          <w:szCs w:val="18"/>
        </w:rPr>
      </w:pPr>
      <w:r>
        <w:rPr>
          <w:rStyle w:val="Caracteresdenotaderodap"/>
        </w:rPr>
        <w:footnoteRef/>
      </w:r>
      <w:r>
        <w:rPr>
          <w:sz w:val="18"/>
          <w:szCs w:val="18"/>
        </w:rPr>
        <w:tab/>
        <w:t xml:space="preserve"> https://fred.stlouisfed.org/series/EFFR</w:t>
      </w:r>
    </w:p>
  </w:footnote>
  <w:footnote w:id="4">
    <w:p>
      <w:pPr>
        <w:pStyle w:val="FootnoteText"/>
        <w:rPr>
          <w:sz w:val="18"/>
          <w:szCs w:val="18"/>
        </w:rPr>
      </w:pPr>
      <w:r>
        <w:rPr>
          <w:rStyle w:val="Caracteresdenotaderodap"/>
        </w:rPr>
        <w:footnoteRef/>
      </w:r>
      <w:r>
        <w:rPr>
          <w:sz w:val="18"/>
          <w:szCs w:val="18"/>
        </w:rPr>
        <w:tab/>
        <w:t xml:space="preserve"> 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8">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35"/>
              <wp:lineTo x="20964" y="20635"/>
              <wp:lineTo x="20964"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4" wp14:anchorId="642301F4">
              <wp:simplePos x="0" y="0"/>
              <wp:positionH relativeFrom="margin">
                <wp:align>right</wp:align>
              </wp:positionH>
              <wp:positionV relativeFrom="paragraph">
                <wp:posOffset>104775</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wp14:anchorId="642301F4">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8">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35"/>
              <wp:lineTo x="20964" y="20635"/>
              <wp:lineTo x="20964"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4" wp14:anchorId="642301F4">
              <wp:simplePos x="0" y="0"/>
              <wp:positionH relativeFrom="margin">
                <wp:align>right</wp:align>
              </wp:positionH>
              <wp:positionV relativeFrom="paragraph">
                <wp:posOffset>104775</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wp14:anchorId="642301F4">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00"/>
  <w:defaultTabStop w:val="708"/>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uiPriority w:val="99"/>
    <w:qFormat/>
    <w:rsid w:val="005f5feb"/>
    <w:rPr/>
  </w:style>
  <w:style w:type="character" w:styleId="RodapChar" w:customStyle="1">
    <w:name w:val="Rodapé Char"/>
    <w:basedOn w:val="DefaultParagraphFont"/>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customStyle="1">
    <w:name w:val="Footnote Characters"/>
    <w:qFormat/>
    <w:rPr>
      <w:vertAlign w:val="superscript"/>
    </w:rPr>
  </w:style>
  <w:style w:type="character" w:styleId="Caracteresdenotaderodap" w:customStyle="1">
    <w:name w:val="Caracteres de nota de rodapé"/>
    <w:qFormat/>
    <w:rPr>
      <w:vertAlign w:val="superscript"/>
    </w:rPr>
  </w:style>
  <w:style w:type="character" w:styleId="Caracteresdenotaderodapuser">
    <w:name w:val="Caracteres de nota de rodapé (user)"/>
    <w:qFormat/>
    <w:rPr>
      <w:vertAlign w:val="superscript"/>
    </w:rPr>
  </w:style>
  <w:style w:type="character" w:styleId="FootnoteReference">
    <w:name w:val="footnote reference"/>
    <w:rPr>
      <w:vertAlign w:val="superscript"/>
    </w:rPr>
  </w:style>
  <w:style w:type="character" w:styleId="EndnoteCharacters" w:customStyle="1">
    <w:name w:val="Endnote Characters"/>
    <w:qFormat/>
    <w:rPr>
      <w:vertAlign w:val="superscript"/>
    </w:rPr>
  </w:style>
  <w:style w:type="character" w:styleId="Caracteresdenotadefim" w:customStyle="1">
    <w:name w:val="Caracteres de nota de fim"/>
    <w:qFormat/>
    <w:rPr>
      <w:vertAlign w:val="superscript"/>
    </w:rPr>
  </w:style>
  <w:style w:type="character" w:styleId="Caracteresdenotadefimuser">
    <w:name w:val="Caracteres de nota de fim (user)"/>
    <w:qFormat/>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bd4dce"/>
    <w:rPr>
      <w:sz w:val="16"/>
      <w:szCs w:val="16"/>
    </w:rPr>
  </w:style>
  <w:style w:type="character" w:styleId="TextodecomentrioChar" w:customStyle="1">
    <w:name w:val="Texto de comentário Char"/>
    <w:basedOn w:val="DefaultParagraphFont"/>
    <w:uiPriority w:val="99"/>
    <w:semiHidden/>
    <w:qFormat/>
    <w:rsid w:val="00bd4dce"/>
    <w:rPr>
      <w:sz w:val="20"/>
      <w:szCs w:val="20"/>
    </w:rPr>
  </w:style>
  <w:style w:type="character" w:styleId="AssuntodocomentrioChar" w:customStyle="1">
    <w:name w:val="Assunto do comentário Char"/>
    <w:basedOn w:val="TextodecomentrioChar"/>
    <w:link w:val="annotationsubject"/>
    <w:uiPriority w:val="99"/>
    <w:semiHidden/>
    <w:qFormat/>
    <w:rsid w:val="00bd4dce"/>
    <w:rPr>
      <w:b/>
      <w:bCs/>
      <w:sz w:val="20"/>
      <w:szCs w:val="20"/>
    </w:rPr>
  </w:style>
  <w:style w:type="paragraph" w:styleId="Ttulo">
    <w:name w:val="Título"/>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style>
  <w:style w:type="paragraph" w:styleId="Ttulouser">
    <w:name w:val="Título (user)"/>
    <w:basedOn w:val="Normal"/>
    <w:next w:val="BodyText"/>
    <w:qFormat/>
    <w:pPr>
      <w:keepNext w:val="true"/>
      <w:spacing w:before="240" w:after="120"/>
    </w:pPr>
    <w:rPr>
      <w:rFonts w:ascii="Liberation Sans" w:hAnsi="Liberation Sans" w:eastAsia="DejaVu Sans" w:cs="DejaVu Sans"/>
      <w:sz w:val="28"/>
      <w:szCs w:val="28"/>
    </w:rPr>
  </w:style>
  <w:style w:type="paragraph" w:styleId="ndiceuser" w:customStyle="1">
    <w:name w:val="Índice (user)"/>
    <w:basedOn w:val="Normal"/>
    <w:qFormat/>
    <w:pPr>
      <w:suppressLineNumbers/>
    </w:pPr>
    <w:rPr>
      <w:rFonts w:cs="FreeSans"/>
    </w:rPr>
  </w:style>
  <w:style w:type="paragraph" w:styleId="Ttulo1" w:customStyle="1">
    <w:name w:val="Título1"/>
    <w:basedOn w:val="Normal"/>
    <w:next w:val="BodyText"/>
    <w:qFormat/>
    <w:pPr>
      <w:keepNext w:val="true"/>
      <w:spacing w:before="240" w:after="120"/>
    </w:pPr>
    <w:rPr>
      <w:rFonts w:ascii="Liberation Sans" w:hAnsi="Liberation Sans" w:eastAsia="Nimbus Sans" w:cs="FreeSans"/>
      <w:sz w:val="28"/>
      <w:szCs w:val="28"/>
    </w:rPr>
  </w:style>
  <w:style w:type="paragraph" w:styleId="Cabealhoerodapuser" w:customStyle="1">
    <w:name w:val="Cabeçalho e rodapé (user)"/>
    <w:basedOn w:val="Normal"/>
    <w:qFormat/>
    <w:pPr/>
    <w:rPr/>
  </w:style>
  <w:style w:type="paragraph" w:styleId="Cabealhoerodap">
    <w:name w:val="Cabeçalho e rodapé"/>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before="0" w:after="0"/>
      <w:jc w:val="left"/>
    </w:pPr>
    <w:rPr>
      <w:rFonts w:ascii="Arial" w:hAnsi="Arial" w:eastAsia="Calibri" w:cs="Arial" w:eastAsiaTheme="minorHAnsi"/>
      <w:color w:val="auto"/>
      <w:kern w:val="0"/>
      <w:sz w:val="22"/>
      <w:szCs w:val="22"/>
      <w:lang w:val="pt-BR" w:eastAsia="en-US" w:bidi="ar-SA"/>
    </w:rPr>
  </w:style>
  <w:style w:type="paragraph" w:styleId="Contedodatabelauser" w:customStyle="1">
    <w:name w:val="Conteúdo da tabela (user)"/>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tulodetabelauser" w:customStyle="1">
    <w:name w:val="Título de tabela (user)"/>
    <w:basedOn w:val="Contedodatabelauser"/>
    <w:qFormat/>
    <w:pPr>
      <w:jc w:val="center"/>
    </w:pPr>
    <w:rPr>
      <w:b/>
      <w:bCs/>
    </w:rPr>
  </w:style>
  <w:style w:type="paragraph" w:styleId="CommentText">
    <w:name w:val="annotation text"/>
    <w:basedOn w:val="Normal"/>
    <w:link w:val="TextodecomentrioChar"/>
    <w:uiPriority w:val="99"/>
    <w:semiHidden/>
    <w:unhideWhenUsed/>
    <w:rsid w:val="00bd4dce"/>
    <w:pPr>
      <w:spacing w:lineRule="auto" w:line="240"/>
    </w:pPr>
    <w:rPr>
      <w:sz w:val="20"/>
      <w:szCs w:val="20"/>
    </w:rPr>
  </w:style>
  <w:style w:type="paragraph" w:styleId="annotationsubject">
    <w:name w:val="annotation subject"/>
    <w:basedOn w:val="CommentText"/>
    <w:next w:val="CommentText"/>
    <w:link w:val="AssuntodocomentrioChar"/>
    <w:uiPriority w:val="99"/>
    <w:semiHidden/>
    <w:unhideWhenUsed/>
    <w:qFormat/>
    <w:rsid w:val="00bd4dce"/>
    <w:pPr/>
    <w:rPr>
      <w:b/>
      <w:bCs/>
    </w:rPr>
  </w:style>
  <w:style w:type="paragraph" w:styleId="Anotaouser" w:customStyle="1">
    <w:name w:val="Anotação (user)"/>
    <w:basedOn w:val="Normal"/>
    <w:qFormat/>
    <w:pPr>
      <w:spacing w:before="56" w:after="0"/>
      <w:ind w:left="56" w:right="56"/>
    </w:pPr>
    <w:rPr>
      <w:sz w:val="20"/>
      <w:szCs w:val="20"/>
    </w:rPr>
  </w:style>
  <w:style w:type="paragraph" w:styleId="Anotao">
    <w:name w:val="Anotação"/>
    <w:basedOn w:val="Normal"/>
    <w:qFormat/>
    <w:pPr>
      <w:spacing w:lineRule="auto" w:line="240" w:before="56" w:after="0"/>
      <w:ind w:hanging="0" w:left="57" w:right="57"/>
    </w:pPr>
    <w:rPr>
      <w:color w:val="auto"/>
      <w:sz w:val="20"/>
      <w:szCs w:val="20"/>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4.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LibreOffice/25.2.5.2$Linux_X86_64 LibreOffice_project/520$Build-2</Application>
  <AppVersion>15.0000</AppVersion>
  <Pages>23</Pages>
  <Words>7902</Words>
  <Characters>44814</Characters>
  <CharactersWithSpaces>52586</CharactersWithSpaces>
  <Paragraphs>275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2025-08-21T12:14:00Z</dcterms:created>
  <dc:creator>thiago</dc:creator>
  <dc:description/>
  <dc:language>en-US</dc:language>
  <cp:lastModifiedBy/>
  <cp:lastPrinted>2025-06-11T12:01:00Z</cp:lastPrinted>
  <dcterms:modified xsi:type="dcterms:W3CDTF">2025-08-28T10:45:04Z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