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5"/>
        <w:gridCol w:w="5245"/>
      </w:tblGrid>
      <w:tr>
        <w:tc>
          <w:tcPr>
            <w:tcW w:type="dxa" w:w="765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</w:pPr>
            <w:r>
              <w:rPr>
                <w:rFonts w:ascii="Source Han Sans SC" w:hAnsi="Source Han Sans SC" w:eastAsia="Source Han Sans SC"/>
                <w:b/>
                <w:color w:val="0E2A44"/>
                <w:sz w:val="38"/>
              </w:rPr>
              <w:t>候选人姓名</w:t>
            </w:r>
          </w:p>
          <w:p>
            <w:pPr>
              <w:spacing w:after="0"/>
            </w:pPr>
            <w:r>
              <w:rPr>
                <w:rFonts w:ascii="Source Han Sans SC" w:hAnsi="Source Han Sans SC" w:eastAsia="Source Han Sans SC"/>
                <w:b/>
                <w:color w:val="181818"/>
                <w:sz w:val="19"/>
              </w:rPr>
              <w:t>求职方向：目标岗位 / 客户体验 / 门店运营支持</w:t>
            </w:r>
          </w:p>
          <w:p>
            <w:pPr>
              <w:spacing w:after="0"/>
            </w:pPr>
            <w:r>
              <w:rPr>
                <w:rFonts w:ascii="Source Han Sans SC" w:hAnsi="Source Han Sans SC" w:eastAsia="Source Han Sans SC"/>
                <w:b w:val="0"/>
                <w:color w:val="565656"/>
                <w:sz w:val="17"/>
              </w:rPr>
              <w:t>联系方式：138XXXXXXXX  ｜  邮箱：candidate@example.com</w:t>
            </w:r>
          </w:p>
        </w:tc>
        <w:tc>
          <w:tcPr>
            <w:tcW w:type="dxa" w:w="15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right"/>
            </w:pPr>
            <w:r>
              <w:rPr>
                <w:rFonts w:ascii="Source Han Sans SC" w:hAnsi="Source Han Sans SC" w:eastAsia="Source Han Sans SC"/>
              </w:rPr>
              <w:drawing/>
            </w:r>
          </w:p>
        </w:tc>
      </w:tr>
    </w:tbl>
    <w:p>
      <w:pPr>
        <w:spacing w:before="120" w:after="40" w:line="240" w:lineRule="auto"/>
        <w:pBdr>
          <w:bottom w:val="single" w:sz="6" w:space="1" w:color="2F6F9F"/>
        </w:pBdr>
      </w:pPr>
      <w:r>
        <w:rPr>
          <w:rFonts w:ascii="Source Han Sans SC" w:hAnsi="Source Han Sans SC" w:eastAsia="Source Han Sans SC"/>
          <w:b/>
          <w:color w:val="2F6F9F"/>
          <w:sz w:val="22"/>
        </w:rPr>
        <w:t>教育经历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97"/>
        <w:gridCol w:w="3497"/>
        <w:gridCol w:w="3497"/>
      </w:tblGrid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>
              <w:rPr>
                <w:rFonts w:ascii="Source Han Sans SC" w:hAnsi="Source Han Sans SC" w:eastAsia="Source Han Sans SC"/>
                <w:b/>
                <w:color w:val="181818"/>
                <w:sz w:val="18"/>
              </w:rPr>
              <w:t>某艺术学院</w:t>
            </w:r>
          </w:p>
        </w:tc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181818"/>
                <w:sz w:val="18"/>
              </w:rPr>
              <w:t>音乐表演（笙主修）｜本科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right"/>
            </w:pPr>
            <w:r>
              <w:rPr>
                <w:rFonts w:ascii="Source Han Sans SC" w:hAnsi="Source Han Sans SC" w:eastAsia="Source Han Sans SC"/>
                <w:b w:val="0"/>
                <w:color w:val="565656"/>
                <w:sz w:val="17"/>
              </w:rPr>
              <w:t>2021.09-2025.07</w:t>
            </w:r>
          </w:p>
        </w:tc>
      </w:tr>
    </w:tbl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专业基础：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专业排名位于前列，系统修习专业技能与相关工具演奏技法，同步学习合唱指挥、乐团演奏、视唱练耳等课程。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艺术表达：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长期接受舞台呈现、作品理解和团队排练训练，形成较好的审美判断、内容表达、现场协作和稳定执行能力。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跨项学习：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辅修相关技能与工具，能在不同乐器和表演场景之间快速切换，具备持续学习和多元内容理解能力。</w:t>
      </w:r>
    </w:p>
    <w:p>
      <w:pPr>
        <w:spacing w:before="120" w:after="40" w:line="240" w:lineRule="auto"/>
        <w:pBdr>
          <w:bottom w:val="single" w:sz="6" w:space="1" w:color="2F6F9F"/>
        </w:pBdr>
      </w:pPr>
      <w:r>
        <w:rPr>
          <w:rFonts w:ascii="Source Han Sans SC" w:hAnsi="Source Han Sans SC" w:eastAsia="Source Han Sans SC"/>
          <w:b/>
          <w:color w:val="2F6F9F"/>
          <w:sz w:val="22"/>
        </w:rPr>
        <w:t>工作 / 实习经历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97"/>
        <w:gridCol w:w="3497"/>
        <w:gridCol w:w="3497"/>
      </w:tblGrid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>
              <w:rPr>
                <w:rFonts w:ascii="Source Han Sans SC" w:hAnsi="Source Han Sans SC" w:eastAsia="Source Han Sans SC"/>
                <w:b/>
                <w:color w:val="181818"/>
                <w:sz w:val="18"/>
              </w:rPr>
              <w:t>长治 某摄影服务公司</w:t>
            </w:r>
          </w:p>
        </w:tc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181818"/>
                <w:sz w:val="18"/>
              </w:rPr>
              <w:t>店长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right"/>
            </w:pPr>
            <w:r>
              <w:rPr>
                <w:rFonts w:ascii="Source Han Sans SC" w:hAnsi="Source Han Sans SC" w:eastAsia="Source Han Sans SC"/>
                <w:b w:val="0"/>
                <w:color w:val="565656"/>
                <w:sz w:val="17"/>
              </w:rPr>
              <w:t>2026.04-至今</w:t>
            </w:r>
          </w:p>
        </w:tc>
      </w:tr>
    </w:tbl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客户体验：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负责某摄影服务公司客户全周期服务，覆盖前期咨询、需求确认、档期安排、拍摄跟进、成片交付和售后回访，能根据客户预算、风格偏好和时间安排给出清晰建议。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销售转化：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搭建线上引流、咨询对接、到店成交的完整链路，自主制定套餐定价策略与引流课程体系，推动线上咨询转为到店预约和实际成交。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产品介绍：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围绕拍摄套餐、服务流程、成片交付、售后保障等高频问题整理说明口径，把复杂服务拆成客户容易理解的选择方案。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服务响应：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自学 Codex AI 搭建自动谈单工具，沉淀常见问题、咨询话术和回复口径，用于提升高频问题响应效率和接待一致性。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内容获客：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负责门店短视频选题、拍摄、剪辑、修图和发布，围绕婚礼纪实、门店服务和客户体验做内容展示，活动期间线上曝光提升 [示例数据]。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门店协作：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负责人员排班、岗位分工和日常调度，协调摄影、化妆、修图和客服团队配合，保障每日拍摄任务按计划完成。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准确执行：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建立客户信息档案，记录咨询、预约、拍摄、交付和回访节点，减少信息遗漏，保证客户问题及时响应。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97"/>
        <w:gridCol w:w="3497"/>
        <w:gridCol w:w="3497"/>
      </w:tblGrid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>
              <w:rPr>
                <w:rFonts w:ascii="Source Han Sans SC" w:hAnsi="Source Han Sans SC" w:eastAsia="Source Han Sans SC"/>
                <w:b/>
                <w:color w:val="181818"/>
                <w:sz w:val="18"/>
              </w:rPr>
              <w:t>廊坊市某沉浸式演艺项目</w:t>
            </w:r>
          </w:p>
        </w:tc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181818"/>
                <w:sz w:val="18"/>
              </w:rPr>
              <w:t>沉浸式情境演绎演员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right"/>
            </w:pPr>
            <w:r>
              <w:rPr>
                <w:rFonts w:ascii="Source Han Sans SC" w:hAnsi="Source Han Sans SC" w:eastAsia="Source Han Sans SC"/>
                <w:b w:val="0"/>
                <w:color w:val="565656"/>
                <w:sz w:val="17"/>
              </w:rPr>
              <w:t>2025.07-2026.03</w:t>
            </w:r>
          </w:p>
        </w:tc>
      </w:tr>
    </w:tbl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场景理解：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参与沉浸式文旅演艺项目，熟悉文化娱乐消费场景下的用户体验、现场动线、内容呈现和团队配合要求。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快速学习：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零基础进入演艺行业，简单表演点位 2 小时熟练掌握，复杂点位 2 天内完成学习并投入演出。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团队协作：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配合团队完成排练走位、合乐磨合、舞台调度和常态化演出，严格执行场馆制度和现场安排。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稳定交付：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在职期间累计完成[演出场次] 场演出任务，保持零失误、零差错；入职短期内由初级演员晋升为专业戏剧三级演员。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97"/>
        <w:gridCol w:w="3497"/>
        <w:gridCol w:w="3497"/>
      </w:tblGrid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>
              <w:rPr>
                <w:rFonts w:ascii="Source Han Sans SC" w:hAnsi="Source Han Sans SC" w:eastAsia="Source Han Sans SC"/>
                <w:b/>
                <w:color w:val="181818"/>
                <w:sz w:val="18"/>
              </w:rPr>
              <w:t>某中学</w:t>
            </w:r>
          </w:p>
        </w:tc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181818"/>
                <w:sz w:val="18"/>
              </w:rPr>
              <w:t>音乐教师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right"/>
            </w:pPr>
            <w:r>
              <w:rPr>
                <w:rFonts w:ascii="Source Han Sans SC" w:hAnsi="Source Han Sans SC" w:eastAsia="Source Han Sans SC"/>
                <w:b w:val="0"/>
                <w:color w:val="565656"/>
                <w:sz w:val="17"/>
              </w:rPr>
              <w:t>2024.09-2025.07</w:t>
            </w:r>
          </w:p>
        </w:tc>
      </w:tr>
    </w:tbl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内容设计：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独立负责 [项目数量] 个班级音乐教学，全年累计完成[授课节数] 节授课，承担教案撰写、课堂执行、互动管控与课后复盘。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课程创新：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结合传统民族乐器与手工实践开发特色课堂内容，把专业知识转化为更易参与的课堂形式，提升学生参与积极性。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活动统筹：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负责学生乐团排练、人员分工、曲目磨合和舞台演出统筹，积累内容排期、人员协调和现场呈现经验。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资料沉淀：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独立完成校内公开课筹备与授课，搭建完整教学流程并留存教学资料，获得校方认可。</w:t>
      </w:r>
    </w:p>
    <w:p>
      <w:pPr>
        <w:spacing w:before="120" w:after="40" w:line="240" w:lineRule="auto"/>
        <w:pBdr>
          <w:bottom w:val="single" w:sz="6" w:space="1" w:color="2F6F9F"/>
        </w:pBdr>
      </w:pPr>
      <w:r>
        <w:rPr>
          <w:rFonts w:ascii="Source Han Sans SC" w:hAnsi="Source Han Sans SC" w:eastAsia="Source Han Sans SC"/>
          <w:b/>
          <w:color w:val="2F6F9F"/>
          <w:sz w:val="22"/>
        </w:rPr>
        <w:t>校园经历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97"/>
        <w:gridCol w:w="3497"/>
        <w:gridCol w:w="3497"/>
      </w:tblGrid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>
              <w:rPr>
                <w:rFonts w:ascii="Source Han Sans SC" w:hAnsi="Source Han Sans SC" w:eastAsia="Source Han Sans SC"/>
                <w:b/>
                <w:color w:val="181818"/>
                <w:sz w:val="18"/>
              </w:rPr>
              <w:t>某艺术学院民乐团</w:t>
            </w:r>
          </w:p>
        </w:tc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181818"/>
                <w:sz w:val="18"/>
              </w:rPr>
              <w:t>笙首席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right"/>
            </w:pPr>
            <w:r>
              <w:rPr>
                <w:rFonts w:ascii="Source Han Sans SC" w:hAnsi="Source Han Sans SC" w:eastAsia="Source Han Sans SC"/>
                <w:b w:val="0"/>
                <w:color w:val="565656"/>
                <w:sz w:val="17"/>
              </w:rPr>
              <w:t>2021.09-2025.07</w:t>
            </w:r>
          </w:p>
        </w:tc>
      </w:tr>
    </w:tbl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团队统筹：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担任民乐团笙声部首席，负责声部排练、曲目打磨、舞台协作和成员配合，保障各类演出顺利落地。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项目参与：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多次参与市级展演、文旅乐曲录制及涉外文化交流活动，积累活动执行、对外沟通和现场协作经验。</w:t>
      </w:r>
    </w:p>
    <w:p>
      <w:pPr>
        <w:spacing w:before="120" w:after="40" w:line="240" w:lineRule="auto"/>
        <w:pBdr>
          <w:bottom w:val="single" w:sz="6" w:space="1" w:color="2F6F9F"/>
        </w:pBdr>
      </w:pPr>
      <w:r>
        <w:rPr>
          <w:rFonts w:ascii="Source Han Sans SC" w:hAnsi="Source Han Sans SC" w:eastAsia="Source Han Sans SC"/>
          <w:b/>
          <w:color w:val="2F6F9F"/>
          <w:sz w:val="22"/>
        </w:rPr>
        <w:t>技能证书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客户与销售：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客户咨询、需求确认、产品/套餐介绍、成交转化、售后回访、客户档案管理。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门店运营：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排班调度、岗位分工、服务 SOP、跨岗位协作、现场问题处理、流程执行。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内容与工具：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短视频拍摄剪辑、修图、内容发布复盘、Codex AI 应用、常见问题沉淀、办公系统快速学习。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艺术与表达：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民族器乐演奏、舞台表达、沉浸式演艺、乐团协作、文化内容理解、普通话二级甲等。</w:t>
      </w:r>
    </w:p>
    <w:p>
      <w:pPr>
        <w:spacing w:before="120" w:after="40" w:line="240" w:lineRule="auto"/>
        <w:pBdr>
          <w:bottom w:val="single" w:sz="6" w:space="1" w:color="2F6F9F"/>
        </w:pBdr>
      </w:pPr>
      <w:r>
        <w:rPr>
          <w:rFonts w:ascii="Source Han Sans SC" w:hAnsi="Source Han Sans SC" w:eastAsia="Source Han Sans SC"/>
          <w:b/>
          <w:color w:val="2F6F9F"/>
          <w:sz w:val="22"/>
        </w:rPr>
        <w:t>荣誉奖项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 w:val="0"/>
          <w:color w:val="181818"/>
          <w:sz w:val="17"/>
        </w:rPr>
        <w:t>学业荣誉：[年份] 学业奖学金；[年份] 主题知识竞赛个人奖项。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 w:val="0"/>
          <w:color w:val="181818"/>
          <w:sz w:val="17"/>
        </w:rPr>
        <w:t>专业奖项：[年份] 专业技能大赛奖项；[年份] 青少年民乐展演奖项；[年份] 器乐教育教学成果奖；[年份] 舞台艺术表演奖。</w:t>
      </w:r>
    </w:p>
    <w:p>
      <w:pPr>
        <w:spacing w:before="120" w:after="40" w:line="240" w:lineRule="auto"/>
        <w:pBdr>
          <w:bottom w:val="single" w:sz="6" w:space="1" w:color="2F6F9F"/>
        </w:pBdr>
      </w:pPr>
      <w:r>
        <w:rPr>
          <w:rFonts w:ascii="Source Han Sans SC" w:hAnsi="Source Han Sans SC" w:eastAsia="Source Han Sans SC"/>
          <w:b/>
          <w:color w:val="2F6F9F"/>
          <w:sz w:val="22"/>
        </w:rPr>
        <w:t>个人优势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岗位匹配：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目标岗位 重视顾客需求理解、产品和服务介绍、购买方式说明、门店协作与准确执行。某摄影服务公司店长经历能直接支撑客户体验、销售转化和门店服务场景。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服务意识：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长期面对真实客户咨询和服务交付，能通过提问确认需求，再把套餐、流程和注意事项讲清楚，减少客户决策成本。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执行稳定：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有门店排班、拍摄调度、客户档案和售后跟进经验，也在沉浸式演艺岗位完成[演出场次] 场演出任务，工作细致、守时、重视标准。</w:t>
      </w:r>
    </w:p>
    <w:p>
      <w:pPr>
        <w:pStyle w:val="ListBullet"/>
        <w:spacing w:after="40" w:line="254" w:lineRule="auto"/>
        <w:ind w:left="295" w:hanging="130"/>
      </w:pPr>
      <w:r>
        <w:rPr>
          <w:rFonts w:ascii="Source Han Sans SC" w:hAnsi="Source Han Sans SC" w:eastAsia="Source Han Sans SC"/>
          <w:b/>
          <w:color w:val="181818"/>
          <w:sz w:val="17"/>
        </w:rPr>
        <w:t>学习适应：</w:t>
      </w:r>
      <w:r>
        <w:rPr>
          <w:rFonts w:ascii="Source Han Sans SC" w:hAnsi="Source Han Sans SC" w:eastAsia="Source Han Sans SC"/>
          <w:b w:val="0"/>
          <w:color w:val="181818"/>
          <w:sz w:val="17"/>
        </w:rPr>
        <w:t>能快速进入新行业和新工具，曾从零进入沉浸式演艺行业并短期晋升，也能自学 AI 工具用于业务接待提效。</w:t>
      </w:r>
    </w:p>
    <w:sectPr w:rsidR="00FC693F" w:rsidRPr="0006063C" w:rsidSect="00034616">
      <w:headerReference w:type="default" r:id="rId10"/>
      <w:footerReference w:type="default" r:id="rId11"/>
      <w:pgSz w:w="11909" w:h="16834"/>
      <w:pgMar w:top="567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ans SC" w:hAnsi="Source Han Sans SC" w:eastAsia="Source Han Sans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urce Han Sans SC" w:hAnsi="Source Han Sans SC" w:eastAsia="Source Han Sans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ource Han Sans SC" w:hAnsi="Source Han Sans SC" w:eastAsia="Source Han Sans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urce Han Sans SC" w:hAnsi="Source Han Sans SC" w:eastAsia="Source Han Sans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ource Han Sans SC" w:hAnsi="Source Han Sans SC" w:eastAsia="Source Han Sans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 w:eastAsia="Source Han Sans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 w:eastAsia="Source Han Sans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urce Han Sans SC" w:hAnsi="Source Han Sans SC" w:eastAsia="Source Han Sans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urce Han Sans SC" w:hAnsi="Source Han Sans SC" w:eastAsia="Source Han Sans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urce Han Sans SC" w:hAnsi="Source Han Sans SC" w:eastAsia="Source Han Sans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ource Han Sans SC" w:hAnsi="Source Han Sans SC" w:eastAsia="Source Han Sans SC"/>
    </w:rPr>
  </w:style>
  <w:style w:type="table" w:default="1" w:styleId="TableNormal">
    <w:name w:val="Normal Table"/>
    <w:uiPriority w:val="99"/>
    <w:semiHidden/>
    <w:unhideWhenUsed/>
    <w:rPr>
      <w:rFonts w:ascii="Source Han Sans SC" w:hAnsi="Source Han Sans SC" w:eastAsia="Source Han Sans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urce Han Sans SC" w:hAnsi="Source Han Sans SC" w:eastAsia="Source Han Sans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ource Han Sans SC" w:hAnsi="Source Han Sans SC" w:eastAsia="Source Han Sans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ource Han Sans SC" w:hAnsi="Source Han Sans SC" w:eastAsia="Source Han Sans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ource Han Sans SC" w:hAnsi="Source Han Sans SC" w:eastAsia="Source Han Sans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 w:eastAsia="Source Han Sans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ource Han Sans SC" w:hAnsi="Source Han Sans SC" w:eastAsia="Source Han Sans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urce Han Sans SC" w:hAnsi="Source Han Sans SC" w:eastAsia="Source Han Sans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ource Han Sans SC" w:hAnsi="Source Han Sans SC" w:eastAsia="Source Han Sans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urce Han Sans SC" w:hAnsi="Source Han Sans SC" w:eastAsia="Source Han Sans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urce Han Sans SC" w:hAnsi="Source Han Sans SC" w:eastAsia="Source Han Sans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ource Han Sans SC" w:hAnsi="Source Han Sans SC" w:eastAsia="Source Han Sans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urce Han Sans SC" w:hAnsi="Source Han Sans SC" w:eastAsia="Source Han Sans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ource Han Sans SC" w:hAnsi="Source Han Sans SC" w:eastAsia="Source Han Sans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urce Han Sans SC" w:hAnsi="Source Han Sans SC" w:eastAsia="Source Han Sans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ource Han Sans SC" w:hAnsi="Source Han Sans SC" w:eastAsia="Source Han Sans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urce Han Sans SC" w:hAnsi="Source Han Sans SC" w:eastAsia="Source Han Sans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urce Han Sans SC" w:hAnsi="Source Han Sans SC" w:eastAsia="Source Han Sans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urce Han Sans SC" w:hAnsi="Source Han Sans SC" w:eastAsia="Source Han Sans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 w:eastAsia="Source Han Sans S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urce Han Sans SC" w:hAnsi="Source Han Sans SC" w:eastAsia="Source Han Sans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urce Han Sans SC" w:hAnsi="Source Han Sans SC" w:eastAsia="Source Han Sans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 w:eastAsia="Source Han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urce Han Sans SC" w:hAnsi="Source Han Sans SC" w:eastAsia="Source Han Sans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urce Han Sans SC" w:hAnsi="Source Han Sans SC" w:eastAsia="Source Han Sans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urce Han Sans SC" w:hAnsi="Source Han Sans SC" w:eastAsia="Source Han Sans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urce Han Sans SC" w:hAnsi="Source Han Sans SC" w:eastAsia="Source Han Sans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urce Han Sans SC" w:hAnsi="Source Han Sans SC" w:eastAsia="Source Han Sans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urce Han Sans SC" w:hAnsi="Source Han Sans SC" w:eastAsia="Source Han Sans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ource Han Sans SC" w:hAnsi="Source Han Sans SC" w:eastAsia="Source Han Sans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urce Han Sans SC" w:hAnsi="Source Han Sans SC" w:eastAsia="Source Han Sans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ource Han Sans SC" w:hAnsi="Source Han Sans SC" w:eastAsia="Source Han Sans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ource Han Sans SC" w:hAnsi="Source Han Sans SC" w:eastAsia="Source Han Sans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ource Han Sans SC" w:hAnsi="Source Han Sans SC" w:eastAsia="Source Han Sans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ource Han Sans SC" w:hAnsi="Source Han Sans SC" w:eastAsia="Source Han Sans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ource Han Sans SC" w:hAnsi="Source Han Sans SC" w:eastAsia="Source Han Sans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ource Han Sans SC" w:hAnsi="Source Han Sans SC" w:eastAsia="Source Han Sans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ource Han Sans SC" w:hAnsi="Source Han Sans SC" w:eastAsia="Source Han Sans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Han Sans SC" w:hAnsi="Source Han Sans SC" w:eastAsia="Source Han Sans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ource Han Sans SC" w:hAnsi="Source Han Sans SC" w:eastAsia="Source Han Sans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ource Han Sans SC" w:hAnsi="Source Han Sans SC" w:eastAsia="Source Han Sans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ource Han Sans SC" w:hAnsi="Source Han Sans SC" w:eastAsia="Source Han Sans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ource Han Sans SC" w:hAnsi="Source Han Sans SC" w:eastAsia="Source Han Sans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ource Han Sans SC" w:hAnsi="Source Han Sans SC" w:eastAsia="Source Han Sans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ource Han Sans SC" w:hAnsi="Source Han Sans SC" w:eastAsia="Source Han Sans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ource Han Sans SC" w:hAnsi="Source Han Sans SC" w:eastAsia="Source Han Sans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ource Han Sans SC" w:hAnsi="Source Han Sans SC" w:eastAsia="Source Han Sans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ource Han Sans SC" w:hAnsi="Source Han Sans SC" w:eastAsia="Source Han Sans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urce Han Sans SC" w:hAnsi="Source Han Sans SC" w:eastAsia="Source Han Sans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ource Han Sans SC" w:hAnsi="Source Han Sans SC" w:eastAsia="Source Han Sans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ource Han Sans SC" w:hAnsi="Source Han Sans SC" w:eastAsia="Source Han Sans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ource Han Sans SC" w:hAnsi="Source Han Sans SC" w:eastAsia="Source Han Sans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ource Han Sans SC" w:hAnsi="Source Han Sans SC" w:eastAsia="Source Han Sans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ource Han Sans SC" w:hAnsi="Source Han Sans SC" w:eastAsia="Source Han Sans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ource Han Sans SC" w:hAnsi="Source Han Sans SC" w:eastAsia="Source Han Sans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ource Han Sans SC" w:hAnsi="Source Han Sans SC" w:eastAsia="Source Han Sans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ource Han Sans SC" w:hAnsi="Source Han Sans SC" w:eastAsia="Source Han Sans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ource Han Sans SC" w:hAnsi="Source Han Sans SC" w:eastAsia="Source Han Sans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ource Han Sans SC" w:hAnsi="Source Han Sans SC" w:eastAsia="Source Han Sans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ource Han Sans SC" w:hAnsi="Source Han Sans SC" w:eastAsia="Source Han Sans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ource Han Sans SC" w:hAnsi="Source Han Sans SC" w:eastAsia="Source Han Sans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ource Han Sans SC" w:hAnsi="Source Han Sans SC" w:eastAsia="Source Han Sans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ource Han Sans SC" w:hAnsi="Source Han Sans SC" w:eastAsia="Source Han Sans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ource Han Sans SC" w:hAnsi="Source Han Sans SC" w:eastAsia="Source Han Sans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ource Han Sans SC" w:hAnsi="Source Han Sans SC" w:eastAsia="Source Han Sans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ource Han Sans SC" w:hAnsi="Source Han Sans SC" w:eastAsia="Source Han Sans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