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/>
      </w:pPr>
      <w:r>
        <w:t xml:space="preserve">Chế Độ Phúc Lợi (Benefits &amp; Perks) - TechViet Solutions</w:t>
      </w:r>
    </w:p>
    <w:p/>
    <w:p>
      <w:pPr>
        <w:pStyle w:val="Heading2"/>
        <w:spacing w:before="300"/>
      </w:pPr>
      <w:r>
        <w:t xml:space="preserve">1. Bảo hiểm và Sức khoẻ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Cung cấp bảo hiểm Y tế cá nhân PVI Care trị giá bảo vệ 300 triệu VND/năm (chi trả viện phí nội trú và ngoại trú).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Khám sức khỏe định kỳ: Tháng 6 hàng năm, tại các bệnh viện uy tín (Vinmec, FV, Hoàn Mỹ).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Thẻ tập Gym/Yoga: Công ty tài trợ 50% phí thành viên tại hệ thống California Fitness (tối đa 10,000,000 VND/năm).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Hỗ trợ Mắt kính: Dành cho nhân viên khối Công nghệ, 2,000,000 VND mỗi 2 năm.</w:t>
      </w:r>
    </w:p>
    <w:p/>
    <w:p>
      <w:pPr>
        <w:pStyle w:val="Heading2"/>
        <w:spacing w:before="300"/>
      </w:pPr>
      <w:r>
        <w:t xml:space="preserve">2. Giao thông và Phương tiện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Cấp thẻ gửi xe miễn phí tại tòa nhà công ty. Bãi gửi xe nằm ở Tầng hầm B1 và B2.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Đối với nhân viên đi làm bằng các phương tiện công cộng (Xe bus, Grab): Hỗ trợ chi phí đi lại 500,000 VND/tháng (Yêu cầu nộp hóa đơn/biên lai).</w:t>
      </w:r>
    </w:p>
    <w:p/>
    <w:p>
      <w:pPr>
        <w:pStyle w:val="Heading2"/>
        <w:spacing w:before="300"/>
      </w:pPr>
      <w:r>
        <w:t xml:space="preserve">3. Đào tạo và Phát triển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Quỹ đào tạo cá nhân: 10,000,000 VND/năm để tham gia các khóa học nâng cao nghiệp vụ, chứng chỉ quốc tế (AWS, PMP, CFA...).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Tham gia các hội thảo Tech (TechTalk, Seminar) được tính vào thời gian làm việc có hưởng lương (tối đa 3 ngày/năm).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Hoàn trả 100% lệ phí thi đối với các chứng chỉ chuyên ngành nếu thi đậu trong lần đầu tiên.</w:t>
      </w:r>
    </w:p>
    <w:p/>
    <w:p>
      <w:pPr>
        <w:pStyle w:val="Heading2"/>
        <w:spacing w:before="300"/>
      </w:pPr>
      <w:r>
        <w:t xml:space="preserve">4. Hoạt động Teambuilding và Văn hoá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Phụ cấp sinh hoạt đội nhóm (Team budget): 500,000 VND/người/tháng.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Sự kiện hằng năm: Year End Party, Chuyến du lịch công ty (Company Trip) 3 ngày 2 đêm vào mùa hè. Lần gần đây nhất là đi Phú Quốc, năm nay dự kiến đi Nha Trang.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Quà lễ tết: Trung Thu, Tết Dương lịch, Lì xì Tết Nguyên Đán, Sinh nhật nhân viên.</w:t>
      </w:r>
    </w:p>
    <w:p/>
    <w:p>
      <w:pPr>
        <w:pStyle w:val="Heading2"/>
        <w:spacing w:before="300"/>
      </w:pPr>
      <w:r>
        <w:t xml:space="preserve">5. Phụ cấp Lương thực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Tủ lạnh và kệ thức ăn nhẹ (Pantry) luôn đầy ắp đồ ăn, cafe, sữa, trà miễn phí cho mọi nhân viên.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Phụ cấp ăn trưa: 50,000 VND/ngày làm việc, được cộng thẳng vào lương hằng tháng.</w:t>
      </w:r>
    </w:p>
    <w:p/>
    <w:p>
      <w:pPr>
        <w:pStyle w:val="Heading2"/>
        <w:spacing w:before="300"/>
      </w:pPr>
      <w:r>
        <w:t xml:space="preserve">6. Chính sách Mua máy tính làm việc (BYOD)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Công ty cấp MacBook Pro M2 (16GB RAM) cho vị trí Senior trở lên. Các vị trí khác được cấp ThinkPad hoặc máy tính Window cấu hình cao.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Nhân viên muốn mua máy tính cá nhân để làm việc (BYOD) được hỗ trợ 50% giá trị thiết bị (tối đa 20,000,000 VND) và máy thuộc quyền sở hữu của nhân viên sau 2 năm.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2026-04-06T14:11:49.413Z</dcterms:created>
  <dcterms:modified xsi:type="dcterms:W3CDTF">2026-04-06T14:11:49.413Z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