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E06ED" w14:textId="77777777" w:rsidR="002F3390" w:rsidRDefault="002F3390">
      <w:pPr>
        <w:spacing w:before="100" w:after="100"/>
      </w:pPr>
    </w:p>
    <w:p w14:paraId="744C6D23" w14:textId="77777777" w:rsidR="002F3390" w:rsidRDefault="002F3390">
      <w:pPr>
        <w:spacing w:before="100" w:after="100"/>
      </w:pPr>
    </w:p>
    <w:p w14:paraId="3303DD03" w14:textId="77777777" w:rsidR="002F3390" w:rsidRDefault="00541BA1">
      <w:pPr>
        <w:spacing w:after="200"/>
      </w:pPr>
      <w:r>
        <w:rPr>
          <w:rFonts w:ascii="Arial" w:eastAsia="Arial" w:hAnsi="Arial" w:cs="Arial"/>
          <w:b/>
          <w:bCs/>
          <w:color w:val="1B3A5C"/>
          <w:sz w:val="52"/>
          <w:szCs w:val="52"/>
        </w:rPr>
        <w:t>The Silicon Imperative</w:t>
      </w:r>
    </w:p>
    <w:p w14:paraId="36429B53" w14:textId="77777777" w:rsidR="002F3390" w:rsidRDefault="00541BA1">
      <w:pPr>
        <w:spacing w:after="400"/>
      </w:pPr>
      <w:r>
        <w:rPr>
          <w:rFonts w:ascii="Arial" w:eastAsia="Arial" w:hAnsi="Arial" w:cs="Arial"/>
          <w:i/>
          <w:iCs/>
          <w:color w:val="666666"/>
          <w:sz w:val="24"/>
          <w:szCs w:val="24"/>
        </w:rPr>
        <w:t>Rising Chip Design Complexity, Shrinking Tapeout Cycles, and the AI Transformation of System Design</w:t>
      </w:r>
    </w:p>
    <w:p w14:paraId="133CA7DA" w14:textId="62C83B4F" w:rsidR="002F3390" w:rsidRDefault="00673077">
      <w:pPr>
        <w:spacing w:before="100" w:after="100"/>
      </w:pPr>
      <w:r>
        <w:t>Sashi Obilisetty</w:t>
      </w:r>
    </w:p>
    <w:p w14:paraId="08B07843" w14:textId="6DFB4DC5" w:rsidR="00673077" w:rsidRDefault="00673077">
      <w:pPr>
        <w:spacing w:before="100" w:after="100"/>
      </w:pPr>
      <w:r>
        <w:t xml:space="preserve">Co-founder &amp; CEO, </w:t>
      </w:r>
      <w:proofErr w:type="spellStart"/>
      <w:r>
        <w:t>CaretEDA</w:t>
      </w:r>
      <w:proofErr w:type="spellEnd"/>
    </w:p>
    <w:p w14:paraId="1BBFFD21" w14:textId="77777777" w:rsidR="00673077" w:rsidRDefault="00673077">
      <w:pPr>
        <w:spacing w:before="100" w:after="100"/>
      </w:pPr>
    </w:p>
    <w:p w14:paraId="19000A93" w14:textId="77777777" w:rsidR="002F3390" w:rsidRDefault="00541BA1">
      <w:pPr>
        <w:jc w:val="center"/>
      </w:pPr>
      <w:r>
        <w:rPr>
          <w:noProof/>
        </w:rPr>
        <w:drawing>
          <wp:inline distT="0" distB="0" distL="0" distR="0" wp14:anchorId="64A61974" wp14:editId="532B5B18">
            <wp:extent cx="61722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72200" cy="2057400"/>
                    </a:xfrm>
                    <a:prstGeom prst="rect">
                      <a:avLst/>
                    </a:prstGeom>
                  </pic:spPr>
                </pic:pic>
              </a:graphicData>
            </a:graphic>
          </wp:inline>
        </w:drawing>
      </w:r>
    </w:p>
    <w:p w14:paraId="31A25B9B" w14:textId="77777777" w:rsidR="002F3390" w:rsidRDefault="00541BA1">
      <w:pPr>
        <w:spacing w:before="300" w:after="300"/>
        <w:jc w:val="center"/>
      </w:pPr>
      <w:r>
        <w:rPr>
          <w:rFonts w:ascii="Arial" w:eastAsia="Arial" w:hAnsi="Arial" w:cs="Arial"/>
          <w:color w:val="AAAAAA"/>
          <w:sz w:val="20"/>
          <w:szCs w:val="20"/>
        </w:rPr>
        <w:t>•  •  •</w:t>
      </w:r>
    </w:p>
    <w:p w14:paraId="1B000001" w14:textId="77777777" w:rsidR="002F3390" w:rsidRDefault="00541BA1">
      <w:pPr>
        <w:pBdr>
          <w:top w:val="single" w:sz="6" w:space="4" w:color="1B3A5C"/>
          <w:left w:val="single" w:sz="6" w:space="8" w:color="1B3A5C"/>
          <w:right w:val="single" w:sz="6" w:space="8" w:color="1B3A5C"/>
        </w:pBdr>
        <w:shd w:val="clear" w:color="auto" w:fill="E8F0F8"/>
        <w:spacing w:before="160" w:after="80"/>
        <w:ind w:left="180" w:right="180"/>
      </w:pPr>
      <w:r>
        <w:rPr>
          <w:rFonts w:ascii="Arial" w:hAnsi="Arial" w:cs="Arial"/>
          <w:b/>
          <w:bCs/>
          <w:color w:val="1B3A5C"/>
          <w:sz w:val="22"/>
          <w:szCs w:val="22"/>
        </w:rPr>
        <w:t>Key Takeaways</w:t>
      </w:r>
    </w:p>
    <w:p w14:paraId="1B000002" w14:textId="77777777" w:rsidR="002F3390" w:rsidRDefault="00541BA1">
      <w:pPr>
        <w:pBdr>
          <w:left w:val="single" w:sz="6" w:space="8" w:color="1B3A5C"/>
          <w:right w:val="single" w:sz="6" w:space="8" w:color="1B3A5C"/>
        </w:pBdr>
        <w:shd w:val="clear" w:color="auto" w:fill="E8F0F8"/>
        <w:spacing w:after="80" w:line="312" w:lineRule="auto"/>
        <w:ind w:left="360" w:right="180"/>
      </w:pPr>
      <w:r>
        <w:rPr>
          <w:rFonts w:ascii="Arial" w:hAnsi="Arial" w:cs="Arial"/>
          <w:sz w:val="20"/>
          <w:szCs w:val="20"/>
        </w:rPr>
        <w:t>–  The global semiconductor market reached $775B in 2024 and is projected to hit $1.6T by 2030 — but design complexity is outpacing productivity gains at every advanced node.</w:t>
      </w:r>
    </w:p>
    <w:p w14:paraId="1B000003" w14:textId="77777777" w:rsidR="002F3390" w:rsidRDefault="00541BA1">
      <w:pPr>
        <w:pBdr>
          <w:left w:val="single" w:sz="6" w:space="8" w:color="1B3A5C"/>
          <w:right w:val="single" w:sz="6" w:space="8" w:color="1B3A5C"/>
        </w:pBdr>
        <w:shd w:val="clear" w:color="auto" w:fill="E8F0F8"/>
        <w:spacing w:after="80" w:line="312" w:lineRule="auto"/>
        <w:ind w:left="360" w:right="180"/>
      </w:pPr>
      <w:r>
        <w:rPr>
          <w:rFonts w:ascii="Arial" w:hAnsi="Arial" w:cs="Arial"/>
          <w:sz w:val="20"/>
          <w:szCs w:val="20"/>
        </w:rPr>
        <w:t>–  Advanced chip design cycles of 3–5 years are colliding with 12–18 month market windows, making schedule compression an economic imperative, not merely an efficiency goal.</w:t>
      </w:r>
    </w:p>
    <w:p w14:paraId="1B000004" w14:textId="77777777" w:rsidR="002F3390" w:rsidRDefault="00541BA1">
      <w:pPr>
        <w:pBdr>
          <w:left w:val="single" w:sz="6" w:space="8" w:color="1B3A5C"/>
          <w:right w:val="single" w:sz="6" w:space="8" w:color="1B3A5C"/>
        </w:pBdr>
        <w:shd w:val="clear" w:color="auto" w:fill="E8F0F8"/>
        <w:spacing w:after="80" w:line="312" w:lineRule="auto"/>
        <w:ind w:left="360" w:right="180"/>
      </w:pPr>
      <w:r>
        <w:rPr>
          <w:rFonts w:ascii="Arial" w:hAnsi="Arial" w:cs="Arial"/>
          <w:sz w:val="20"/>
          <w:szCs w:val="20"/>
        </w:rPr>
        <w:t>–  A talent shortfall estimated at one million workers by 2030 is making AI-driven design tools a strategic necessity rather than an optional enhancement.</w:t>
      </w:r>
    </w:p>
    <w:p w14:paraId="1B000005" w14:textId="77777777" w:rsidR="002F3390" w:rsidRDefault="00541BA1">
      <w:pPr>
        <w:pBdr>
          <w:left w:val="single" w:sz="6" w:space="8" w:color="1B3A5C"/>
          <w:bottom w:val="single" w:sz="6" w:space="4" w:color="1B3A5C"/>
          <w:right w:val="single" w:sz="6" w:space="8" w:color="1B3A5C"/>
        </w:pBdr>
        <w:shd w:val="clear" w:color="auto" w:fill="E8F0F8"/>
        <w:spacing w:after="160" w:line="312" w:lineRule="auto"/>
        <w:ind w:left="360" w:right="180"/>
      </w:pPr>
      <w:r>
        <w:rPr>
          <w:rFonts w:ascii="Arial" w:hAnsi="Arial" w:cs="Arial"/>
          <w:sz w:val="20"/>
          <w:szCs w:val="20"/>
        </w:rPr>
        <w:t>–  Organizations that adopt AI-first design will compound advantages in speed to market, design quality, and engineering leverage — while those that wait will find the gap increasingly difficult to close.</w:t>
      </w:r>
    </w:p>
    <w:p w14:paraId="3CA1179C" w14:textId="77777777" w:rsidR="002F3390" w:rsidRDefault="00541BA1">
      <w:pPr>
        <w:pStyle w:val="Heading1"/>
        <w:pBdr>
          <w:bottom w:val="single" w:sz="4" w:space="8" w:color="1B3A5C"/>
        </w:pBdr>
      </w:pPr>
      <w:r>
        <w:t>Silicon Is Everywhere — And Getting Harder to Design</w:t>
      </w:r>
    </w:p>
    <w:p w14:paraId="0B138E65" w14:textId="517147BE" w:rsidR="002F3390" w:rsidRDefault="00541BA1">
      <w:pPr>
        <w:spacing w:after="200" w:line="312" w:lineRule="auto"/>
      </w:pPr>
      <w:r>
        <w:lastRenderedPageBreak/>
        <w:t>The silicon chip is no longer a niche component buried inside data centers and defense systems. It is the invisible substrate of modern life — embedded in thermostats, satellites, vehicles, and medical devices alike. The global semiconductor market reached approximately $775 billion in 2024, and McKinsey projects it could hit $1.6 trillion by 2030. Deloitte’s 2026 outlook places annual sales at roughly $975 billion for the current year alone, a historic peak driven overwhelmingly by AI infrastructure demand</w:t>
      </w:r>
      <w:r>
        <w:t>. This ubiquity is not a passing phase; semiconductors underpin every major technology wave on the horizon, from generative AI and autonomous vehicles to 6G telecommunications and edge computing.</w:t>
      </w:r>
    </w:p>
    <w:p w14:paraId="084A808D" w14:textId="15F6588C" w:rsidR="002F3390" w:rsidRDefault="00541BA1">
      <w:pPr>
        <w:spacing w:after="200" w:line="312" w:lineRule="auto"/>
      </w:pPr>
      <w:r>
        <w:t xml:space="preserve">But the very forces driving demand are also driving complexity to unprecedented levels. As structures shrink below five nm, design rule sets expand dramatically, verification burdens multiply, and the number of mask layers needed for fabrication grows disproportionately with each node. McKinsey’s research has documented this problem bluntly: average design complexity is growing faster than average design productivity, even as the industry increases its reliance on reusable IP. A single leading-edge chip at </w:t>
      </w:r>
      <w:r>
        <w:t>the 3nm node can cost upward of $500 million in R&amp;D — a figure only a handful of end markets can justify. Few companies worldwide are even capable of designing and manufacturing chips below 14nm, because the requisite skills, capital, and organizational discipline form an extraordinarily high barrier to entry.</w:t>
      </w:r>
    </w:p>
    <w:p w14:paraId="2D325C1E" w14:textId="77777777" w:rsidR="002F3390" w:rsidRDefault="00541BA1">
      <w:pPr>
        <w:pStyle w:val="Heading1"/>
        <w:pBdr>
          <w:bottom w:val="single" w:sz="4" w:space="8" w:color="1B3A5C"/>
        </w:pBdr>
      </w:pPr>
      <w:r>
        <w:t>The Tapeout Timeline Problem</w:t>
      </w:r>
    </w:p>
    <w:p w14:paraId="0004BBE6" w14:textId="77777777" w:rsidR="002F3390" w:rsidRDefault="00541BA1">
      <w:pPr>
        <w:spacing w:after="200" w:line="312" w:lineRule="auto"/>
      </w:pPr>
      <w:r>
        <w:t>The most consequential pressure facing the industry today is the collision between lengthening design cycles and accelerating market windows. Some advanced designs now take three to five years from concept to first silicon — a timeline that is untenable in markets where product generations turn over in twelve to eighteen months. Deloitte’s semiconductor outlook has emphasized what the industry calls a “shift-left” imperative: moving quality, validation, and optimization activities earlier in the design proc</w:t>
      </w:r>
      <w:r>
        <w:t xml:space="preserve">ess so that downstream iterations shrink and the overall schedule compresses. This is not merely an efficiency preference; </w:t>
      </w:r>
      <w:r>
        <w:rPr>
          <w:b/>
          <w:bCs/>
        </w:rPr>
        <w:t>it is an economic survival strategy</w:t>
      </w:r>
      <w:r>
        <w:t>. The semiconductor industry’s winner-take-all dynamics — documented by McKinsey across multiple semiconductor market studies — mean that the company whose chip reaches market six months ahead of its competitor often captures the vast majority of available segment revenue.</w:t>
      </w:r>
    </w:p>
    <w:p w14:paraId="50A92797" w14:textId="77777777" w:rsidR="002F3390" w:rsidRDefault="00541BA1">
      <w:pPr>
        <w:spacing w:after="200" w:line="312" w:lineRule="auto"/>
      </w:pPr>
      <w:r>
        <w:t xml:space="preserve">The talent dimension compounds the challenge. Deloitte estimated that the industry needs to add roughly one million skilled workers by 2030. Two years into that forecast, available indicators suggest the gap has continued to widen — the workforce is aging, particularly in </w:t>
      </w:r>
      <w:r>
        <w:lastRenderedPageBreak/>
        <w:t>the United States and Europe, and the pipeline of new graduates trained in chip design is not keeping pace. Every open engineering position represents potential velocity lost in the tapeout race. AI-driven design tools, already demonstrating the ability to reduce certain design cycle phases by up to 40 percent, are increasingly viewed not as optional enhancements but as the primary mechanism for closing this productivity gap.</w:t>
      </w:r>
    </w:p>
    <w:p w14:paraId="0460BF2D" w14:textId="77777777" w:rsidR="002F3390" w:rsidRDefault="00541BA1">
      <w:pPr>
        <w:pStyle w:val="Heading1"/>
        <w:pBdr>
          <w:bottom w:val="single" w:sz="4" w:space="8" w:color="1B3A5C"/>
        </w:pBdr>
      </w:pPr>
      <w:r>
        <w:t>The Competitive Advantage of AI-First Design</w:t>
      </w:r>
    </w:p>
    <w:p w14:paraId="0E92D13B" w14:textId="77777777" w:rsidR="002F3390" w:rsidRDefault="00541BA1">
      <w:pPr>
        <w:spacing w:after="200" w:line="312" w:lineRule="auto"/>
      </w:pPr>
      <w:r>
        <w:t xml:space="preserve">Companies that embed AI into their design workflows — at both the chip and system level — will enjoy compounding advantages. Deloitte reported that semiconductor companies invested approximately $300 million in AI-based design tools in 2023, a figure expected to exceed $500 million by 2026, and 72 percent of semiconductor professionals surveyed believe that generative AI’s impact on the industry will be high to transformative. Those investments are already translating into measurable returns across several </w:t>
      </w:r>
      <w:r>
        <w:t>dimensions.</w:t>
      </w:r>
    </w:p>
    <w:p w14:paraId="31717A88" w14:textId="77777777" w:rsidR="002F3390" w:rsidRDefault="00541BA1">
      <w:pPr>
        <w:spacing w:after="200" w:line="312" w:lineRule="auto"/>
      </w:pPr>
      <w:r>
        <w:rPr>
          <w:b/>
          <w:bCs/>
        </w:rPr>
        <w:t xml:space="preserve">Speed to market </w:t>
      </w:r>
      <w:r>
        <w:t xml:space="preserve">is perhaps the most valuable advantage. AI-augmented teams compress tapeout timelines, enabling earlier market entry in an industry where McKinsey has documented that even slightly superior products capture outsize revenue. </w:t>
      </w:r>
      <w:r>
        <w:rPr>
          <w:b/>
          <w:bCs/>
        </w:rPr>
        <w:t xml:space="preserve">Design quality </w:t>
      </w:r>
      <w:r>
        <w:t xml:space="preserve">improves because AI explores solution spaces orders of magnitude larger than manual methods, yielding better power-performance-area tradeoffs, fewer silicon respins, and higher first-pass yield. </w:t>
      </w:r>
      <w:r>
        <w:rPr>
          <w:b/>
          <w:bCs/>
        </w:rPr>
        <w:t xml:space="preserve">Talent leverage </w:t>
      </w:r>
      <w:r>
        <w:t xml:space="preserve">grows as AI acts as a </w:t>
      </w:r>
      <w:r>
        <w:rPr>
          <w:b/>
          <w:bCs/>
        </w:rPr>
        <w:t>force multiplier</w:t>
      </w:r>
      <w:r>
        <w:t xml:space="preserve"> for scarce engineering teams — Deloitte found that 46 percent of semiconductor leaders are already investing in upskilling programs for AI-driven workflows.</w:t>
      </w:r>
    </w:p>
    <w:p w14:paraId="04EA31FE" w14:textId="77777777" w:rsidR="002F3390" w:rsidRDefault="00541BA1">
      <w:pPr>
        <w:pStyle w:val="Heading1"/>
        <w:pBdr>
          <w:bottom w:val="single" w:sz="4" w:space="8" w:color="1B3A5C"/>
        </w:pBdr>
      </w:pPr>
      <w:r>
        <w:t>Conclusion: Adapt or Fall Behind</w:t>
      </w:r>
    </w:p>
    <w:p w14:paraId="278C9240" w14:textId="77777777" w:rsidR="002F3390" w:rsidRDefault="00541BA1">
      <w:pPr>
        <w:spacing w:after="200" w:line="312" w:lineRule="auto"/>
      </w:pPr>
      <w:r>
        <w:t>Silicon ubiquity is a permanent feature of the technological landscape, and the design complexity that accompanies it will only increase. McKinsey’s analysis shows that the industry’s dynamics reward leaders disproportionately, while laggards face margin pressure and market share erosion. AI-driven design is rapidly becoming the dividing line between these two groups. The organizations that treat it as a core strategic capability — not an experimental add-on — will define the next decade of semiconductor an</w:t>
      </w:r>
      <w:r>
        <w:t>d system innovation. Those that wait will find the gap increasingly difficult to close.</w:t>
      </w:r>
    </w:p>
    <w:p w14:paraId="1C000001" w14:textId="77777777" w:rsidR="002F3390" w:rsidRDefault="00541BA1">
      <w:pPr>
        <w:pStyle w:val="Heading1"/>
        <w:pBdr>
          <w:bottom w:val="single" w:sz="4" w:space="8" w:color="1B3A5C"/>
        </w:pBdr>
      </w:pPr>
      <w:r>
        <w:t>About CaretEDA</w:t>
      </w:r>
    </w:p>
    <w:p w14:paraId="1C000002" w14:textId="55ED6BF5" w:rsidR="002F3390" w:rsidRDefault="00541BA1">
      <w:pPr>
        <w:spacing w:after="200" w:line="312" w:lineRule="auto"/>
      </w:pPr>
      <w:r>
        <w:lastRenderedPageBreak/>
        <w:t xml:space="preserve">CaretEDA develops AI-native design tools for semiconductor engineering teams. Its </w:t>
      </w:r>
      <w:r>
        <w:rPr>
          <w:b/>
          <w:bCs/>
        </w:rPr>
        <w:t>Spec-to-Netlist™</w:t>
      </w:r>
      <w:r>
        <w:t xml:space="preserve"> platform is built on four pillars: Knowledge Compounding, Deterministic Agentic Flows, Tool Optionality, and </w:t>
      </w:r>
      <w:r w:rsidR="00673077">
        <w:t xml:space="preserve">an </w:t>
      </w:r>
      <w:r>
        <w:t xml:space="preserve">Intelligent Model Fabric. To learn more or request a demo, contact </w:t>
      </w:r>
      <w:hyperlink r:id="rId6" w:history="1">
        <w:r>
          <w:rPr>
            <w:rStyle w:val="Hyperlink"/>
          </w:rPr>
          <w:t>info@careteda.com</w:t>
        </w:r>
      </w:hyperlink>
      <w:r>
        <w:t>.</w:t>
      </w:r>
    </w:p>
    <w:p w14:paraId="06D03971" w14:textId="77777777" w:rsidR="002F3390" w:rsidRDefault="00541BA1">
      <w:pPr>
        <w:spacing w:before="300" w:after="300"/>
        <w:jc w:val="center"/>
      </w:pPr>
      <w:r>
        <w:rPr>
          <w:rFonts w:ascii="Arial" w:eastAsia="Arial" w:hAnsi="Arial" w:cs="Arial"/>
          <w:color w:val="AAAAAA"/>
          <w:sz w:val="20"/>
          <w:szCs w:val="20"/>
        </w:rPr>
        <w:t>•  •  •</w:t>
      </w:r>
    </w:p>
    <w:p w14:paraId="7D385367" w14:textId="77777777" w:rsidR="002F3390" w:rsidRDefault="00541BA1">
      <w:pPr>
        <w:spacing w:after="200" w:line="312" w:lineRule="auto"/>
      </w:pPr>
      <w:r>
        <w:rPr>
          <w:rFonts w:ascii="Arial" w:eastAsia="Arial" w:hAnsi="Arial" w:cs="Arial"/>
          <w:b/>
          <w:bCs/>
          <w:color w:val="1B3A5C"/>
          <w:sz w:val="20"/>
          <w:szCs w:val="20"/>
        </w:rPr>
        <w:t>Sources and References</w:t>
      </w:r>
    </w:p>
    <w:p w14:paraId="74E48ED3" w14:textId="77777777" w:rsidR="002F3390" w:rsidRDefault="002F3390">
      <w:pPr>
        <w:spacing w:before="100" w:after="100"/>
      </w:pPr>
    </w:p>
    <w:p w14:paraId="7F4830F4" w14:textId="77777777" w:rsidR="002F3390" w:rsidRDefault="00541BA1">
      <w:pPr>
        <w:spacing w:after="200" w:line="312" w:lineRule="auto"/>
      </w:pPr>
      <w:r>
        <w:rPr>
          <w:i/>
          <w:iCs/>
          <w:sz w:val="20"/>
          <w:szCs w:val="20"/>
        </w:rPr>
        <w:t xml:space="preserve">McKinsey &amp; Company, </w:t>
      </w:r>
      <w:r>
        <w:rPr>
          <w:sz w:val="20"/>
          <w:szCs w:val="20"/>
        </w:rPr>
        <w:t>“Semiconductor Design and Manufacturing: Achieving Leading-Edge Capabilities,” 2020; “What Happens When Chip-Design Complexity Outpaces Development Productivity,” McKinsey on Semiconductors; “Hiding in Plain Sight: The Underestimated Size of the Semiconductor Industry,” January 2026.</w:t>
      </w:r>
    </w:p>
    <w:p w14:paraId="0F8B0E09" w14:textId="77777777" w:rsidR="002F3390" w:rsidRDefault="00541BA1">
      <w:pPr>
        <w:spacing w:after="200" w:line="312" w:lineRule="auto"/>
      </w:pPr>
      <w:r>
        <w:rPr>
          <w:i/>
          <w:iCs/>
          <w:sz w:val="20"/>
          <w:szCs w:val="20"/>
        </w:rPr>
        <w:t xml:space="preserve">Deloitte, </w:t>
      </w:r>
      <w:r>
        <w:rPr>
          <w:sz w:val="20"/>
          <w:szCs w:val="20"/>
        </w:rPr>
        <w:t>“2025 Global Semiconductor Industry Outlook”; “2026 Semiconductor Industry Outlook,” February 2026; “AI in Chip Design,” TMT Predictions; “GenAI and the Semiconductor Value Chain”; “Semiconductor Talent Transformation Study,” 2025.</w:t>
      </w:r>
    </w:p>
    <w:sectPr w:rsidR="002F339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474AC"/>
    <w:multiLevelType w:val="hybridMultilevel"/>
    <w:tmpl w:val="739EDCCA"/>
    <w:lvl w:ilvl="0" w:tplc="CE1C908A">
      <w:start w:val="1"/>
      <w:numFmt w:val="bullet"/>
      <w:lvlText w:val="●"/>
      <w:lvlJc w:val="left"/>
      <w:pPr>
        <w:ind w:left="720" w:hanging="360"/>
      </w:pPr>
    </w:lvl>
    <w:lvl w:ilvl="1" w:tplc="6AF4A10E">
      <w:start w:val="1"/>
      <w:numFmt w:val="bullet"/>
      <w:lvlText w:val="○"/>
      <w:lvlJc w:val="left"/>
      <w:pPr>
        <w:ind w:left="1440" w:hanging="360"/>
      </w:pPr>
    </w:lvl>
    <w:lvl w:ilvl="2" w:tplc="0FB28AF0">
      <w:start w:val="1"/>
      <w:numFmt w:val="bullet"/>
      <w:lvlText w:val="■"/>
      <w:lvlJc w:val="left"/>
      <w:pPr>
        <w:ind w:left="2160" w:hanging="360"/>
      </w:pPr>
    </w:lvl>
    <w:lvl w:ilvl="3" w:tplc="99689FE4">
      <w:start w:val="1"/>
      <w:numFmt w:val="bullet"/>
      <w:lvlText w:val="●"/>
      <w:lvlJc w:val="left"/>
      <w:pPr>
        <w:ind w:left="2880" w:hanging="360"/>
      </w:pPr>
    </w:lvl>
    <w:lvl w:ilvl="4" w:tplc="87E01C4C">
      <w:start w:val="1"/>
      <w:numFmt w:val="bullet"/>
      <w:lvlText w:val="○"/>
      <w:lvlJc w:val="left"/>
      <w:pPr>
        <w:ind w:left="3600" w:hanging="360"/>
      </w:pPr>
    </w:lvl>
    <w:lvl w:ilvl="5" w:tplc="F90A79A0">
      <w:start w:val="1"/>
      <w:numFmt w:val="bullet"/>
      <w:lvlText w:val="■"/>
      <w:lvlJc w:val="left"/>
      <w:pPr>
        <w:ind w:left="4320" w:hanging="360"/>
      </w:pPr>
    </w:lvl>
    <w:lvl w:ilvl="6" w:tplc="7F485BC4">
      <w:start w:val="1"/>
      <w:numFmt w:val="bullet"/>
      <w:lvlText w:val="●"/>
      <w:lvlJc w:val="left"/>
      <w:pPr>
        <w:ind w:left="5040" w:hanging="360"/>
      </w:pPr>
    </w:lvl>
    <w:lvl w:ilvl="7" w:tplc="CE029FD4">
      <w:start w:val="1"/>
      <w:numFmt w:val="bullet"/>
      <w:lvlText w:val="●"/>
      <w:lvlJc w:val="left"/>
      <w:pPr>
        <w:ind w:left="5760" w:hanging="360"/>
      </w:pPr>
    </w:lvl>
    <w:lvl w:ilvl="8" w:tplc="168A2788">
      <w:start w:val="1"/>
      <w:numFmt w:val="bullet"/>
      <w:lvlText w:val="●"/>
      <w:lvlJc w:val="left"/>
      <w:pPr>
        <w:ind w:left="6480" w:hanging="360"/>
      </w:pPr>
    </w:lvl>
  </w:abstractNum>
  <w:num w:numId="1" w16cid:durableId="269900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390"/>
    <w:rsid w:val="00040BA4"/>
    <w:rsid w:val="002F3390"/>
    <w:rsid w:val="00490B52"/>
    <w:rsid w:val="0061623A"/>
    <w:rsid w:val="00673077"/>
    <w:rsid w:val="00D66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7FB6F"/>
  <w15:docId w15:val="{D55C171D-224E-432A-86CB-39A6DD930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rFonts w:ascii="Arial" w:eastAsia="Arial" w:hAnsi="Arial" w:cs="Arial"/>
      <w:b/>
      <w:bCs/>
      <w:color w:val="1B3A5C"/>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490B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careteda.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989</Words>
  <Characters>5970</Characters>
  <Application>Microsoft Office Word</Application>
  <DocSecurity>0</DocSecurity>
  <Lines>99</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Sashi Obilisetty</cp:lastModifiedBy>
  <cp:revision>2</cp:revision>
  <dcterms:created xsi:type="dcterms:W3CDTF">2026-03-17T21:13:00Z</dcterms:created>
  <dcterms:modified xsi:type="dcterms:W3CDTF">2026-03-17T21:13:00Z</dcterms:modified>
</cp:coreProperties>
</file>