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215" w:rsidRPr="002055B9" w:rsidRDefault="006C7DC6" w:rsidP="002055B9">
      <w:pPr>
        <w:jc w:val="center"/>
        <w:rPr>
          <w:b/>
          <w:sz w:val="28"/>
          <w:szCs w:val="28"/>
        </w:rPr>
      </w:pPr>
      <w:r w:rsidRPr="002055B9">
        <w:rPr>
          <w:b/>
          <w:sz w:val="28"/>
          <w:szCs w:val="28"/>
        </w:rPr>
        <w:t>Carey Lab Reservoir Water Chemistry Metadata</w:t>
      </w:r>
    </w:p>
    <w:p w:rsidR="005E7F4B" w:rsidRDefault="005E7F4B" w:rsidP="006C7DC6">
      <w:pPr>
        <w:rPr>
          <w:b/>
        </w:rPr>
      </w:pPr>
      <w:r>
        <w:rPr>
          <w:b/>
        </w:rPr>
        <w:t>DATE ISSUED</w:t>
      </w:r>
    </w:p>
    <w:p w:rsidR="005E7F4B" w:rsidRPr="005E7F4B" w:rsidRDefault="005E7F4B" w:rsidP="006C7DC6">
      <w:r>
        <w:t>23Mar16</w:t>
      </w:r>
    </w:p>
    <w:p w:rsidR="00534424" w:rsidRDefault="00534424" w:rsidP="006C7DC6">
      <w:pPr>
        <w:rPr>
          <w:b/>
        </w:rPr>
      </w:pPr>
    </w:p>
    <w:p w:rsidR="005E7F4B" w:rsidRDefault="005E7F4B" w:rsidP="006C7DC6">
      <w:pPr>
        <w:rPr>
          <w:b/>
        </w:rPr>
      </w:pPr>
      <w:r>
        <w:rPr>
          <w:b/>
        </w:rPr>
        <w:t>ABSTRACT</w:t>
      </w:r>
    </w:p>
    <w:p w:rsidR="005E7F4B" w:rsidRPr="005E7F4B" w:rsidRDefault="005E7F4B" w:rsidP="006C7DC6">
      <w:r>
        <w:t xml:space="preserve">All water chemistry data was collected from reservoirs in southwest Virginia (SWVA) for research projects in Dr. </w:t>
      </w:r>
      <w:proofErr w:type="spellStart"/>
      <w:r>
        <w:t>Cayelan</w:t>
      </w:r>
      <w:proofErr w:type="spellEnd"/>
      <w:r>
        <w:t xml:space="preserve"> Carey’s lab at Virginia Tech in the Biological Sciences department.  Data collection began in 2013 with a broad survey of 15 SWVA reservoirs; thus, while many reservoirs were sampled in 2013, each was sampled only once or twice</w:t>
      </w:r>
      <w:r w:rsidR="00534424">
        <w:t xml:space="preserve"> and the chemistry variables</w:t>
      </w:r>
      <w:r>
        <w:t xml:space="preserve"> available for this year are more limited than in subsequent years.  In 2014, focus was limited to 7 reservoirs but sampling was conducted more regularly and so a bi-weekly or weekly time series of the stratified period could be constructed across several chemistry parameters for most sampled reservoirs in 2014.  In 2015, focus was further refined to only 5 reservoirs, 4 of which are owned and operated by the Western Virginia Water Authority (WVWA).  These reservoirs were sampled at least bi-weekly throughout the stratified period, and represent the most extensive chemistry datasets the lab has collected to date.</w:t>
      </w:r>
    </w:p>
    <w:p w:rsidR="00534424" w:rsidRDefault="00534424" w:rsidP="006C7DC6">
      <w:pPr>
        <w:rPr>
          <w:b/>
        </w:rPr>
      </w:pPr>
    </w:p>
    <w:p w:rsidR="00863A0B" w:rsidRDefault="00863A0B" w:rsidP="006C7DC6">
      <w:pPr>
        <w:rPr>
          <w:b/>
        </w:rPr>
      </w:pPr>
      <w:r>
        <w:rPr>
          <w:b/>
        </w:rPr>
        <w:t>LOCATION</w:t>
      </w:r>
    </w:p>
    <w:p w:rsidR="00863A0B" w:rsidRDefault="00863A0B" w:rsidP="006C7DC6">
      <w:r>
        <w:t xml:space="preserve">All chemistry data from 2013-2015 are stored under the “Data” tab at </w:t>
      </w:r>
      <w:hyperlink r:id="rId5" w:history="1">
        <w:r w:rsidRPr="00863A0B">
          <w:rPr>
            <w:rStyle w:val="Hyperlink"/>
          </w:rPr>
          <w:t>carey.biol.vt.edu</w:t>
        </w:r>
      </w:hyperlink>
      <w:r>
        <w:t>.</w:t>
      </w:r>
    </w:p>
    <w:p w:rsidR="00534424" w:rsidRDefault="00534424" w:rsidP="006C7DC6">
      <w:pPr>
        <w:rPr>
          <w:b/>
        </w:rPr>
      </w:pPr>
    </w:p>
    <w:p w:rsidR="00863A0B" w:rsidRDefault="00863A0B" w:rsidP="006C7DC6">
      <w:pPr>
        <w:rPr>
          <w:b/>
        </w:rPr>
      </w:pPr>
      <w:r>
        <w:rPr>
          <w:b/>
        </w:rPr>
        <w:t>ORGANIZATION</w:t>
      </w:r>
      <w:r w:rsidR="00953AAF">
        <w:rPr>
          <w:b/>
        </w:rPr>
        <w:t xml:space="preserve"> AND FILE NAMES</w:t>
      </w:r>
    </w:p>
    <w:p w:rsidR="00863A0B" w:rsidRDefault="00863A0B" w:rsidP="006C7DC6">
      <w:r>
        <w:t xml:space="preserve">Data are organized by reservoir, then by year.  There are data from 15 different southwest Virginia reservoirs in 2013, from 7 reservoirs in 2014, and from 5 reservoirs in 2015.  All files are in .csv format.  </w:t>
      </w:r>
    </w:p>
    <w:p w:rsidR="00863A0B" w:rsidRDefault="00863A0B" w:rsidP="006C7DC6">
      <w:r>
        <w:t>Each reservoir has been given a three letter code.  This code is followed by the year in which the water chemistry data was collected, and finally the word “Chemistry” to distinguish it from other data files for each reservoir.</w:t>
      </w:r>
    </w:p>
    <w:p w:rsidR="00534424" w:rsidRDefault="00534424" w:rsidP="006C7DC6"/>
    <w:p w:rsidR="00863A0B" w:rsidRDefault="00953AAF" w:rsidP="006C7DC6">
      <w:r>
        <w:rPr>
          <w:noProof/>
          <w:sz w:val="32"/>
          <w:szCs w:val="32"/>
        </w:rPr>
        <mc:AlternateContent>
          <mc:Choice Requires="wps">
            <w:drawing>
              <wp:anchor distT="0" distB="0" distL="114300" distR="114300" simplePos="0" relativeHeight="251660288" behindDoc="0" locked="0" layoutInCell="1" allowOverlap="1" wp14:anchorId="7FC56572" wp14:editId="52D1D42D">
                <wp:simplePos x="0" y="0"/>
                <wp:positionH relativeFrom="column">
                  <wp:posOffset>2254250</wp:posOffset>
                </wp:positionH>
                <wp:positionV relativeFrom="paragraph">
                  <wp:posOffset>262255</wp:posOffset>
                </wp:positionV>
                <wp:extent cx="482600" cy="260350"/>
                <wp:effectExtent l="0" t="0" r="12700" b="25400"/>
                <wp:wrapNone/>
                <wp:docPr id="2" name="Oval 2"/>
                <wp:cNvGraphicFramePr/>
                <a:graphic xmlns:a="http://schemas.openxmlformats.org/drawingml/2006/main">
                  <a:graphicData uri="http://schemas.microsoft.com/office/word/2010/wordprocessingShape">
                    <wps:wsp>
                      <wps:cNvSpPr/>
                      <wps:spPr>
                        <a:xfrm>
                          <a:off x="0" y="0"/>
                          <a:ext cx="482600" cy="2603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46B841" id="Oval 2" o:spid="_x0000_s1026" style="position:absolute;margin-left:177.5pt;margin-top:20.65pt;width:38pt;height:2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" filled="f" strokecolor="#1f4d78 [1604]" strokeweight="1pt">
                <v:stroke joinstyle="miter"/>
              </v:oval>
            </w:pict>
          </mc:Fallback>
        </mc:AlternateContent>
      </w:r>
      <w:r w:rsidR="00863A0B">
        <w:rPr>
          <w:noProof/>
        </w:rPr>
        <mc:AlternateContent>
          <mc:Choice Requires="wps">
            <w:drawing>
              <wp:anchor distT="0" distB="0" distL="114300" distR="114300" simplePos="0" relativeHeight="251659264" behindDoc="0" locked="0" layoutInCell="1" allowOverlap="1" wp14:anchorId="4082AFD0" wp14:editId="709F85F7">
                <wp:simplePos x="0" y="0"/>
                <wp:positionH relativeFrom="column">
                  <wp:posOffset>1911350</wp:posOffset>
                </wp:positionH>
                <wp:positionV relativeFrom="paragraph">
                  <wp:posOffset>262255</wp:posOffset>
                </wp:positionV>
                <wp:extent cx="425450" cy="304800"/>
                <wp:effectExtent l="0" t="0" r="12700" b="19050"/>
                <wp:wrapNone/>
                <wp:docPr id="1" name="Oval 1"/>
                <wp:cNvGraphicFramePr/>
                <a:graphic xmlns:a="http://schemas.openxmlformats.org/drawingml/2006/main">
                  <a:graphicData uri="http://schemas.microsoft.com/office/word/2010/wordprocessingShape">
                    <wps:wsp>
                      <wps:cNvSpPr/>
                      <wps:spPr>
                        <a:xfrm>
                          <a:off x="0" y="0"/>
                          <a:ext cx="425450" cy="30480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906C1E" id="Oval 1" o:spid="_x0000_s1026" style="position:absolute;margin-left:150.5pt;margin-top:20.65pt;width:33.5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" filled="f" strokecolor="#70ad47 [3209]" strokeweight="1pt">
                <v:stroke joinstyle="miter"/>
              </v:oval>
            </w:pict>
          </mc:Fallback>
        </mc:AlternateContent>
      </w:r>
      <w:r w:rsidR="00863A0B">
        <w:t>Example:</w:t>
      </w:r>
    </w:p>
    <w:p w:rsidR="00863A0B" w:rsidRPr="00863A0B" w:rsidRDefault="00953AAF" w:rsidP="00863A0B">
      <w:pPr>
        <w:jc w:val="center"/>
        <w:rPr>
          <w:sz w:val="32"/>
          <w:szCs w:val="32"/>
        </w:rPr>
      </w:pPr>
      <w:r>
        <w:rPr>
          <w:noProof/>
          <w:sz w:val="32"/>
          <w:szCs w:val="32"/>
        </w:rPr>
        <mc:AlternateContent>
          <mc:Choice Requires="wps">
            <w:drawing>
              <wp:anchor distT="0" distB="0" distL="114300" distR="114300" simplePos="0" relativeHeight="251662336" behindDoc="0" locked="0" layoutInCell="1" allowOverlap="1" wp14:anchorId="08E06624" wp14:editId="23BB1A91">
                <wp:simplePos x="0" y="0"/>
                <wp:positionH relativeFrom="column">
                  <wp:posOffset>2609850</wp:posOffset>
                </wp:positionH>
                <wp:positionV relativeFrom="paragraph">
                  <wp:posOffset>236855</wp:posOffset>
                </wp:positionV>
                <wp:extent cx="800100" cy="406400"/>
                <wp:effectExtent l="0" t="0" r="76200" b="50800"/>
                <wp:wrapNone/>
                <wp:docPr id="4" name="Straight Arrow Connector 4"/>
                <wp:cNvGraphicFramePr/>
                <a:graphic xmlns:a="http://schemas.openxmlformats.org/drawingml/2006/main">
                  <a:graphicData uri="http://schemas.microsoft.com/office/word/2010/wordprocessingShape">
                    <wps:wsp>
                      <wps:cNvCnPr/>
                      <wps:spPr>
                        <a:xfrm>
                          <a:off x="0" y="0"/>
                          <a:ext cx="800100" cy="40640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258974" id="_x0000_t32" coordsize="21600,21600" o:spt="32" o:oned="t" path="m,l21600,21600e" filled="f">
                <v:path arrowok="t" fillok="f" o:connecttype="none"/>
                <o:lock v:ext="edit" shapetype="t"/>
              </v:shapetype>
              <v:shape id="Straight Arrow Connector 4" o:spid="_x0000_s1026" type="#_x0000_t32" style="position:absolute;margin-left:205.5pt;margin-top:18.65pt;width:63pt;height: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" strokecolor="#2e74b5 [2404]" strokeweight=".5pt">
                <v:stroke endarrow="block" joinstyle="miter"/>
              </v:shape>
            </w:pict>
          </mc:Fallback>
        </mc:AlternateContent>
      </w:r>
      <w:r>
        <w:rPr>
          <w:noProof/>
          <w:sz w:val="32"/>
          <w:szCs w:val="32"/>
        </w:rPr>
        <mc:AlternateContent>
          <mc:Choice Requires="wps">
            <w:drawing>
              <wp:anchor distT="0" distB="0" distL="114300" distR="114300" simplePos="0" relativeHeight="251661312" behindDoc="0" locked="0" layoutInCell="1" allowOverlap="1" wp14:anchorId="4337BF27" wp14:editId="4CAD07F8">
                <wp:simplePos x="0" y="0"/>
                <wp:positionH relativeFrom="column">
                  <wp:posOffset>1504950</wp:posOffset>
                </wp:positionH>
                <wp:positionV relativeFrom="paragraph">
                  <wp:posOffset>236855</wp:posOffset>
                </wp:positionV>
                <wp:extent cx="406400" cy="355600"/>
                <wp:effectExtent l="38100" t="0" r="31750" b="63500"/>
                <wp:wrapNone/>
                <wp:docPr id="3" name="Straight Arrow Connector 3"/>
                <wp:cNvGraphicFramePr/>
                <a:graphic xmlns:a="http://schemas.openxmlformats.org/drawingml/2006/main">
                  <a:graphicData uri="http://schemas.microsoft.com/office/word/2010/wordprocessingShape">
                    <wps:wsp>
                      <wps:cNvCnPr/>
                      <wps:spPr>
                        <a:xfrm flipH="1">
                          <a:off x="0" y="0"/>
                          <a:ext cx="406400" cy="355600"/>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3A79B0" id="Straight Arrow Connector 3" o:spid="_x0000_s1026" type="#_x0000_t32" style="position:absolute;margin-left:118.5pt;margin-top:18.65pt;width:32pt;height:28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" strokecolor="#538135 [2409]" strokeweight=".5pt">
                <v:stroke endarrow="block" joinstyle="miter"/>
              </v:shape>
            </w:pict>
          </mc:Fallback>
        </mc:AlternateContent>
      </w:r>
      <w:r w:rsidR="00863A0B" w:rsidRPr="00863A0B">
        <w:rPr>
          <w:sz w:val="32"/>
          <w:szCs w:val="32"/>
        </w:rPr>
        <w:t>CCR2013_Chemistry.csv</w:t>
      </w:r>
    </w:p>
    <w:p w:rsidR="00953AAF" w:rsidRDefault="00953AAF" w:rsidP="006C7DC6"/>
    <w:p w:rsidR="00863A0B" w:rsidRPr="00863A0B" w:rsidRDefault="00953AAF" w:rsidP="006C7DC6">
      <w:r>
        <w:t xml:space="preserve">Reservoir code for </w:t>
      </w:r>
      <w:proofErr w:type="spellStart"/>
      <w:r>
        <w:t>Carvin’s</w:t>
      </w:r>
      <w:proofErr w:type="spellEnd"/>
      <w:r>
        <w:t xml:space="preserve"> Cove Reservoir</w:t>
      </w:r>
      <w:r>
        <w:tab/>
      </w:r>
      <w:r>
        <w:tab/>
        <w:t>year in which data was collected</w:t>
      </w:r>
      <w:r>
        <w:tab/>
      </w:r>
      <w:r>
        <w:tab/>
      </w:r>
    </w:p>
    <w:p w:rsidR="00534424" w:rsidRDefault="00534424" w:rsidP="006C7DC6">
      <w:pPr>
        <w:rPr>
          <w:b/>
        </w:rPr>
      </w:pPr>
    </w:p>
    <w:p w:rsidR="00534424" w:rsidRDefault="00534424" w:rsidP="006C7DC6">
      <w:pPr>
        <w:rPr>
          <w:b/>
        </w:rPr>
      </w:pPr>
    </w:p>
    <w:p w:rsidR="00534424" w:rsidRDefault="00534424" w:rsidP="006C7DC6">
      <w:pPr>
        <w:rPr>
          <w:b/>
        </w:rPr>
      </w:pPr>
    </w:p>
    <w:p w:rsidR="00863A0B" w:rsidRDefault="00953AAF" w:rsidP="006C7DC6">
      <w:pPr>
        <w:rPr>
          <w:b/>
        </w:rPr>
      </w:pPr>
      <w:r>
        <w:rPr>
          <w:b/>
        </w:rPr>
        <w:lastRenderedPageBreak/>
        <w:t>RESERVOIR CODES</w:t>
      </w:r>
    </w:p>
    <w:p w:rsidR="00953AAF" w:rsidRDefault="00953AAF" w:rsidP="00953AAF">
      <w:pPr>
        <w:spacing w:after="0"/>
      </w:pPr>
      <w:r>
        <w:t>ANN – Lake Anna</w:t>
      </w:r>
    </w:p>
    <w:p w:rsidR="00953AAF" w:rsidRDefault="00953AAF" w:rsidP="00953AAF">
      <w:pPr>
        <w:spacing w:after="0"/>
      </w:pPr>
      <w:r>
        <w:t xml:space="preserve">BVR – </w:t>
      </w:r>
      <w:proofErr w:type="spellStart"/>
      <w:r>
        <w:t>Beaverdam</w:t>
      </w:r>
      <w:proofErr w:type="spellEnd"/>
      <w:r>
        <w:t xml:space="preserve"> Reservoir</w:t>
      </w:r>
    </w:p>
    <w:p w:rsidR="00953AAF" w:rsidRDefault="00953AAF" w:rsidP="00953AAF">
      <w:pPr>
        <w:spacing w:after="0"/>
      </w:pPr>
      <w:r>
        <w:t xml:space="preserve">CCR – </w:t>
      </w:r>
      <w:proofErr w:type="spellStart"/>
      <w:r>
        <w:t>Carvin’s</w:t>
      </w:r>
      <w:proofErr w:type="spellEnd"/>
      <w:r>
        <w:t xml:space="preserve"> Cove Reservoir</w:t>
      </w:r>
    </w:p>
    <w:p w:rsidR="00953AAF" w:rsidRDefault="00953AAF" w:rsidP="00953AAF">
      <w:pPr>
        <w:spacing w:after="0"/>
      </w:pPr>
      <w:r>
        <w:t xml:space="preserve">CLY – </w:t>
      </w:r>
      <w:proofErr w:type="spellStart"/>
      <w:r>
        <w:t>Claytor</w:t>
      </w:r>
      <w:proofErr w:type="spellEnd"/>
      <w:r>
        <w:t xml:space="preserve"> Lake</w:t>
      </w:r>
    </w:p>
    <w:p w:rsidR="00953AAF" w:rsidRDefault="00953AAF" w:rsidP="00953AAF">
      <w:pPr>
        <w:spacing w:after="0"/>
      </w:pPr>
      <w:r>
        <w:t>DUC – Virginia Tech Duck Pond</w:t>
      </w:r>
    </w:p>
    <w:p w:rsidR="00953AAF" w:rsidRDefault="00953AAF" w:rsidP="00953AAF">
      <w:pPr>
        <w:spacing w:after="0"/>
      </w:pPr>
      <w:r>
        <w:t>FCR – Falling Creek Reservoir</w:t>
      </w:r>
    </w:p>
    <w:p w:rsidR="00953AAF" w:rsidRDefault="00953AAF" w:rsidP="00953AAF">
      <w:pPr>
        <w:spacing w:after="0"/>
      </w:pPr>
      <w:r>
        <w:t xml:space="preserve">FRY – </w:t>
      </w:r>
      <w:proofErr w:type="spellStart"/>
      <w:r>
        <w:t>Fairystone</w:t>
      </w:r>
      <w:proofErr w:type="spellEnd"/>
      <w:r>
        <w:t xml:space="preserve"> Lake</w:t>
      </w:r>
    </w:p>
    <w:p w:rsidR="00953AAF" w:rsidRDefault="00953AAF" w:rsidP="00953AAF">
      <w:pPr>
        <w:spacing w:after="0"/>
      </w:pPr>
      <w:r>
        <w:t>GWR – Gatewood Reservoir</w:t>
      </w:r>
    </w:p>
    <w:p w:rsidR="00953AAF" w:rsidRDefault="00953AAF" w:rsidP="00953AAF">
      <w:pPr>
        <w:spacing w:after="0"/>
      </w:pPr>
      <w:r>
        <w:t>LEE – Leesville Lake</w:t>
      </w:r>
    </w:p>
    <w:p w:rsidR="00953AAF" w:rsidRDefault="00953AAF" w:rsidP="00953AAF">
      <w:pPr>
        <w:spacing w:after="0"/>
      </w:pPr>
      <w:r>
        <w:t>MEG – Meg’s Pond</w:t>
      </w:r>
    </w:p>
    <w:p w:rsidR="00953AAF" w:rsidRDefault="00953AAF" w:rsidP="00953AAF">
      <w:pPr>
        <w:spacing w:after="0"/>
      </w:pPr>
      <w:r>
        <w:t xml:space="preserve">MOO – Lake </w:t>
      </w:r>
      <w:proofErr w:type="spellStart"/>
      <w:r>
        <w:t>Moomaw</w:t>
      </w:r>
      <w:proofErr w:type="spellEnd"/>
    </w:p>
    <w:p w:rsidR="00953AAF" w:rsidRDefault="00953AAF" w:rsidP="00953AAF">
      <w:pPr>
        <w:spacing w:after="0"/>
      </w:pPr>
      <w:r>
        <w:t>MTN – Mountain Lake</w:t>
      </w:r>
    </w:p>
    <w:p w:rsidR="00953AAF" w:rsidRDefault="00953AAF" w:rsidP="00953AAF">
      <w:pPr>
        <w:spacing w:after="0"/>
      </w:pPr>
      <w:r>
        <w:t xml:space="preserve">PND – Lake </w:t>
      </w:r>
      <w:proofErr w:type="spellStart"/>
      <w:r>
        <w:t>Pandapas</w:t>
      </w:r>
      <w:proofErr w:type="spellEnd"/>
    </w:p>
    <w:p w:rsidR="00953AAF" w:rsidRDefault="00953AAF" w:rsidP="00953AAF">
      <w:pPr>
        <w:spacing w:after="0"/>
      </w:pPr>
      <w:r>
        <w:t>POT – Philpott Lake</w:t>
      </w:r>
    </w:p>
    <w:p w:rsidR="00953AAF" w:rsidRDefault="00953AAF" w:rsidP="00953AAF">
      <w:pPr>
        <w:spacing w:after="0"/>
      </w:pPr>
      <w:r>
        <w:t>SHR – Spring Hollow Reservoir</w:t>
      </w:r>
    </w:p>
    <w:p w:rsidR="00953AAF" w:rsidRPr="00953AAF" w:rsidRDefault="00953AAF" w:rsidP="00953AAF">
      <w:r>
        <w:t>SML – Smith Mountain Lake</w:t>
      </w:r>
    </w:p>
    <w:p w:rsidR="00534424" w:rsidRDefault="00534424" w:rsidP="00953AAF">
      <w:pPr>
        <w:rPr>
          <w:b/>
        </w:rPr>
      </w:pPr>
    </w:p>
    <w:p w:rsidR="00953AAF" w:rsidRDefault="00953AAF" w:rsidP="00953AAF">
      <w:pPr>
        <w:rPr>
          <w:b/>
        </w:rPr>
      </w:pPr>
      <w:r>
        <w:rPr>
          <w:b/>
        </w:rPr>
        <w:t>FILE TABLE</w:t>
      </w:r>
    </w:p>
    <w:p w:rsidR="00953AAF" w:rsidRDefault="00953AAF" w:rsidP="00953AAF">
      <w:r>
        <w:t xml:space="preserve">Cells marked with an “x” indicate that a chemistry file exists for that reservoir in that year.  </w:t>
      </w:r>
    </w:p>
    <w:tbl>
      <w:tblPr>
        <w:tblStyle w:val="TableGrid"/>
        <w:tblW w:w="0" w:type="auto"/>
        <w:tblLook w:val="04A0" w:firstRow="1" w:lastRow="0" w:firstColumn="1" w:lastColumn="0" w:noHBand="0" w:noVBand="1"/>
      </w:tblPr>
      <w:tblGrid>
        <w:gridCol w:w="1986"/>
        <w:gridCol w:w="979"/>
        <w:gridCol w:w="900"/>
        <w:gridCol w:w="900"/>
      </w:tblGrid>
      <w:tr w:rsidR="005E7F4B" w:rsidTr="00665D05">
        <w:tc>
          <w:tcPr>
            <w:tcW w:w="1986" w:type="dxa"/>
          </w:tcPr>
          <w:p w:rsidR="005E7F4B" w:rsidRPr="00953AAF" w:rsidRDefault="005E7F4B" w:rsidP="00953AAF">
            <w:pPr>
              <w:rPr>
                <w:b/>
              </w:rPr>
            </w:pPr>
            <w:r>
              <w:rPr>
                <w:b/>
              </w:rPr>
              <w:t>Reservoir</w:t>
            </w:r>
          </w:p>
        </w:tc>
        <w:tc>
          <w:tcPr>
            <w:tcW w:w="2779" w:type="dxa"/>
            <w:gridSpan w:val="3"/>
          </w:tcPr>
          <w:p w:rsidR="005E7F4B" w:rsidRPr="00953AAF" w:rsidRDefault="005E7F4B" w:rsidP="00953AAF">
            <w:pPr>
              <w:jc w:val="center"/>
              <w:rPr>
                <w:b/>
              </w:rPr>
            </w:pPr>
            <w:r>
              <w:rPr>
                <w:b/>
              </w:rPr>
              <w:t>Year</w:t>
            </w:r>
          </w:p>
        </w:tc>
      </w:tr>
      <w:tr w:rsidR="005E7F4B" w:rsidTr="00665D05">
        <w:tc>
          <w:tcPr>
            <w:tcW w:w="1986" w:type="dxa"/>
          </w:tcPr>
          <w:p w:rsidR="005E7F4B" w:rsidRDefault="005E7F4B" w:rsidP="00953AAF"/>
        </w:tc>
        <w:tc>
          <w:tcPr>
            <w:tcW w:w="979" w:type="dxa"/>
          </w:tcPr>
          <w:p w:rsidR="005E7F4B" w:rsidRDefault="005E7F4B" w:rsidP="00953AAF">
            <w:pPr>
              <w:jc w:val="center"/>
            </w:pPr>
            <w:r>
              <w:t>2013</w:t>
            </w:r>
          </w:p>
        </w:tc>
        <w:tc>
          <w:tcPr>
            <w:tcW w:w="900" w:type="dxa"/>
          </w:tcPr>
          <w:p w:rsidR="005E7F4B" w:rsidRDefault="005E7F4B" w:rsidP="00953AAF">
            <w:pPr>
              <w:jc w:val="center"/>
            </w:pPr>
            <w:r>
              <w:t>2014</w:t>
            </w:r>
          </w:p>
        </w:tc>
        <w:tc>
          <w:tcPr>
            <w:tcW w:w="900" w:type="dxa"/>
          </w:tcPr>
          <w:p w:rsidR="005E7F4B" w:rsidRDefault="005E7F4B" w:rsidP="00953AAF">
            <w:pPr>
              <w:jc w:val="center"/>
            </w:pPr>
            <w:r>
              <w:t>2015</w:t>
            </w:r>
          </w:p>
        </w:tc>
      </w:tr>
      <w:tr w:rsidR="005E7F4B" w:rsidTr="00665D05">
        <w:tc>
          <w:tcPr>
            <w:tcW w:w="1986" w:type="dxa"/>
          </w:tcPr>
          <w:p w:rsidR="005E7F4B" w:rsidRDefault="005E7F4B" w:rsidP="00953AAF">
            <w:r>
              <w:t>ANN</w:t>
            </w:r>
          </w:p>
        </w:tc>
        <w:tc>
          <w:tcPr>
            <w:tcW w:w="979" w:type="dxa"/>
          </w:tcPr>
          <w:p w:rsidR="005E7F4B" w:rsidRDefault="005E7F4B" w:rsidP="00953AAF">
            <w:r>
              <w:t>X</w:t>
            </w:r>
          </w:p>
        </w:tc>
        <w:tc>
          <w:tcPr>
            <w:tcW w:w="900" w:type="dxa"/>
          </w:tcPr>
          <w:p w:rsidR="005E7F4B" w:rsidRDefault="005E7F4B" w:rsidP="00953AAF"/>
        </w:tc>
        <w:tc>
          <w:tcPr>
            <w:tcW w:w="900" w:type="dxa"/>
          </w:tcPr>
          <w:p w:rsidR="005E7F4B" w:rsidRDefault="005E7F4B" w:rsidP="00953AAF"/>
        </w:tc>
      </w:tr>
      <w:tr w:rsidR="005E7F4B" w:rsidTr="00665D05">
        <w:tc>
          <w:tcPr>
            <w:tcW w:w="1986" w:type="dxa"/>
          </w:tcPr>
          <w:p w:rsidR="005E7F4B" w:rsidRDefault="005E7F4B" w:rsidP="00953AAF">
            <w:r>
              <w:t>BVR</w:t>
            </w:r>
          </w:p>
        </w:tc>
        <w:tc>
          <w:tcPr>
            <w:tcW w:w="979" w:type="dxa"/>
          </w:tcPr>
          <w:p w:rsidR="005E7F4B" w:rsidRDefault="005E7F4B" w:rsidP="00953AAF">
            <w:r>
              <w:t>X</w:t>
            </w:r>
          </w:p>
        </w:tc>
        <w:tc>
          <w:tcPr>
            <w:tcW w:w="900" w:type="dxa"/>
          </w:tcPr>
          <w:p w:rsidR="005E7F4B" w:rsidRDefault="005E7F4B" w:rsidP="00953AAF">
            <w:r>
              <w:t>X</w:t>
            </w:r>
          </w:p>
        </w:tc>
        <w:tc>
          <w:tcPr>
            <w:tcW w:w="900" w:type="dxa"/>
          </w:tcPr>
          <w:p w:rsidR="005E7F4B" w:rsidRDefault="005E7F4B" w:rsidP="00953AAF">
            <w:r>
              <w:t>X</w:t>
            </w:r>
          </w:p>
        </w:tc>
      </w:tr>
      <w:tr w:rsidR="005E7F4B" w:rsidTr="00665D05">
        <w:tc>
          <w:tcPr>
            <w:tcW w:w="1986" w:type="dxa"/>
          </w:tcPr>
          <w:p w:rsidR="005E7F4B" w:rsidRDefault="005E7F4B" w:rsidP="00953AAF">
            <w:r>
              <w:t>CCR</w:t>
            </w:r>
          </w:p>
        </w:tc>
        <w:tc>
          <w:tcPr>
            <w:tcW w:w="979" w:type="dxa"/>
          </w:tcPr>
          <w:p w:rsidR="005E7F4B" w:rsidRDefault="005E7F4B" w:rsidP="00953AAF">
            <w:r>
              <w:t>X</w:t>
            </w:r>
          </w:p>
        </w:tc>
        <w:tc>
          <w:tcPr>
            <w:tcW w:w="900" w:type="dxa"/>
          </w:tcPr>
          <w:p w:rsidR="005E7F4B" w:rsidRDefault="005E7F4B" w:rsidP="00953AAF">
            <w:r>
              <w:t>X</w:t>
            </w:r>
          </w:p>
        </w:tc>
        <w:tc>
          <w:tcPr>
            <w:tcW w:w="900" w:type="dxa"/>
          </w:tcPr>
          <w:p w:rsidR="005E7F4B" w:rsidRDefault="005E7F4B" w:rsidP="00953AAF">
            <w:r>
              <w:t>X</w:t>
            </w:r>
          </w:p>
        </w:tc>
      </w:tr>
      <w:tr w:rsidR="005E7F4B" w:rsidTr="00665D05">
        <w:tc>
          <w:tcPr>
            <w:tcW w:w="1986" w:type="dxa"/>
          </w:tcPr>
          <w:p w:rsidR="005E7F4B" w:rsidRDefault="005E7F4B" w:rsidP="00953AAF">
            <w:r>
              <w:t>CLY</w:t>
            </w:r>
          </w:p>
        </w:tc>
        <w:tc>
          <w:tcPr>
            <w:tcW w:w="979" w:type="dxa"/>
          </w:tcPr>
          <w:p w:rsidR="005E7F4B" w:rsidRDefault="005E7F4B" w:rsidP="00953AAF">
            <w:r>
              <w:t>X</w:t>
            </w:r>
          </w:p>
        </w:tc>
        <w:tc>
          <w:tcPr>
            <w:tcW w:w="900" w:type="dxa"/>
          </w:tcPr>
          <w:p w:rsidR="005E7F4B" w:rsidRDefault="005E7F4B" w:rsidP="00953AAF">
            <w:r>
              <w:t>X</w:t>
            </w:r>
          </w:p>
        </w:tc>
        <w:tc>
          <w:tcPr>
            <w:tcW w:w="900" w:type="dxa"/>
          </w:tcPr>
          <w:p w:rsidR="005E7F4B" w:rsidRDefault="005E7F4B" w:rsidP="00953AAF"/>
        </w:tc>
      </w:tr>
      <w:tr w:rsidR="005E7F4B" w:rsidTr="00665D05">
        <w:tc>
          <w:tcPr>
            <w:tcW w:w="1986" w:type="dxa"/>
          </w:tcPr>
          <w:p w:rsidR="005E7F4B" w:rsidRDefault="005E7F4B" w:rsidP="00953AAF">
            <w:r>
              <w:t>DUC</w:t>
            </w:r>
          </w:p>
        </w:tc>
        <w:tc>
          <w:tcPr>
            <w:tcW w:w="979" w:type="dxa"/>
          </w:tcPr>
          <w:p w:rsidR="005E7F4B" w:rsidRDefault="005E7F4B" w:rsidP="00953AAF">
            <w:r>
              <w:t>X</w:t>
            </w:r>
          </w:p>
        </w:tc>
        <w:tc>
          <w:tcPr>
            <w:tcW w:w="900" w:type="dxa"/>
          </w:tcPr>
          <w:p w:rsidR="005E7F4B" w:rsidRDefault="005E7F4B" w:rsidP="00953AAF"/>
        </w:tc>
        <w:tc>
          <w:tcPr>
            <w:tcW w:w="900" w:type="dxa"/>
          </w:tcPr>
          <w:p w:rsidR="005E7F4B" w:rsidRDefault="005E7F4B" w:rsidP="00953AAF"/>
        </w:tc>
      </w:tr>
      <w:tr w:rsidR="005E7F4B" w:rsidTr="00665D05">
        <w:tc>
          <w:tcPr>
            <w:tcW w:w="1986" w:type="dxa"/>
          </w:tcPr>
          <w:p w:rsidR="005E7F4B" w:rsidRDefault="005E7F4B" w:rsidP="00953AAF">
            <w:r>
              <w:t>FCR</w:t>
            </w:r>
          </w:p>
        </w:tc>
        <w:tc>
          <w:tcPr>
            <w:tcW w:w="979" w:type="dxa"/>
          </w:tcPr>
          <w:p w:rsidR="005E7F4B" w:rsidRDefault="005E7F4B" w:rsidP="00953AAF">
            <w:r>
              <w:t>X</w:t>
            </w:r>
          </w:p>
        </w:tc>
        <w:tc>
          <w:tcPr>
            <w:tcW w:w="900" w:type="dxa"/>
          </w:tcPr>
          <w:p w:rsidR="005E7F4B" w:rsidRDefault="005E7F4B" w:rsidP="00953AAF">
            <w:r>
              <w:t>X</w:t>
            </w:r>
          </w:p>
        </w:tc>
        <w:tc>
          <w:tcPr>
            <w:tcW w:w="900" w:type="dxa"/>
          </w:tcPr>
          <w:p w:rsidR="005E7F4B" w:rsidRDefault="005E7F4B" w:rsidP="00953AAF">
            <w:r>
              <w:t>X</w:t>
            </w:r>
          </w:p>
        </w:tc>
      </w:tr>
      <w:tr w:rsidR="005E7F4B" w:rsidTr="00665D05">
        <w:tc>
          <w:tcPr>
            <w:tcW w:w="1986" w:type="dxa"/>
          </w:tcPr>
          <w:p w:rsidR="005E7F4B" w:rsidRDefault="005E7F4B" w:rsidP="00953AAF">
            <w:r>
              <w:t>FRY</w:t>
            </w:r>
          </w:p>
        </w:tc>
        <w:tc>
          <w:tcPr>
            <w:tcW w:w="979" w:type="dxa"/>
          </w:tcPr>
          <w:p w:rsidR="005E7F4B" w:rsidRDefault="005E7F4B" w:rsidP="00953AAF">
            <w:r>
              <w:t>X</w:t>
            </w:r>
          </w:p>
        </w:tc>
        <w:tc>
          <w:tcPr>
            <w:tcW w:w="900" w:type="dxa"/>
          </w:tcPr>
          <w:p w:rsidR="005E7F4B" w:rsidRDefault="005E7F4B" w:rsidP="00953AAF"/>
        </w:tc>
        <w:tc>
          <w:tcPr>
            <w:tcW w:w="900" w:type="dxa"/>
          </w:tcPr>
          <w:p w:rsidR="005E7F4B" w:rsidRDefault="005E7F4B" w:rsidP="00953AAF"/>
        </w:tc>
      </w:tr>
      <w:tr w:rsidR="005E7F4B" w:rsidTr="00665D05">
        <w:tc>
          <w:tcPr>
            <w:tcW w:w="1986" w:type="dxa"/>
          </w:tcPr>
          <w:p w:rsidR="005E7F4B" w:rsidRDefault="005E7F4B" w:rsidP="00953AAF">
            <w:r>
              <w:t>GWR</w:t>
            </w:r>
          </w:p>
        </w:tc>
        <w:tc>
          <w:tcPr>
            <w:tcW w:w="979" w:type="dxa"/>
          </w:tcPr>
          <w:p w:rsidR="005E7F4B" w:rsidRDefault="005E7F4B" w:rsidP="00953AAF">
            <w:r>
              <w:t>X</w:t>
            </w:r>
          </w:p>
        </w:tc>
        <w:tc>
          <w:tcPr>
            <w:tcW w:w="900" w:type="dxa"/>
          </w:tcPr>
          <w:p w:rsidR="005E7F4B" w:rsidRDefault="005E7F4B" w:rsidP="00953AAF">
            <w:r>
              <w:t>X</w:t>
            </w:r>
          </w:p>
        </w:tc>
        <w:tc>
          <w:tcPr>
            <w:tcW w:w="900" w:type="dxa"/>
          </w:tcPr>
          <w:p w:rsidR="005E7F4B" w:rsidRDefault="005E7F4B" w:rsidP="00953AAF">
            <w:r>
              <w:t>X</w:t>
            </w:r>
          </w:p>
        </w:tc>
      </w:tr>
      <w:tr w:rsidR="005E7F4B" w:rsidTr="00665D05">
        <w:tc>
          <w:tcPr>
            <w:tcW w:w="1986" w:type="dxa"/>
          </w:tcPr>
          <w:p w:rsidR="005E7F4B" w:rsidRDefault="005E7F4B" w:rsidP="00953AAF">
            <w:r>
              <w:t>LEE</w:t>
            </w:r>
          </w:p>
        </w:tc>
        <w:tc>
          <w:tcPr>
            <w:tcW w:w="979" w:type="dxa"/>
          </w:tcPr>
          <w:p w:rsidR="005E7F4B" w:rsidRDefault="005E7F4B" w:rsidP="00953AAF">
            <w:r>
              <w:t>X</w:t>
            </w:r>
          </w:p>
        </w:tc>
        <w:tc>
          <w:tcPr>
            <w:tcW w:w="900" w:type="dxa"/>
          </w:tcPr>
          <w:p w:rsidR="005E7F4B" w:rsidRDefault="005E7F4B" w:rsidP="00953AAF"/>
        </w:tc>
        <w:tc>
          <w:tcPr>
            <w:tcW w:w="900" w:type="dxa"/>
          </w:tcPr>
          <w:p w:rsidR="005E7F4B" w:rsidRDefault="005E7F4B" w:rsidP="00953AAF"/>
        </w:tc>
      </w:tr>
      <w:tr w:rsidR="005E7F4B" w:rsidTr="00665D05">
        <w:tc>
          <w:tcPr>
            <w:tcW w:w="1986" w:type="dxa"/>
          </w:tcPr>
          <w:p w:rsidR="005E7F4B" w:rsidRDefault="005E7F4B" w:rsidP="00953AAF">
            <w:r>
              <w:t>MEG</w:t>
            </w:r>
          </w:p>
        </w:tc>
        <w:tc>
          <w:tcPr>
            <w:tcW w:w="979" w:type="dxa"/>
          </w:tcPr>
          <w:p w:rsidR="005E7F4B" w:rsidRDefault="005E7F4B" w:rsidP="00953AAF">
            <w:r>
              <w:t>X</w:t>
            </w:r>
          </w:p>
        </w:tc>
        <w:tc>
          <w:tcPr>
            <w:tcW w:w="900" w:type="dxa"/>
          </w:tcPr>
          <w:p w:rsidR="005E7F4B" w:rsidRDefault="005E7F4B" w:rsidP="00953AAF"/>
        </w:tc>
        <w:tc>
          <w:tcPr>
            <w:tcW w:w="900" w:type="dxa"/>
          </w:tcPr>
          <w:p w:rsidR="005E7F4B" w:rsidRDefault="005E7F4B" w:rsidP="00953AAF"/>
        </w:tc>
      </w:tr>
      <w:tr w:rsidR="005E7F4B" w:rsidTr="00665D05">
        <w:tc>
          <w:tcPr>
            <w:tcW w:w="1986" w:type="dxa"/>
          </w:tcPr>
          <w:p w:rsidR="005E7F4B" w:rsidRDefault="005E7F4B" w:rsidP="00953AAF">
            <w:r>
              <w:t>MOO</w:t>
            </w:r>
          </w:p>
        </w:tc>
        <w:tc>
          <w:tcPr>
            <w:tcW w:w="979" w:type="dxa"/>
          </w:tcPr>
          <w:p w:rsidR="005E7F4B" w:rsidRDefault="005E7F4B" w:rsidP="00953AAF">
            <w:r>
              <w:t>X</w:t>
            </w:r>
          </w:p>
        </w:tc>
        <w:tc>
          <w:tcPr>
            <w:tcW w:w="900" w:type="dxa"/>
          </w:tcPr>
          <w:p w:rsidR="005E7F4B" w:rsidRDefault="005E7F4B" w:rsidP="00953AAF"/>
        </w:tc>
        <w:tc>
          <w:tcPr>
            <w:tcW w:w="900" w:type="dxa"/>
          </w:tcPr>
          <w:p w:rsidR="005E7F4B" w:rsidRDefault="005E7F4B" w:rsidP="00953AAF"/>
        </w:tc>
      </w:tr>
      <w:tr w:rsidR="005E7F4B" w:rsidTr="00665D05">
        <w:tc>
          <w:tcPr>
            <w:tcW w:w="1986" w:type="dxa"/>
          </w:tcPr>
          <w:p w:rsidR="005E7F4B" w:rsidRDefault="005E7F4B" w:rsidP="00953AAF">
            <w:r>
              <w:t>MTN</w:t>
            </w:r>
          </w:p>
        </w:tc>
        <w:tc>
          <w:tcPr>
            <w:tcW w:w="979" w:type="dxa"/>
          </w:tcPr>
          <w:p w:rsidR="005E7F4B" w:rsidRDefault="005E7F4B" w:rsidP="00953AAF">
            <w:r>
              <w:t>X</w:t>
            </w:r>
          </w:p>
        </w:tc>
        <w:tc>
          <w:tcPr>
            <w:tcW w:w="900" w:type="dxa"/>
          </w:tcPr>
          <w:p w:rsidR="005E7F4B" w:rsidRDefault="005E7F4B" w:rsidP="00953AAF"/>
        </w:tc>
        <w:tc>
          <w:tcPr>
            <w:tcW w:w="900" w:type="dxa"/>
          </w:tcPr>
          <w:p w:rsidR="005E7F4B" w:rsidRDefault="005E7F4B" w:rsidP="00953AAF"/>
        </w:tc>
      </w:tr>
      <w:tr w:rsidR="005E7F4B" w:rsidTr="00665D05">
        <w:tc>
          <w:tcPr>
            <w:tcW w:w="1986" w:type="dxa"/>
          </w:tcPr>
          <w:p w:rsidR="005E7F4B" w:rsidRDefault="005E7F4B" w:rsidP="00953AAF">
            <w:r>
              <w:t>PND</w:t>
            </w:r>
          </w:p>
        </w:tc>
        <w:tc>
          <w:tcPr>
            <w:tcW w:w="979" w:type="dxa"/>
          </w:tcPr>
          <w:p w:rsidR="005E7F4B" w:rsidRDefault="005E7F4B" w:rsidP="00953AAF">
            <w:r>
              <w:t>X</w:t>
            </w:r>
          </w:p>
        </w:tc>
        <w:tc>
          <w:tcPr>
            <w:tcW w:w="900" w:type="dxa"/>
          </w:tcPr>
          <w:p w:rsidR="005E7F4B" w:rsidRDefault="005E7F4B" w:rsidP="00953AAF"/>
        </w:tc>
        <w:tc>
          <w:tcPr>
            <w:tcW w:w="900" w:type="dxa"/>
          </w:tcPr>
          <w:p w:rsidR="005E7F4B" w:rsidRDefault="005E7F4B" w:rsidP="00953AAF"/>
        </w:tc>
      </w:tr>
      <w:tr w:rsidR="005E7F4B" w:rsidTr="00665D05">
        <w:tc>
          <w:tcPr>
            <w:tcW w:w="1986" w:type="dxa"/>
          </w:tcPr>
          <w:p w:rsidR="005E7F4B" w:rsidRDefault="005E7F4B" w:rsidP="00953AAF">
            <w:r>
              <w:t>POT</w:t>
            </w:r>
          </w:p>
        </w:tc>
        <w:tc>
          <w:tcPr>
            <w:tcW w:w="979" w:type="dxa"/>
          </w:tcPr>
          <w:p w:rsidR="005E7F4B" w:rsidRDefault="005E7F4B" w:rsidP="00953AAF">
            <w:r>
              <w:t>X</w:t>
            </w:r>
          </w:p>
        </w:tc>
        <w:tc>
          <w:tcPr>
            <w:tcW w:w="900" w:type="dxa"/>
          </w:tcPr>
          <w:p w:rsidR="005E7F4B" w:rsidRDefault="005E7F4B" w:rsidP="00953AAF"/>
        </w:tc>
        <w:tc>
          <w:tcPr>
            <w:tcW w:w="900" w:type="dxa"/>
          </w:tcPr>
          <w:p w:rsidR="005E7F4B" w:rsidRDefault="005E7F4B" w:rsidP="00953AAF"/>
        </w:tc>
      </w:tr>
      <w:tr w:rsidR="005E7F4B" w:rsidTr="00665D05">
        <w:tc>
          <w:tcPr>
            <w:tcW w:w="1986" w:type="dxa"/>
          </w:tcPr>
          <w:p w:rsidR="005E7F4B" w:rsidRDefault="005E7F4B" w:rsidP="00953AAF">
            <w:r>
              <w:t>SHR</w:t>
            </w:r>
          </w:p>
        </w:tc>
        <w:tc>
          <w:tcPr>
            <w:tcW w:w="979" w:type="dxa"/>
          </w:tcPr>
          <w:p w:rsidR="005E7F4B" w:rsidRDefault="005E7F4B" w:rsidP="00953AAF">
            <w:r>
              <w:t>X</w:t>
            </w:r>
          </w:p>
        </w:tc>
        <w:tc>
          <w:tcPr>
            <w:tcW w:w="900" w:type="dxa"/>
          </w:tcPr>
          <w:p w:rsidR="005E7F4B" w:rsidRDefault="005E7F4B" w:rsidP="00953AAF">
            <w:r>
              <w:t>X</w:t>
            </w:r>
          </w:p>
        </w:tc>
        <w:tc>
          <w:tcPr>
            <w:tcW w:w="900" w:type="dxa"/>
          </w:tcPr>
          <w:p w:rsidR="005E7F4B" w:rsidRDefault="005E7F4B" w:rsidP="00953AAF">
            <w:r>
              <w:t>X</w:t>
            </w:r>
          </w:p>
        </w:tc>
      </w:tr>
      <w:tr w:rsidR="005E7F4B" w:rsidTr="00665D05">
        <w:tc>
          <w:tcPr>
            <w:tcW w:w="1986" w:type="dxa"/>
          </w:tcPr>
          <w:p w:rsidR="005E7F4B" w:rsidRDefault="005E7F4B" w:rsidP="00953AAF">
            <w:r>
              <w:t>SML</w:t>
            </w:r>
          </w:p>
        </w:tc>
        <w:tc>
          <w:tcPr>
            <w:tcW w:w="979" w:type="dxa"/>
          </w:tcPr>
          <w:p w:rsidR="005E7F4B" w:rsidRDefault="005E7F4B" w:rsidP="00953AAF">
            <w:r>
              <w:t>X</w:t>
            </w:r>
          </w:p>
        </w:tc>
        <w:tc>
          <w:tcPr>
            <w:tcW w:w="900" w:type="dxa"/>
          </w:tcPr>
          <w:p w:rsidR="005E7F4B" w:rsidRDefault="005E7F4B" w:rsidP="00953AAF">
            <w:r>
              <w:t>X</w:t>
            </w:r>
          </w:p>
        </w:tc>
        <w:tc>
          <w:tcPr>
            <w:tcW w:w="900" w:type="dxa"/>
          </w:tcPr>
          <w:p w:rsidR="005E7F4B" w:rsidRDefault="005E7F4B" w:rsidP="00953AAF"/>
        </w:tc>
      </w:tr>
    </w:tbl>
    <w:p w:rsidR="00953AAF" w:rsidRPr="00953AAF" w:rsidRDefault="00953AAF" w:rsidP="00953AAF"/>
    <w:p w:rsidR="00534424" w:rsidRDefault="00534424" w:rsidP="00953AAF">
      <w:pPr>
        <w:rPr>
          <w:b/>
        </w:rPr>
      </w:pPr>
    </w:p>
    <w:p w:rsidR="00534424" w:rsidRDefault="00534424" w:rsidP="00953AAF">
      <w:pPr>
        <w:rPr>
          <w:b/>
        </w:rPr>
      </w:pPr>
    </w:p>
    <w:p w:rsidR="002B4E29" w:rsidRDefault="002B4E29" w:rsidP="00953AAF">
      <w:pPr>
        <w:rPr>
          <w:b/>
        </w:rPr>
      </w:pPr>
      <w:r>
        <w:rPr>
          <w:b/>
        </w:rPr>
        <w:lastRenderedPageBreak/>
        <w:t>FILE FORMAT</w:t>
      </w:r>
    </w:p>
    <w:p w:rsidR="002B4E29" w:rsidRDefault="002B4E29" w:rsidP="00953AAF">
      <w:r>
        <w:t>All files are in .csv format.</w:t>
      </w:r>
    </w:p>
    <w:tbl>
      <w:tblPr>
        <w:tblStyle w:val="TableGrid"/>
        <w:tblW w:w="0" w:type="auto"/>
        <w:tblLook w:val="04A0" w:firstRow="1" w:lastRow="0" w:firstColumn="1" w:lastColumn="0" w:noHBand="0" w:noVBand="1"/>
      </w:tblPr>
      <w:tblGrid>
        <w:gridCol w:w="2245"/>
        <w:gridCol w:w="7105"/>
      </w:tblGrid>
      <w:tr w:rsidR="003A5871" w:rsidTr="003A5871">
        <w:tc>
          <w:tcPr>
            <w:tcW w:w="2245" w:type="dxa"/>
          </w:tcPr>
          <w:p w:rsidR="003A5871" w:rsidRPr="003A5871" w:rsidRDefault="003A5871" w:rsidP="00953AAF">
            <w:pPr>
              <w:rPr>
                <w:b/>
              </w:rPr>
            </w:pPr>
            <w:r>
              <w:rPr>
                <w:b/>
              </w:rPr>
              <w:t>Column Heading</w:t>
            </w:r>
          </w:p>
        </w:tc>
        <w:tc>
          <w:tcPr>
            <w:tcW w:w="7105" w:type="dxa"/>
          </w:tcPr>
          <w:p w:rsidR="003A5871" w:rsidRPr="003A5871" w:rsidRDefault="003A5871" w:rsidP="00953AAF">
            <w:pPr>
              <w:rPr>
                <w:b/>
              </w:rPr>
            </w:pPr>
            <w:r>
              <w:rPr>
                <w:b/>
              </w:rPr>
              <w:t>Column Contents &amp; Format</w:t>
            </w:r>
          </w:p>
        </w:tc>
      </w:tr>
      <w:tr w:rsidR="003A5871" w:rsidTr="003A5871">
        <w:tc>
          <w:tcPr>
            <w:tcW w:w="2245" w:type="dxa"/>
          </w:tcPr>
          <w:p w:rsidR="003A5871" w:rsidRDefault="003A5871" w:rsidP="00953AAF">
            <w:r>
              <w:t>Reservoir</w:t>
            </w:r>
          </w:p>
        </w:tc>
        <w:tc>
          <w:tcPr>
            <w:tcW w:w="7105" w:type="dxa"/>
          </w:tcPr>
          <w:p w:rsidR="003A5871" w:rsidRDefault="003A5871" w:rsidP="00953AAF">
            <w:r>
              <w:t>three-letter code corresponding to reservoir or lake name (ex: BVR)</w:t>
            </w:r>
          </w:p>
        </w:tc>
      </w:tr>
      <w:tr w:rsidR="003A5871" w:rsidTr="003A5871">
        <w:tc>
          <w:tcPr>
            <w:tcW w:w="2245" w:type="dxa"/>
          </w:tcPr>
          <w:p w:rsidR="003A5871" w:rsidRDefault="003A5871" w:rsidP="00953AAF">
            <w:r>
              <w:t>Year</w:t>
            </w:r>
          </w:p>
        </w:tc>
        <w:tc>
          <w:tcPr>
            <w:tcW w:w="7105" w:type="dxa"/>
          </w:tcPr>
          <w:p w:rsidR="003A5871" w:rsidRDefault="003A5871" w:rsidP="00953AAF">
            <w:r>
              <w:t>year in which data was collected (ex: 2013)</w:t>
            </w:r>
          </w:p>
        </w:tc>
      </w:tr>
      <w:tr w:rsidR="003A5871" w:rsidTr="003A5871">
        <w:tc>
          <w:tcPr>
            <w:tcW w:w="2245" w:type="dxa"/>
          </w:tcPr>
          <w:p w:rsidR="003A5871" w:rsidRDefault="003A5871" w:rsidP="00953AAF">
            <w:r>
              <w:t>Date</w:t>
            </w:r>
          </w:p>
        </w:tc>
        <w:tc>
          <w:tcPr>
            <w:tcW w:w="7105" w:type="dxa"/>
          </w:tcPr>
          <w:p w:rsidR="003A5871" w:rsidRDefault="003A5871" w:rsidP="00953AAF">
            <w:r>
              <w:t>date and time as YYYY-MM-DD HH:MM:SS (ex: 2014-03-17 15:00:00)</w:t>
            </w:r>
          </w:p>
        </w:tc>
      </w:tr>
      <w:tr w:rsidR="003A5871" w:rsidTr="003A5871">
        <w:tc>
          <w:tcPr>
            <w:tcW w:w="2245" w:type="dxa"/>
          </w:tcPr>
          <w:p w:rsidR="003A5871" w:rsidRDefault="003A5871" w:rsidP="00953AAF">
            <w:r>
              <w:t>Depth</w:t>
            </w:r>
            <w:r w:rsidR="00F210E9">
              <w:t>*</w:t>
            </w:r>
          </w:p>
        </w:tc>
        <w:tc>
          <w:tcPr>
            <w:tcW w:w="7105" w:type="dxa"/>
          </w:tcPr>
          <w:p w:rsidR="003A5871" w:rsidRDefault="003A5871" w:rsidP="00953AAF">
            <w:r>
              <w:t>depth at which water sample was collected in meters (ex: 5)</w:t>
            </w:r>
          </w:p>
        </w:tc>
      </w:tr>
      <w:tr w:rsidR="003A5871" w:rsidTr="003A5871">
        <w:tc>
          <w:tcPr>
            <w:tcW w:w="2245" w:type="dxa"/>
          </w:tcPr>
          <w:p w:rsidR="003A5871" w:rsidRDefault="003A5871" w:rsidP="00953AAF">
            <w:proofErr w:type="spellStart"/>
            <w:r>
              <w:t>TN_ugL</w:t>
            </w:r>
            <w:proofErr w:type="spellEnd"/>
          </w:p>
        </w:tc>
        <w:tc>
          <w:tcPr>
            <w:tcW w:w="7105" w:type="dxa"/>
          </w:tcPr>
          <w:p w:rsidR="003A5871" w:rsidRDefault="003A5871" w:rsidP="00953AAF">
            <w:r>
              <w:t>total nitrogen in micrograms per liter</w:t>
            </w:r>
          </w:p>
        </w:tc>
      </w:tr>
      <w:tr w:rsidR="003A5871" w:rsidTr="003A5871">
        <w:tc>
          <w:tcPr>
            <w:tcW w:w="2245" w:type="dxa"/>
          </w:tcPr>
          <w:p w:rsidR="003A5871" w:rsidRDefault="003A5871" w:rsidP="00953AAF">
            <w:proofErr w:type="spellStart"/>
            <w:r>
              <w:t>TP_ugL</w:t>
            </w:r>
            <w:proofErr w:type="spellEnd"/>
          </w:p>
        </w:tc>
        <w:tc>
          <w:tcPr>
            <w:tcW w:w="7105" w:type="dxa"/>
          </w:tcPr>
          <w:p w:rsidR="003A5871" w:rsidRDefault="003A5871" w:rsidP="00953AAF">
            <w:r>
              <w:t>total phosphorus in micrograms per liter</w:t>
            </w:r>
          </w:p>
        </w:tc>
      </w:tr>
      <w:tr w:rsidR="003A5871" w:rsidTr="003A5871">
        <w:tc>
          <w:tcPr>
            <w:tcW w:w="2245" w:type="dxa"/>
          </w:tcPr>
          <w:p w:rsidR="003A5871" w:rsidRDefault="003A5871" w:rsidP="00953AAF">
            <w:proofErr w:type="spellStart"/>
            <w:r>
              <w:t>SRP_ugL</w:t>
            </w:r>
            <w:proofErr w:type="spellEnd"/>
          </w:p>
        </w:tc>
        <w:tc>
          <w:tcPr>
            <w:tcW w:w="7105" w:type="dxa"/>
          </w:tcPr>
          <w:p w:rsidR="003A5871" w:rsidRDefault="003A5871" w:rsidP="00953AAF">
            <w:r>
              <w:t>soluble reactive phosphorus in micrograms per liter</w:t>
            </w:r>
          </w:p>
        </w:tc>
      </w:tr>
      <w:tr w:rsidR="003A5871" w:rsidTr="003A5871">
        <w:tc>
          <w:tcPr>
            <w:tcW w:w="2245" w:type="dxa"/>
          </w:tcPr>
          <w:p w:rsidR="003A5871" w:rsidRDefault="003A5871" w:rsidP="00953AAF">
            <w:r>
              <w:t>NH4_ugL</w:t>
            </w:r>
          </w:p>
        </w:tc>
        <w:tc>
          <w:tcPr>
            <w:tcW w:w="7105" w:type="dxa"/>
          </w:tcPr>
          <w:p w:rsidR="003A5871" w:rsidRDefault="003A5871" w:rsidP="00953AAF">
            <w:r>
              <w:t>ammonia in micrograms per liter</w:t>
            </w:r>
          </w:p>
        </w:tc>
      </w:tr>
      <w:tr w:rsidR="003A5871" w:rsidTr="003A5871">
        <w:tc>
          <w:tcPr>
            <w:tcW w:w="2245" w:type="dxa"/>
          </w:tcPr>
          <w:p w:rsidR="003A5871" w:rsidRDefault="003A5871" w:rsidP="00953AAF">
            <w:r>
              <w:t>NO3NO2_ugL</w:t>
            </w:r>
          </w:p>
        </w:tc>
        <w:tc>
          <w:tcPr>
            <w:tcW w:w="7105" w:type="dxa"/>
          </w:tcPr>
          <w:p w:rsidR="003A5871" w:rsidRDefault="003A5871" w:rsidP="00953AAF">
            <w:r>
              <w:t>nitrate and nitrite in micrograms per liter</w:t>
            </w:r>
          </w:p>
        </w:tc>
      </w:tr>
      <w:tr w:rsidR="003A5871" w:rsidTr="003A5871">
        <w:tc>
          <w:tcPr>
            <w:tcW w:w="2245" w:type="dxa"/>
          </w:tcPr>
          <w:p w:rsidR="003A5871" w:rsidRDefault="003A5871" w:rsidP="00953AAF">
            <w:proofErr w:type="spellStart"/>
            <w:r>
              <w:t>DOC_mgL</w:t>
            </w:r>
            <w:proofErr w:type="spellEnd"/>
          </w:p>
        </w:tc>
        <w:tc>
          <w:tcPr>
            <w:tcW w:w="7105" w:type="dxa"/>
          </w:tcPr>
          <w:p w:rsidR="003A5871" w:rsidRDefault="003A5871" w:rsidP="00953AAF">
            <w:r>
              <w:t>dissolved organic carbon in milligrams per liter</w:t>
            </w:r>
          </w:p>
        </w:tc>
      </w:tr>
      <w:tr w:rsidR="003A5871" w:rsidTr="003A5871">
        <w:tc>
          <w:tcPr>
            <w:tcW w:w="2245" w:type="dxa"/>
          </w:tcPr>
          <w:p w:rsidR="003A5871" w:rsidRDefault="003A5871" w:rsidP="00953AAF">
            <w:proofErr w:type="spellStart"/>
            <w:r>
              <w:t>DIC_mgL</w:t>
            </w:r>
            <w:proofErr w:type="spellEnd"/>
          </w:p>
        </w:tc>
        <w:tc>
          <w:tcPr>
            <w:tcW w:w="7105" w:type="dxa"/>
          </w:tcPr>
          <w:p w:rsidR="003A5871" w:rsidRDefault="003A5871" w:rsidP="00953AAF">
            <w:r>
              <w:t>dissolved inorganic carbon in milligrams per liter</w:t>
            </w:r>
          </w:p>
        </w:tc>
      </w:tr>
      <w:tr w:rsidR="003A5871" w:rsidTr="003A5871">
        <w:tc>
          <w:tcPr>
            <w:tcW w:w="2245" w:type="dxa"/>
          </w:tcPr>
          <w:p w:rsidR="003A5871" w:rsidRDefault="003A5871" w:rsidP="00953AAF">
            <w:proofErr w:type="spellStart"/>
            <w:r>
              <w:t>TOC_mgL</w:t>
            </w:r>
            <w:proofErr w:type="spellEnd"/>
          </w:p>
        </w:tc>
        <w:tc>
          <w:tcPr>
            <w:tcW w:w="7105" w:type="dxa"/>
          </w:tcPr>
          <w:p w:rsidR="003A5871" w:rsidRDefault="003A5871" w:rsidP="00953AAF">
            <w:r>
              <w:t>total organic carbon in milligrams per liter</w:t>
            </w:r>
          </w:p>
        </w:tc>
      </w:tr>
      <w:tr w:rsidR="003A5871" w:rsidTr="003A5871">
        <w:tc>
          <w:tcPr>
            <w:tcW w:w="2245" w:type="dxa"/>
          </w:tcPr>
          <w:p w:rsidR="003A5871" w:rsidRDefault="003A5871" w:rsidP="00953AAF">
            <w:proofErr w:type="spellStart"/>
            <w:r>
              <w:t>TIC_mgL</w:t>
            </w:r>
            <w:proofErr w:type="spellEnd"/>
          </w:p>
        </w:tc>
        <w:tc>
          <w:tcPr>
            <w:tcW w:w="7105" w:type="dxa"/>
          </w:tcPr>
          <w:p w:rsidR="003A5871" w:rsidRDefault="003A5871" w:rsidP="00953AAF">
            <w:r>
              <w:t>total inorganic carbon in milligrams per liter</w:t>
            </w:r>
          </w:p>
        </w:tc>
      </w:tr>
      <w:tr w:rsidR="003A5871" w:rsidTr="003A5871">
        <w:tc>
          <w:tcPr>
            <w:tcW w:w="2245" w:type="dxa"/>
          </w:tcPr>
          <w:p w:rsidR="003A5871" w:rsidRDefault="003A5871" w:rsidP="00953AAF">
            <w:proofErr w:type="spellStart"/>
            <w:r>
              <w:t>DRSI_mgL</w:t>
            </w:r>
            <w:proofErr w:type="spellEnd"/>
          </w:p>
        </w:tc>
        <w:tc>
          <w:tcPr>
            <w:tcW w:w="7105" w:type="dxa"/>
          </w:tcPr>
          <w:p w:rsidR="003A5871" w:rsidRDefault="003A5871" w:rsidP="00953AAF">
            <w:r>
              <w:t>dissolved reactive silica in milligrams per liter</w:t>
            </w:r>
          </w:p>
        </w:tc>
      </w:tr>
      <w:tr w:rsidR="003A5871" w:rsidTr="003A5871">
        <w:tc>
          <w:tcPr>
            <w:tcW w:w="2245" w:type="dxa"/>
          </w:tcPr>
          <w:p w:rsidR="003A5871" w:rsidRDefault="003A5871" w:rsidP="00953AAF">
            <w:r>
              <w:t>CO2_ppm</w:t>
            </w:r>
          </w:p>
        </w:tc>
        <w:tc>
          <w:tcPr>
            <w:tcW w:w="7105" w:type="dxa"/>
          </w:tcPr>
          <w:p w:rsidR="003A5871" w:rsidRDefault="003A5871" w:rsidP="00953AAF">
            <w:r>
              <w:t>carbon dioxide in parts per million</w:t>
            </w:r>
          </w:p>
        </w:tc>
      </w:tr>
      <w:tr w:rsidR="003A5871" w:rsidTr="003A5871">
        <w:tc>
          <w:tcPr>
            <w:tcW w:w="2245" w:type="dxa"/>
          </w:tcPr>
          <w:p w:rsidR="003A5871" w:rsidRDefault="003A5871" w:rsidP="00953AAF">
            <w:r>
              <w:t>CH4_ppm</w:t>
            </w:r>
          </w:p>
        </w:tc>
        <w:tc>
          <w:tcPr>
            <w:tcW w:w="7105" w:type="dxa"/>
          </w:tcPr>
          <w:p w:rsidR="003A5871" w:rsidRDefault="003A5871" w:rsidP="00953AAF">
            <w:r>
              <w:t>methane in parts per million</w:t>
            </w:r>
          </w:p>
        </w:tc>
      </w:tr>
      <w:tr w:rsidR="00F210E9" w:rsidTr="003A5871">
        <w:tc>
          <w:tcPr>
            <w:tcW w:w="2245" w:type="dxa"/>
          </w:tcPr>
          <w:p w:rsidR="00F210E9" w:rsidRDefault="00F210E9" w:rsidP="00953AAF">
            <w:proofErr w:type="spellStart"/>
            <w:r>
              <w:t>infTPloads_g</w:t>
            </w:r>
            <w:proofErr w:type="spellEnd"/>
          </w:p>
        </w:tc>
        <w:tc>
          <w:tcPr>
            <w:tcW w:w="7105" w:type="dxa"/>
          </w:tcPr>
          <w:p w:rsidR="00F210E9" w:rsidRDefault="00F210E9" w:rsidP="00953AAF">
            <w:r>
              <w:t>total phosphorus loads at the primary surface water inflow of FCR in grams</w:t>
            </w:r>
          </w:p>
        </w:tc>
      </w:tr>
      <w:tr w:rsidR="003A5871" w:rsidTr="003A5871">
        <w:tc>
          <w:tcPr>
            <w:tcW w:w="2245" w:type="dxa"/>
          </w:tcPr>
          <w:p w:rsidR="003A5871" w:rsidRDefault="003A5871" w:rsidP="00953AAF">
            <w:r>
              <w:t>Notes</w:t>
            </w:r>
          </w:p>
        </w:tc>
        <w:tc>
          <w:tcPr>
            <w:tcW w:w="7105" w:type="dxa"/>
          </w:tcPr>
          <w:p w:rsidR="003A5871" w:rsidRDefault="003A5871" w:rsidP="00953AAF">
            <w:r>
              <w:t>irregularities in sample collection, storage, or analysis or any discrepancies would be written in this column</w:t>
            </w:r>
          </w:p>
        </w:tc>
      </w:tr>
    </w:tbl>
    <w:p w:rsidR="002B4E29" w:rsidRPr="002B4E29" w:rsidRDefault="00F210E9" w:rsidP="00953AAF">
      <w:r>
        <w:t xml:space="preserve">* </w:t>
      </w:r>
      <w:proofErr w:type="gramStart"/>
      <w:r>
        <w:t>the</w:t>
      </w:r>
      <w:proofErr w:type="gramEnd"/>
      <w:r>
        <w:t xml:space="preserve"> depth 999 is a code for the primary surface water inflow stream at FCR, not a depth reading of 999 meters</w:t>
      </w:r>
    </w:p>
    <w:p w:rsidR="00534424" w:rsidRDefault="00534424" w:rsidP="00953AAF">
      <w:pPr>
        <w:rPr>
          <w:b/>
        </w:rPr>
      </w:pPr>
    </w:p>
    <w:p w:rsidR="00F210E9" w:rsidRDefault="00F210E9" w:rsidP="00953AAF">
      <w:pPr>
        <w:rPr>
          <w:b/>
        </w:rPr>
      </w:pPr>
      <w:r>
        <w:rPr>
          <w:b/>
        </w:rPr>
        <w:t>DEPTHS</w:t>
      </w:r>
    </w:p>
    <w:p w:rsidR="00F210E9" w:rsidRDefault="00F210E9" w:rsidP="00953AAF">
      <w:r>
        <w:t>The table below describes which depths are sampled for the five most frequently sampled reservoirs.</w:t>
      </w:r>
    </w:p>
    <w:tbl>
      <w:tblPr>
        <w:tblStyle w:val="TableGrid"/>
        <w:tblW w:w="0" w:type="auto"/>
        <w:tblLook w:val="04A0" w:firstRow="1" w:lastRow="0" w:firstColumn="1" w:lastColumn="0" w:noHBand="0" w:noVBand="1"/>
      </w:tblPr>
      <w:tblGrid>
        <w:gridCol w:w="4675"/>
        <w:gridCol w:w="4675"/>
      </w:tblGrid>
      <w:tr w:rsidR="00534424" w:rsidTr="00534424">
        <w:tc>
          <w:tcPr>
            <w:tcW w:w="4675" w:type="dxa"/>
          </w:tcPr>
          <w:p w:rsidR="00534424" w:rsidRPr="00534424" w:rsidRDefault="00534424" w:rsidP="00953AAF">
            <w:pPr>
              <w:rPr>
                <w:b/>
              </w:rPr>
            </w:pPr>
            <w:r>
              <w:rPr>
                <w:b/>
              </w:rPr>
              <w:t>Reservoir</w:t>
            </w:r>
          </w:p>
        </w:tc>
        <w:tc>
          <w:tcPr>
            <w:tcW w:w="4675" w:type="dxa"/>
          </w:tcPr>
          <w:p w:rsidR="00534424" w:rsidRPr="00534424" w:rsidRDefault="00534424" w:rsidP="00953AAF">
            <w:pPr>
              <w:rPr>
                <w:b/>
              </w:rPr>
            </w:pPr>
            <w:r>
              <w:rPr>
                <w:b/>
              </w:rPr>
              <w:t>Depth</w:t>
            </w:r>
          </w:p>
        </w:tc>
      </w:tr>
      <w:tr w:rsidR="00534424" w:rsidTr="00534424">
        <w:tc>
          <w:tcPr>
            <w:tcW w:w="4675" w:type="dxa"/>
          </w:tcPr>
          <w:p w:rsidR="00534424" w:rsidRDefault="00534424" w:rsidP="00953AAF">
            <w:r>
              <w:t>BVR</w:t>
            </w:r>
          </w:p>
        </w:tc>
        <w:tc>
          <w:tcPr>
            <w:tcW w:w="4675" w:type="dxa"/>
          </w:tcPr>
          <w:p w:rsidR="00534424" w:rsidRDefault="00534424" w:rsidP="00953AAF">
            <w:r>
              <w:t>0, 3, 6, 9, 12</w:t>
            </w:r>
          </w:p>
        </w:tc>
      </w:tr>
      <w:tr w:rsidR="00534424" w:rsidTr="00534424">
        <w:tc>
          <w:tcPr>
            <w:tcW w:w="4675" w:type="dxa"/>
          </w:tcPr>
          <w:p w:rsidR="00534424" w:rsidRDefault="00534424" w:rsidP="00953AAF">
            <w:r>
              <w:t>CCR</w:t>
            </w:r>
          </w:p>
        </w:tc>
        <w:tc>
          <w:tcPr>
            <w:tcW w:w="4675" w:type="dxa"/>
          </w:tcPr>
          <w:p w:rsidR="00534424" w:rsidRDefault="00534424" w:rsidP="00953AAF">
            <w:r>
              <w:t xml:space="preserve">0, 6, 20 </w:t>
            </w:r>
          </w:p>
        </w:tc>
      </w:tr>
      <w:tr w:rsidR="00534424" w:rsidTr="00534424">
        <w:tc>
          <w:tcPr>
            <w:tcW w:w="4675" w:type="dxa"/>
          </w:tcPr>
          <w:p w:rsidR="00534424" w:rsidRDefault="00534424" w:rsidP="00953AAF">
            <w:r>
              <w:t>FCR</w:t>
            </w:r>
          </w:p>
        </w:tc>
        <w:tc>
          <w:tcPr>
            <w:tcW w:w="4675" w:type="dxa"/>
          </w:tcPr>
          <w:p w:rsidR="00534424" w:rsidRDefault="00534424" w:rsidP="00953AAF">
            <w:r>
              <w:t>0, 0.8*, 1.6, 2.8*, 3.8, 5, 6.2, 8, 9</w:t>
            </w:r>
          </w:p>
        </w:tc>
      </w:tr>
      <w:tr w:rsidR="00534424" w:rsidTr="00534424">
        <w:tc>
          <w:tcPr>
            <w:tcW w:w="4675" w:type="dxa"/>
          </w:tcPr>
          <w:p w:rsidR="00534424" w:rsidRDefault="00534424" w:rsidP="00953AAF">
            <w:r>
              <w:t>GWR</w:t>
            </w:r>
          </w:p>
        </w:tc>
        <w:tc>
          <w:tcPr>
            <w:tcW w:w="4675" w:type="dxa"/>
          </w:tcPr>
          <w:p w:rsidR="00534424" w:rsidRDefault="00534424" w:rsidP="00953AAF">
            <w:r>
              <w:t>0, 5, 9, 13</w:t>
            </w:r>
          </w:p>
        </w:tc>
      </w:tr>
      <w:tr w:rsidR="00534424" w:rsidTr="00534424">
        <w:tc>
          <w:tcPr>
            <w:tcW w:w="4675" w:type="dxa"/>
          </w:tcPr>
          <w:p w:rsidR="00534424" w:rsidRDefault="00534424" w:rsidP="00953AAF">
            <w:r>
              <w:t>SHR</w:t>
            </w:r>
          </w:p>
        </w:tc>
        <w:tc>
          <w:tcPr>
            <w:tcW w:w="4675" w:type="dxa"/>
          </w:tcPr>
          <w:p w:rsidR="00534424" w:rsidRDefault="00534424" w:rsidP="00953AAF">
            <w:r>
              <w:t>0, 8, 31</w:t>
            </w:r>
          </w:p>
        </w:tc>
      </w:tr>
    </w:tbl>
    <w:p w:rsidR="00F210E9" w:rsidRPr="00F210E9" w:rsidRDefault="00534424" w:rsidP="00953AAF">
      <w:r>
        <w:t xml:space="preserve">* </w:t>
      </w:r>
      <w:proofErr w:type="gramStart"/>
      <w:r>
        <w:t>these</w:t>
      </w:r>
      <w:proofErr w:type="gramEnd"/>
      <w:r>
        <w:t xml:space="preserve"> depths were discontinued midway through the 2015 sampling season because it was determined that they were not adding significant information to the depth profile</w:t>
      </w:r>
    </w:p>
    <w:p w:rsidR="00534424" w:rsidRDefault="00534424" w:rsidP="00953AAF">
      <w:pPr>
        <w:rPr>
          <w:b/>
        </w:rPr>
      </w:pPr>
    </w:p>
    <w:p w:rsidR="00534424" w:rsidRDefault="00534424" w:rsidP="00953AAF">
      <w:pPr>
        <w:rPr>
          <w:b/>
        </w:rPr>
      </w:pPr>
    </w:p>
    <w:p w:rsidR="00534424" w:rsidRDefault="00534424" w:rsidP="00953AAF">
      <w:pPr>
        <w:rPr>
          <w:b/>
        </w:rPr>
      </w:pPr>
    </w:p>
    <w:p w:rsidR="00534424" w:rsidRDefault="00534424" w:rsidP="00953AAF">
      <w:pPr>
        <w:rPr>
          <w:b/>
        </w:rPr>
      </w:pPr>
    </w:p>
    <w:p w:rsidR="006C7DC6" w:rsidRDefault="00B70720" w:rsidP="00953AAF">
      <w:pPr>
        <w:rPr>
          <w:b/>
        </w:rPr>
      </w:pPr>
      <w:r>
        <w:rPr>
          <w:b/>
        </w:rPr>
        <w:lastRenderedPageBreak/>
        <w:t>SAMPLE</w:t>
      </w:r>
      <w:r w:rsidR="006C7DC6">
        <w:rPr>
          <w:b/>
        </w:rPr>
        <w:t xml:space="preserve"> COLLECTION</w:t>
      </w:r>
      <w:r w:rsidR="001952E3">
        <w:rPr>
          <w:b/>
        </w:rPr>
        <w:t xml:space="preserve"> AND EQUIPMENT</w:t>
      </w:r>
    </w:p>
    <w:p w:rsidR="006C7DC6" w:rsidRDefault="00B70720" w:rsidP="006C7DC6">
      <w:r>
        <w:rPr>
          <w:u w:val="single"/>
        </w:rPr>
        <w:t xml:space="preserve">TN, </w:t>
      </w:r>
      <w:r w:rsidR="006C7DC6">
        <w:rPr>
          <w:u w:val="single"/>
        </w:rPr>
        <w:t>TP</w:t>
      </w:r>
      <w:r>
        <w:rPr>
          <w:u w:val="single"/>
        </w:rPr>
        <w:t>, TOC, TIC</w:t>
      </w:r>
    </w:p>
    <w:p w:rsidR="004A7DCF" w:rsidRDefault="006C7DC6" w:rsidP="006C7DC6">
      <w:r>
        <w:t>Unfiltered water samples were collected at specified depths for each reservoir using a Van Dorn water sampler.  Samples were stored in acid-washed</w:t>
      </w:r>
      <w:r w:rsidR="00F16330">
        <w:t xml:space="preserve"> 125</w:t>
      </w:r>
      <w:r w:rsidR="005B2E2C">
        <w:t xml:space="preserve"> mL</w:t>
      </w:r>
      <w:r w:rsidR="00F16330">
        <w:t xml:space="preserve"> polypropylene bottles</w:t>
      </w:r>
      <w:r>
        <w:t xml:space="preserve"> and frozen within 12 hours.</w:t>
      </w:r>
      <w:r w:rsidR="002055B9">
        <w:t xml:space="preserve">  Samples were </w:t>
      </w:r>
      <w:r w:rsidR="004A7DCF">
        <w:t xml:space="preserve">generally </w:t>
      </w:r>
      <w:r w:rsidR="002055B9">
        <w:t xml:space="preserve">analyzed within one year of collection date. </w:t>
      </w:r>
    </w:p>
    <w:p w:rsidR="006C7DC6" w:rsidRPr="00B70720" w:rsidRDefault="006C7DC6" w:rsidP="006C7DC6">
      <w:pPr>
        <w:rPr>
          <w:u w:val="single"/>
        </w:rPr>
      </w:pPr>
      <w:r>
        <w:rPr>
          <w:u w:val="single"/>
        </w:rPr>
        <w:t>SRP, NO</w:t>
      </w:r>
      <w:r>
        <w:rPr>
          <w:u w:val="single"/>
          <w:vertAlign w:val="subscript"/>
        </w:rPr>
        <w:t>3</w:t>
      </w:r>
      <w:r>
        <w:rPr>
          <w:u w:val="single"/>
        </w:rPr>
        <w:t>, NH</w:t>
      </w:r>
      <w:r>
        <w:rPr>
          <w:u w:val="single"/>
          <w:vertAlign w:val="subscript"/>
        </w:rPr>
        <w:t>4</w:t>
      </w:r>
      <w:r w:rsidR="00B70720">
        <w:rPr>
          <w:u w:val="single"/>
        </w:rPr>
        <w:t>, DOC, DIC, DRSI</w:t>
      </w:r>
    </w:p>
    <w:p w:rsidR="006C7DC6" w:rsidRDefault="006C7DC6" w:rsidP="006C7DC6">
      <w:r>
        <w:t>Water samples were collected at specified depths for each reservoir using a Van Dorn water sampler and were fil</w:t>
      </w:r>
      <w:r w:rsidR="00F16330">
        <w:t>tered with a 0.7 µm glass fiber</w:t>
      </w:r>
      <w:r>
        <w:t xml:space="preserve"> filter before being stored in acid-washed </w:t>
      </w:r>
      <w:r w:rsidR="00F16330">
        <w:t>125</w:t>
      </w:r>
      <w:r w:rsidR="005B2E2C">
        <w:t xml:space="preserve"> mL</w:t>
      </w:r>
      <w:r w:rsidR="00F16330">
        <w:t xml:space="preserve"> polypropylene bottles</w:t>
      </w:r>
      <w:r w:rsidR="005B2E2C">
        <w:t xml:space="preserve">.  Samples </w:t>
      </w:r>
      <w:r>
        <w:t>were frozen within 12 hours.</w:t>
      </w:r>
      <w:r w:rsidR="002055B9">
        <w:t xml:space="preserve">  Samples were </w:t>
      </w:r>
      <w:r w:rsidR="004A7DCF">
        <w:t xml:space="preserve">generally </w:t>
      </w:r>
      <w:r w:rsidR="002055B9">
        <w:t>analyzed within six mont</w:t>
      </w:r>
      <w:r w:rsidR="004A7DCF">
        <w:t>hs of collection date.</w:t>
      </w:r>
    </w:p>
    <w:p w:rsidR="005B2E2C" w:rsidRPr="00B70720" w:rsidRDefault="00B70720" w:rsidP="006C7DC6">
      <w:pPr>
        <w:rPr>
          <w:u w:val="single"/>
        </w:rPr>
      </w:pPr>
      <w:r>
        <w:rPr>
          <w:u w:val="single"/>
        </w:rPr>
        <w:t>CO</w:t>
      </w:r>
      <w:r>
        <w:rPr>
          <w:u w:val="single"/>
          <w:vertAlign w:val="subscript"/>
        </w:rPr>
        <w:t>2</w:t>
      </w:r>
      <w:r>
        <w:rPr>
          <w:u w:val="single"/>
        </w:rPr>
        <w:t xml:space="preserve"> and CH</w:t>
      </w:r>
      <w:r>
        <w:rPr>
          <w:u w:val="single"/>
          <w:vertAlign w:val="subscript"/>
        </w:rPr>
        <w:t>4</w:t>
      </w:r>
    </w:p>
    <w:p w:rsidR="002055B9" w:rsidRDefault="00B70720" w:rsidP="006C7DC6">
      <w:r>
        <w:t>Unfiltered water samples were collected at specified depths for each reservoir using a Van Dorn water sample</w:t>
      </w:r>
      <w:r w:rsidR="00672BB0">
        <w:t xml:space="preserve">r.  Samples were stored in serum </w:t>
      </w:r>
      <w:r>
        <w:t>v</w:t>
      </w:r>
      <w:r w:rsidR="00672BB0">
        <w:t xml:space="preserve">ials and were generally analyzed within 24 </w:t>
      </w:r>
      <w:r>
        <w:t>hours</w:t>
      </w:r>
      <w:r w:rsidR="00F16330">
        <w:t xml:space="preserve"> of collection</w:t>
      </w:r>
      <w:r>
        <w:t>.</w:t>
      </w:r>
      <w:r w:rsidR="002055B9">
        <w:t xml:space="preserve"> </w:t>
      </w:r>
    </w:p>
    <w:p w:rsidR="00F210E9" w:rsidRPr="00F210E9" w:rsidRDefault="00F210E9" w:rsidP="006C7DC6"/>
    <w:p w:rsidR="006C7DC6" w:rsidRDefault="00D82CC4" w:rsidP="006C7DC6">
      <w:pPr>
        <w:rPr>
          <w:b/>
        </w:rPr>
      </w:pPr>
      <w:r>
        <w:rPr>
          <w:b/>
        </w:rPr>
        <w:t>CHEMICAL ANALYSE</w:t>
      </w:r>
      <w:r w:rsidR="00B70720">
        <w:rPr>
          <w:b/>
        </w:rPr>
        <w:t>S</w:t>
      </w:r>
      <w:r w:rsidR="001952E3">
        <w:rPr>
          <w:b/>
        </w:rPr>
        <w:t xml:space="preserve"> AND EQUIPMENT</w:t>
      </w:r>
    </w:p>
    <w:p w:rsidR="00B70720" w:rsidRDefault="00B70720" w:rsidP="006C7DC6">
      <w:pPr>
        <w:rPr>
          <w:u w:val="single"/>
        </w:rPr>
      </w:pPr>
      <w:r>
        <w:rPr>
          <w:u w:val="single"/>
        </w:rPr>
        <w:t>TNTP</w:t>
      </w:r>
    </w:p>
    <w:p w:rsidR="00B70720" w:rsidRDefault="00E81462" w:rsidP="006C7DC6">
      <w:r>
        <w:t>Samples were digested with alkaline persulfate</w:t>
      </w:r>
      <w:r w:rsidR="001F6068">
        <w:t xml:space="preserve"> (Patton and </w:t>
      </w:r>
      <w:proofErr w:type="spellStart"/>
      <w:r w:rsidR="001F6068">
        <w:t>Kryskalla</w:t>
      </w:r>
      <w:proofErr w:type="spellEnd"/>
      <w:r w:rsidR="001F6068">
        <w:t xml:space="preserve"> 2003)</w:t>
      </w:r>
      <w:r>
        <w:t xml:space="preserve"> and then analyzed </w:t>
      </w:r>
      <w:proofErr w:type="spellStart"/>
      <w:r>
        <w:t>colorimetrically</w:t>
      </w:r>
      <w:proofErr w:type="spellEnd"/>
      <w:r>
        <w:t xml:space="preserve"> using flow injection anal</w:t>
      </w:r>
      <w:r w:rsidR="005D7BE4">
        <w:t>ysis</w:t>
      </w:r>
      <w:r w:rsidR="00F16330">
        <w:t xml:space="preserve"> (APHA 2005)</w:t>
      </w:r>
      <w:r w:rsidR="00D73DBE">
        <w:t xml:space="preserve">.  TN was analyzed using </w:t>
      </w:r>
      <w:r w:rsidR="007E6D6F">
        <w:t xml:space="preserve">the </w:t>
      </w:r>
      <w:r w:rsidR="00D73DBE">
        <w:t xml:space="preserve">cadmium reduction </w:t>
      </w:r>
      <w:r w:rsidR="007E6D6F">
        <w:t xml:space="preserve">method </w:t>
      </w:r>
      <w:r w:rsidR="00D73DBE">
        <w:t xml:space="preserve">(APHA 1998) and TP was analyzed using </w:t>
      </w:r>
      <w:r w:rsidR="007E6D6F">
        <w:t xml:space="preserve">the </w:t>
      </w:r>
      <w:r w:rsidR="00D73DBE">
        <w:t>ascorbic acid</w:t>
      </w:r>
      <w:r w:rsidR="007E6D6F">
        <w:t xml:space="preserve"> method</w:t>
      </w:r>
      <w:r w:rsidR="00D73DBE">
        <w:t xml:space="preserve"> (Murphy and Riley 1962) on a</w:t>
      </w:r>
      <w:r w:rsidR="001F6068">
        <w:t xml:space="preserve"> </w:t>
      </w:r>
      <w:proofErr w:type="spellStart"/>
      <w:r w:rsidR="001F6068">
        <w:t>Lachat</w:t>
      </w:r>
      <w:proofErr w:type="spellEnd"/>
      <w:r w:rsidR="001F6068">
        <w:t xml:space="preserve"> Instruments XYZ </w:t>
      </w:r>
      <w:proofErr w:type="spellStart"/>
      <w:r w:rsidR="001F6068">
        <w:t>Autosampler</w:t>
      </w:r>
      <w:proofErr w:type="spellEnd"/>
      <w:r w:rsidR="001F6068">
        <w:t xml:space="preserve"> ASX 520 Series and </w:t>
      </w:r>
      <w:proofErr w:type="spellStart"/>
      <w:r w:rsidR="001F6068">
        <w:t>QuikChem</w:t>
      </w:r>
      <w:proofErr w:type="spellEnd"/>
      <w:r w:rsidR="001F6068">
        <w:t xml:space="preserve"> Series 8500</w:t>
      </w:r>
      <w:r w:rsidR="00E66A3A">
        <w:t>. (OTHER DETAILS ABOUT MACHINE?)  For further details regarding this analysis, please refer to Virginia Tech’s Stream Team Analytical Lab Standard Operating Procedures (Stream Team SOPs).  (ACCESS INFORMATION?)</w:t>
      </w:r>
    </w:p>
    <w:p w:rsidR="00D82CC4" w:rsidRDefault="00D82CC4" w:rsidP="006C7DC6">
      <w:pPr>
        <w:rPr>
          <w:u w:val="single"/>
        </w:rPr>
      </w:pPr>
      <w:r>
        <w:rPr>
          <w:u w:val="single"/>
        </w:rPr>
        <w:t>SRP, NO</w:t>
      </w:r>
      <w:r>
        <w:rPr>
          <w:u w:val="single"/>
          <w:vertAlign w:val="subscript"/>
        </w:rPr>
        <w:t>3</w:t>
      </w:r>
      <w:r>
        <w:rPr>
          <w:u w:val="single"/>
        </w:rPr>
        <w:t>, NH</w:t>
      </w:r>
      <w:r>
        <w:rPr>
          <w:u w:val="single"/>
          <w:vertAlign w:val="subscript"/>
        </w:rPr>
        <w:t>4</w:t>
      </w:r>
    </w:p>
    <w:p w:rsidR="00D82CC4" w:rsidRDefault="001F6068" w:rsidP="00D82CC4">
      <w:r>
        <w:t xml:space="preserve">Samples were analyzed </w:t>
      </w:r>
      <w:proofErr w:type="spellStart"/>
      <w:r>
        <w:t>colorimetrically</w:t>
      </w:r>
      <w:proofErr w:type="spellEnd"/>
      <w:r>
        <w:t xml:space="preserve"> using flow injection analysis</w:t>
      </w:r>
      <w:r w:rsidR="00F16330">
        <w:t xml:space="preserve"> (APHA 2005)</w:t>
      </w:r>
      <w:r>
        <w:t xml:space="preserve">. </w:t>
      </w:r>
      <w:r w:rsidR="00D82CC4">
        <w:t>SRP was analyzed using the ascorbic acid method (Murphy and Riley 1962), NO</w:t>
      </w:r>
      <w:r w:rsidR="00D82CC4">
        <w:rPr>
          <w:vertAlign w:val="subscript"/>
        </w:rPr>
        <w:t>3</w:t>
      </w:r>
      <w:r w:rsidR="00D82CC4">
        <w:t xml:space="preserve"> was analyzed using the cadmium reduction method (APHA 1998), and NH</w:t>
      </w:r>
      <w:r w:rsidR="00D82CC4">
        <w:rPr>
          <w:vertAlign w:val="subscript"/>
        </w:rPr>
        <w:t>4</w:t>
      </w:r>
      <w:r>
        <w:t xml:space="preserve"> was analyzed using the Berthelot Reaction</w:t>
      </w:r>
      <w:r w:rsidR="00D82CC4">
        <w:t xml:space="preserve"> method (</w:t>
      </w:r>
      <w:proofErr w:type="spellStart"/>
      <w:r w:rsidR="00D82CC4">
        <w:t>Solorzano</w:t>
      </w:r>
      <w:proofErr w:type="spellEnd"/>
      <w:r w:rsidR="00D82CC4">
        <w:t xml:space="preserve"> 1969</w:t>
      </w:r>
      <w:r>
        <w:t>, APHA 2005)</w:t>
      </w:r>
      <w:r w:rsidR="001F5F75">
        <w:t xml:space="preserve"> with a common modification as to the source of the hypochlorite ion as</w:t>
      </w:r>
      <w:r w:rsidR="00ED1323">
        <w:t xml:space="preserve"> described in Zhang et al. 1997</w:t>
      </w:r>
      <w:r>
        <w:t xml:space="preserve"> </w:t>
      </w:r>
      <w:r w:rsidR="00E81462">
        <w:t xml:space="preserve">on a </w:t>
      </w:r>
      <w:proofErr w:type="spellStart"/>
      <w:r w:rsidR="00E81462">
        <w:t>Lachat</w:t>
      </w:r>
      <w:proofErr w:type="spellEnd"/>
      <w:r w:rsidR="00E81462">
        <w:t xml:space="preserve"> Instruments XYZ </w:t>
      </w:r>
      <w:proofErr w:type="spellStart"/>
      <w:r w:rsidR="00E81462">
        <w:t>Autosampler</w:t>
      </w:r>
      <w:proofErr w:type="spellEnd"/>
      <w:r w:rsidR="00E81462">
        <w:t xml:space="preserve"> ASX 520 Series and </w:t>
      </w:r>
      <w:proofErr w:type="spellStart"/>
      <w:r w:rsidR="00E81462">
        <w:t>QuikChem</w:t>
      </w:r>
      <w:proofErr w:type="spellEnd"/>
      <w:r w:rsidR="00E81462">
        <w:t xml:space="preserve"> Series 8500</w:t>
      </w:r>
      <w:r w:rsidR="00D82CC4">
        <w:t>.  For further details regarding this analysis, please refer to Virginia Tech’s Stream Team Analytical Lab Standard</w:t>
      </w:r>
      <w:r w:rsidR="00F16330">
        <w:t xml:space="preserve"> Operating Procedures.</w:t>
      </w:r>
    </w:p>
    <w:p w:rsidR="00A43474" w:rsidRPr="00F16330" w:rsidRDefault="00A43474" w:rsidP="006C7DC6">
      <w:r>
        <w:rPr>
          <w:u w:val="single"/>
        </w:rPr>
        <w:t>TOC and TIC</w:t>
      </w:r>
    </w:p>
    <w:p w:rsidR="00A43474" w:rsidRDefault="00A43474" w:rsidP="006C7DC6">
      <w:r>
        <w:t>TOC was analyzed using the persulfate catalytic method (Brenton and Arnett 1993) and TIC was analyzed using the heated phosphoric acid method (</w:t>
      </w:r>
      <w:proofErr w:type="spellStart"/>
      <w:r>
        <w:t>Révész</w:t>
      </w:r>
      <w:proofErr w:type="spellEnd"/>
      <w:r>
        <w:t xml:space="preserve"> and Doctor 2014</w:t>
      </w:r>
      <w:r w:rsidR="00F16330">
        <w:t xml:space="preserve">) on a </w:t>
      </w:r>
      <w:r w:rsidR="00D80972">
        <w:t>Total Organic Carbon Analyzer (TOCA)</w:t>
      </w:r>
      <w:r w:rsidR="00F16330">
        <w:t xml:space="preserve"> 1010 from OI Analytical. </w:t>
      </w:r>
      <w:r>
        <w:t>For further details regarding this analysis, please refer to Virginia Tech’s Stream Team Analytical Lab Standard Operat</w:t>
      </w:r>
      <w:r w:rsidR="00F16330">
        <w:t xml:space="preserve">ing Procedures.  </w:t>
      </w:r>
    </w:p>
    <w:p w:rsidR="00D82CC4" w:rsidRPr="002055B9" w:rsidRDefault="00D82FD5" w:rsidP="006C7DC6">
      <w:r>
        <w:rPr>
          <w:u w:val="single"/>
        </w:rPr>
        <w:lastRenderedPageBreak/>
        <w:t>DOC and DIC</w:t>
      </w:r>
    </w:p>
    <w:p w:rsidR="009E2730" w:rsidRDefault="004F0783" w:rsidP="009E2730">
      <w:r>
        <w:t>DOC was analyzed using the p</w:t>
      </w:r>
      <w:r w:rsidR="009E2730">
        <w:t>ersulfate catalytic method (Brenton and Arnett</w:t>
      </w:r>
      <w:r>
        <w:t xml:space="preserve"> 1993) and DIC was analyzed using</w:t>
      </w:r>
      <w:r w:rsidR="009E2730">
        <w:t xml:space="preserve"> the heated phosphoric acid method (</w:t>
      </w:r>
      <w:proofErr w:type="spellStart"/>
      <w:r w:rsidR="009E2730">
        <w:t>Révész</w:t>
      </w:r>
      <w:proofErr w:type="spellEnd"/>
      <w:r w:rsidR="00D80972">
        <w:t xml:space="preserve"> and Doctor 2014) on a TOCA</w:t>
      </w:r>
      <w:r w:rsidR="00F16330">
        <w:t xml:space="preserve"> 1010 from OI Analytical.  </w:t>
      </w:r>
      <w:r w:rsidR="009E2730">
        <w:t>For further details regarding this analysis, please refer to Virginia Tech’s Stream Team Analytical Lab Standard Operating Procedures</w:t>
      </w:r>
      <w:r w:rsidR="00F16330">
        <w:t xml:space="preserve">.  </w:t>
      </w:r>
    </w:p>
    <w:p w:rsidR="00A43474" w:rsidRDefault="00A43474" w:rsidP="009E2730">
      <w:pPr>
        <w:rPr>
          <w:u w:val="single"/>
        </w:rPr>
      </w:pPr>
      <w:r>
        <w:rPr>
          <w:u w:val="single"/>
        </w:rPr>
        <w:t>DRSI</w:t>
      </w:r>
    </w:p>
    <w:p w:rsidR="00A43474" w:rsidRDefault="00A43474" w:rsidP="009E2730">
      <w:r>
        <w:t xml:space="preserve">DRSI was analyzed using </w:t>
      </w:r>
      <w:r w:rsidR="0009139C">
        <w:t xml:space="preserve">the ammonium </w:t>
      </w:r>
      <w:proofErr w:type="spellStart"/>
      <w:r w:rsidR="0009139C">
        <w:t>molybdate</w:t>
      </w:r>
      <w:proofErr w:type="spellEnd"/>
      <w:r w:rsidR="0009139C">
        <w:t xml:space="preserve"> method, </w:t>
      </w:r>
      <w:r w:rsidR="00ED1323">
        <w:t xml:space="preserve">was </w:t>
      </w:r>
      <w:r w:rsidR="0009139C">
        <w:t xml:space="preserve">reduced with sodium sulfite, and </w:t>
      </w:r>
      <w:r w:rsidR="00ED1323">
        <w:t xml:space="preserve">then was </w:t>
      </w:r>
      <w:r w:rsidR="0009139C">
        <w:t xml:space="preserve">analyzed </w:t>
      </w:r>
      <w:proofErr w:type="spellStart"/>
      <w:r w:rsidR="0009139C">
        <w:t>colorimetrically</w:t>
      </w:r>
      <w:proofErr w:type="spellEnd"/>
      <w:r w:rsidR="0009139C">
        <w:t xml:space="preserve"> using a spectrophotometer reading at 700 nm</w:t>
      </w:r>
      <w:r w:rsidR="00ED1323">
        <w:t xml:space="preserve"> (Wetzel and Likens 2000)</w:t>
      </w:r>
      <w:r w:rsidR="0009139C">
        <w:t>.</w:t>
      </w:r>
      <w:r w:rsidR="00ED1323">
        <w:t xml:space="preserve">  </w:t>
      </w:r>
      <w:r w:rsidR="00ED1323">
        <w:t xml:space="preserve">For further details regarding this analysis, please refer to Virginia Tech’s Stream Team Analytical Lab Standard Operating Procedures.  </w:t>
      </w:r>
    </w:p>
    <w:p w:rsidR="00A43474" w:rsidRDefault="002055B9" w:rsidP="009E2730">
      <w:pPr>
        <w:rPr>
          <w:u w:val="single"/>
        </w:rPr>
      </w:pPr>
      <w:r>
        <w:rPr>
          <w:u w:val="single"/>
        </w:rPr>
        <w:t>CO</w:t>
      </w:r>
      <w:r>
        <w:rPr>
          <w:u w:val="single"/>
          <w:vertAlign w:val="subscript"/>
        </w:rPr>
        <w:t>2</w:t>
      </w:r>
      <w:r>
        <w:rPr>
          <w:u w:val="single"/>
        </w:rPr>
        <w:t xml:space="preserve"> and CH</w:t>
      </w:r>
      <w:r>
        <w:rPr>
          <w:u w:val="single"/>
          <w:vertAlign w:val="subscript"/>
        </w:rPr>
        <w:t>4</w:t>
      </w:r>
    </w:p>
    <w:p w:rsidR="002055B9" w:rsidRDefault="002055B9" w:rsidP="002055B9">
      <w:r>
        <w:t>CO</w:t>
      </w:r>
      <w:r>
        <w:rPr>
          <w:vertAlign w:val="subscript"/>
        </w:rPr>
        <w:t>2</w:t>
      </w:r>
      <w:r>
        <w:t xml:space="preserve"> and CH</w:t>
      </w:r>
      <w:r>
        <w:rPr>
          <w:vertAlign w:val="subscript"/>
        </w:rPr>
        <w:t>4</w:t>
      </w:r>
      <w:r>
        <w:t xml:space="preserve"> were analyzed using </w:t>
      </w:r>
      <w:r w:rsidR="003829C2">
        <w:t xml:space="preserve">a static headspace </w:t>
      </w:r>
      <w:r>
        <w:t>gas chromatography analysis</w:t>
      </w:r>
      <w:r w:rsidR="003829C2">
        <w:t xml:space="preserve"> (Hibbs et al 19</w:t>
      </w:r>
      <w:r w:rsidR="007E17AF">
        <w:t xml:space="preserve">98) using a </w:t>
      </w:r>
      <w:proofErr w:type="spellStart"/>
      <w:r w:rsidR="007E17AF">
        <w:t>Hayesep</w:t>
      </w:r>
      <w:proofErr w:type="spellEnd"/>
      <w:r w:rsidR="007E17AF">
        <w:t xml:space="preserve"> Q column.  As of the date of issue of this metadata document, the Stream Team’s SOP for this analysis was still under revision, but see </w:t>
      </w:r>
      <w:proofErr w:type="spellStart"/>
      <w:r w:rsidR="007E17AF">
        <w:t>Bastviken</w:t>
      </w:r>
      <w:proofErr w:type="spellEnd"/>
      <w:r w:rsidR="007E17AF">
        <w:t xml:space="preserve"> 2015, </w:t>
      </w:r>
      <w:proofErr w:type="spellStart"/>
      <w:r w:rsidR="007E17AF">
        <w:t>Kampbell</w:t>
      </w:r>
      <w:proofErr w:type="spellEnd"/>
      <w:r w:rsidR="007E17AF">
        <w:t xml:space="preserve"> et al 1998, and USEPA 2004 as method development references.  </w:t>
      </w:r>
      <w:r w:rsidR="007E17AF">
        <w:t xml:space="preserve">For further details regarding this analysis, please refer to </w:t>
      </w:r>
      <w:r w:rsidR="007E17AF">
        <w:t xml:space="preserve">the DRAFT of </w:t>
      </w:r>
      <w:r w:rsidR="007E17AF">
        <w:t>Virginia Tech’s Stream Team Analytical Lab Standard Operating Procedures.</w:t>
      </w:r>
    </w:p>
    <w:p w:rsidR="00F16330" w:rsidRDefault="00F16330" w:rsidP="006C7DC6">
      <w:pPr>
        <w:rPr>
          <w:b/>
        </w:rPr>
      </w:pPr>
    </w:p>
    <w:p w:rsidR="002055B9" w:rsidRPr="00F16330" w:rsidRDefault="00F16330" w:rsidP="006C7DC6">
      <w:pPr>
        <w:rPr>
          <w:b/>
        </w:rPr>
      </w:pPr>
      <w:r>
        <w:rPr>
          <w:b/>
        </w:rPr>
        <w:t>STREAM TEAM STANDARD OPERATING PROCEDURES</w:t>
      </w:r>
    </w:p>
    <w:p w:rsidR="009E2DBF" w:rsidRDefault="009E2DBF" w:rsidP="00F16330">
      <w:pPr>
        <w:ind w:left="360" w:hanging="360"/>
      </w:pPr>
      <w:r w:rsidRPr="009E2DBF">
        <w:t>CH4 and CO2 sampling and analysis:</w:t>
      </w:r>
      <w:r>
        <w:t xml:space="preserve"> DRAFT.  Accessed: 23Mar16.</w:t>
      </w:r>
    </w:p>
    <w:p w:rsidR="009E2DBF" w:rsidRDefault="009E2DBF" w:rsidP="009E2DBF">
      <w:pPr>
        <w:ind w:left="360" w:hanging="360"/>
      </w:pPr>
      <w:r>
        <w:t>Determination of soluble reactive silica in water.  Issue date: 29Jul14 DRAFT.</w:t>
      </w:r>
    </w:p>
    <w:p w:rsidR="00F16330" w:rsidRDefault="00F16330" w:rsidP="00F16330">
      <w:pPr>
        <w:ind w:left="360" w:hanging="360"/>
      </w:pPr>
      <w:r>
        <w:t>Determination of soluble reactive phosphate in water by flow injection analysis. Issue date: 05Dec14.</w:t>
      </w:r>
    </w:p>
    <w:p w:rsidR="00F16330" w:rsidRDefault="00F16330" w:rsidP="00F16330">
      <w:pPr>
        <w:ind w:left="360" w:hanging="360"/>
      </w:pPr>
      <w:r>
        <w:t>Determination of nitrate and nitrite in water by flow injection analysis. Issue date: 05Dec14.</w:t>
      </w:r>
    </w:p>
    <w:p w:rsidR="00F16330" w:rsidRDefault="00F16330" w:rsidP="00F16330">
      <w:pPr>
        <w:ind w:left="360" w:hanging="360"/>
      </w:pPr>
      <w:r>
        <w:t>Determination of ammonia in water by flow injection analysis. Issue date: 05Dec14.</w:t>
      </w:r>
    </w:p>
    <w:p w:rsidR="00F16330" w:rsidRDefault="00F16330" w:rsidP="00F16330">
      <w:pPr>
        <w:ind w:left="360" w:hanging="360"/>
      </w:pPr>
      <w:r>
        <w:t xml:space="preserve">General procedures for the </w:t>
      </w:r>
      <w:proofErr w:type="spellStart"/>
      <w:r>
        <w:t>Lachat</w:t>
      </w:r>
      <w:proofErr w:type="spellEnd"/>
      <w:r>
        <w:t xml:space="preserve"> </w:t>
      </w:r>
      <w:proofErr w:type="spellStart"/>
      <w:r>
        <w:t>QuickChem</w:t>
      </w:r>
      <w:proofErr w:type="spellEnd"/>
      <w:r>
        <w:t xml:space="preserve"> 8500 flow injection analyzer. Issue date: 04Apr06.</w:t>
      </w:r>
    </w:p>
    <w:p w:rsidR="00F16330" w:rsidRDefault="00F16330" w:rsidP="00F16330">
      <w:pPr>
        <w:ind w:left="360" w:hanging="360"/>
      </w:pPr>
      <w:r>
        <w:t>Determination of total nitrogen and total phosphorus after manual persu</w:t>
      </w:r>
      <w:r w:rsidR="00AA6651">
        <w:t>l</w:t>
      </w:r>
      <w:r>
        <w:t>fate digestion by flow injection analysis. Issue date: 20Jul15.</w:t>
      </w:r>
    </w:p>
    <w:p w:rsidR="00AA6651" w:rsidRDefault="00AA6651" w:rsidP="00F16330">
      <w:pPr>
        <w:ind w:left="360" w:hanging="360"/>
      </w:pPr>
      <w:r>
        <w:t>Determination of anions in water by ion chromatography. Issue date: 07May10.</w:t>
      </w:r>
    </w:p>
    <w:p w:rsidR="00AA6651" w:rsidRDefault="00AA6651" w:rsidP="00F16330">
      <w:pPr>
        <w:ind w:left="360" w:hanging="360"/>
      </w:pPr>
      <w:r>
        <w:t>Determination of relative sulfur hexafluoride (SF6) concentrations for calculations of reaeration by static headspace gas chromatography with electron capture detection (ECD). Issue</w:t>
      </w:r>
      <w:r w:rsidR="003829C2">
        <w:t xml:space="preserve"> date: 13Nov12.</w:t>
      </w:r>
      <w:r>
        <w:t xml:space="preserve"> </w:t>
      </w:r>
    </w:p>
    <w:p w:rsidR="009E2DBF" w:rsidRDefault="009E2DBF" w:rsidP="006C7DC6">
      <w:pPr>
        <w:rPr>
          <w:b/>
        </w:rPr>
      </w:pPr>
    </w:p>
    <w:p w:rsidR="009E2DBF" w:rsidRDefault="009E2DBF" w:rsidP="006C7DC6">
      <w:pPr>
        <w:rPr>
          <w:b/>
        </w:rPr>
      </w:pPr>
    </w:p>
    <w:p w:rsidR="009E2DBF" w:rsidRDefault="009E2DBF" w:rsidP="006C7DC6">
      <w:pPr>
        <w:rPr>
          <w:b/>
        </w:rPr>
      </w:pPr>
    </w:p>
    <w:p w:rsidR="009E2DBF" w:rsidRDefault="009E2DBF" w:rsidP="006C7DC6">
      <w:pPr>
        <w:rPr>
          <w:b/>
        </w:rPr>
      </w:pPr>
    </w:p>
    <w:p w:rsidR="00D73DBE" w:rsidRDefault="00D73DBE" w:rsidP="006C7DC6">
      <w:pPr>
        <w:rPr>
          <w:b/>
        </w:rPr>
      </w:pPr>
      <w:bookmarkStart w:id="0" w:name="_GoBack"/>
      <w:bookmarkEnd w:id="0"/>
      <w:r>
        <w:rPr>
          <w:b/>
        </w:rPr>
        <w:lastRenderedPageBreak/>
        <w:t>REFERENCES</w:t>
      </w:r>
    </w:p>
    <w:p w:rsidR="00D73DBE" w:rsidRDefault="00D73DBE" w:rsidP="00D73DBE">
      <w:pPr>
        <w:ind w:left="360" w:hanging="360"/>
      </w:pPr>
      <w:r>
        <w:t>APHA. 1998. Standard methods for the examination of water and wastewater. 20</w:t>
      </w:r>
      <w:r w:rsidRPr="00D73DBE">
        <w:rPr>
          <w:vertAlign w:val="superscript"/>
        </w:rPr>
        <w:t>th</w:t>
      </w:r>
      <w:r>
        <w:t xml:space="preserve"> </w:t>
      </w:r>
      <w:proofErr w:type="spellStart"/>
      <w:r>
        <w:t>edn</w:t>
      </w:r>
      <w:proofErr w:type="spellEnd"/>
      <w:r>
        <w:t>. Washington, DC: American Public Health Association.</w:t>
      </w:r>
    </w:p>
    <w:p w:rsidR="001F6068" w:rsidRDefault="001F6068" w:rsidP="00D73DBE">
      <w:pPr>
        <w:ind w:left="360" w:hanging="360"/>
      </w:pPr>
      <w:r>
        <w:t>APHA. 2005. Standard methods for the examination of water and wastewater. 21</w:t>
      </w:r>
      <w:r w:rsidRPr="001F6068">
        <w:rPr>
          <w:vertAlign w:val="superscript"/>
        </w:rPr>
        <w:t>st</w:t>
      </w:r>
      <w:r>
        <w:t xml:space="preserve"> </w:t>
      </w:r>
      <w:proofErr w:type="spellStart"/>
      <w:r>
        <w:t>edn</w:t>
      </w:r>
      <w:proofErr w:type="spellEnd"/>
      <w:r>
        <w:t>. Washington, DC: American Public Health Association, American Water Works Association, Water Environment Federation.</w:t>
      </w:r>
    </w:p>
    <w:p w:rsidR="009E2DBF" w:rsidRDefault="009E2DBF" w:rsidP="009E2DBF">
      <w:pPr>
        <w:ind w:left="360" w:hanging="360"/>
      </w:pPr>
      <w:proofErr w:type="spellStart"/>
      <w:r>
        <w:t>Bastviken</w:t>
      </w:r>
      <w:proofErr w:type="spellEnd"/>
      <w:r>
        <w:t xml:space="preserve">, David. </w:t>
      </w:r>
      <w:r>
        <w:t>2015.  Calculation of gas concentrations in water determi</w:t>
      </w:r>
      <w:r>
        <w:t xml:space="preserve">ned by the headspace extraction method. </w:t>
      </w:r>
      <w:hyperlink r:id="rId6" w:history="1">
        <w:r w:rsidRPr="00614B63">
          <w:rPr>
            <w:rStyle w:val="Hyperlink"/>
          </w:rPr>
          <w:t>http://www.tema.liu.se/tema-m/iwflux/web-portal/metodhs/gas-concentrationmeasurements/copyofcopyofcopyofarkiv/copyofarchive/1.620282/Calculationsofgasconcentrationsinwaterbasedontheheadspaceextractionmethod.pdf</w:t>
        </w:r>
      </w:hyperlink>
      <w:r>
        <w:t xml:space="preserve">  </w:t>
      </w:r>
      <w:r>
        <w:t>Retrieved 20APR2015</w:t>
      </w:r>
      <w:r>
        <w:t>.</w:t>
      </w:r>
    </w:p>
    <w:p w:rsidR="003829C2" w:rsidRDefault="004F0783" w:rsidP="00D20BEF">
      <w:pPr>
        <w:ind w:left="360" w:hanging="360"/>
      </w:pPr>
      <w:r>
        <w:t>Brenton R, Arnett T. 1993. Method of analysis by the U.S. Geological Survey National Water Quality Laboratory – Determination of dissolved organic carbon by UV-promoted persulfate oxidation and infrared spectrometry. Denver, CO: U.S. Geological Survey.</w:t>
      </w:r>
    </w:p>
    <w:p w:rsidR="003829C2" w:rsidRDefault="00ED1323" w:rsidP="00D73DBE">
      <w:pPr>
        <w:ind w:left="360" w:hanging="360"/>
      </w:pPr>
      <w:r>
        <w:t xml:space="preserve">Hibbs D, Parkhill K, </w:t>
      </w:r>
      <w:r w:rsidR="003829C2">
        <w:t xml:space="preserve">Gulliver J. 1998. Sulfur </w:t>
      </w:r>
      <w:r w:rsidR="00D20BEF">
        <w:t xml:space="preserve">hexafluoride gas tracer studies in streams. J Environ </w:t>
      </w:r>
      <w:proofErr w:type="spellStart"/>
      <w:r w:rsidR="00D20BEF">
        <w:t>Eng</w:t>
      </w:r>
      <w:proofErr w:type="spellEnd"/>
      <w:r w:rsidR="00D20BEF">
        <w:t xml:space="preserve"> 124:8.752.</w:t>
      </w:r>
    </w:p>
    <w:p w:rsidR="009E2DBF" w:rsidRDefault="009E2DBF" w:rsidP="009E2DBF">
      <w:pPr>
        <w:ind w:left="360" w:hanging="360"/>
      </w:pPr>
      <w:proofErr w:type="spellStart"/>
      <w:r>
        <w:t>Kampbell</w:t>
      </w:r>
      <w:proofErr w:type="spellEnd"/>
      <w:r>
        <w:t xml:space="preserve">, Don H.; </w:t>
      </w:r>
      <w:proofErr w:type="spellStart"/>
      <w:r>
        <w:t>Vandegrift</w:t>
      </w:r>
      <w:proofErr w:type="spellEnd"/>
      <w:r>
        <w:t>, Steve A., 1998.  Analysis of Dissolved Me</w:t>
      </w:r>
      <w:r>
        <w:t xml:space="preserve">thane, Ethane, and Ethylene in </w:t>
      </w:r>
      <w:r>
        <w:t>Ground Water by Standard Gas Chromatographic Technique. Journ</w:t>
      </w:r>
      <w:r>
        <w:t xml:space="preserve">al of Chromatographic Science </w:t>
      </w:r>
      <w:r>
        <w:t>36:253-256.</w:t>
      </w:r>
    </w:p>
    <w:p w:rsidR="00D73DBE" w:rsidRDefault="00D73DBE" w:rsidP="00D73DBE">
      <w:pPr>
        <w:ind w:left="360" w:hanging="360"/>
      </w:pPr>
      <w:r>
        <w:t xml:space="preserve">Murphy J, Riley JP. 1962. A modified single solution method for the determination of phosphate in natural waters.  Anal </w:t>
      </w:r>
      <w:proofErr w:type="spellStart"/>
      <w:r>
        <w:t>Chim</w:t>
      </w:r>
      <w:proofErr w:type="spellEnd"/>
      <w:r>
        <w:t xml:space="preserve"> </w:t>
      </w:r>
      <w:proofErr w:type="spellStart"/>
      <w:r>
        <w:t>Acta</w:t>
      </w:r>
      <w:proofErr w:type="spellEnd"/>
      <w:r>
        <w:t xml:space="preserve"> 27:31.6.</w:t>
      </w:r>
    </w:p>
    <w:p w:rsidR="001F6068" w:rsidRDefault="00ED1323" w:rsidP="009E2A94">
      <w:pPr>
        <w:ind w:left="360" w:hanging="360"/>
      </w:pPr>
      <w:r>
        <w:t xml:space="preserve">Patton CJ, </w:t>
      </w:r>
      <w:proofErr w:type="spellStart"/>
      <w:r w:rsidR="001F6068">
        <w:t>Kryskalla</w:t>
      </w:r>
      <w:proofErr w:type="spellEnd"/>
      <w:r>
        <w:t xml:space="preserve"> JR</w:t>
      </w:r>
      <w:r w:rsidR="001F6068">
        <w:t xml:space="preserve">. 2003. Methods of Analysis by the U.S. Geological Survey National Water Quality Laboratory—Evaluation of Alkaline Persulfate Digestion as an Alternative to </w:t>
      </w:r>
      <w:proofErr w:type="spellStart"/>
      <w:r w:rsidR="001F6068">
        <w:t>Kjeldahl</w:t>
      </w:r>
      <w:proofErr w:type="spellEnd"/>
      <w:r w:rsidR="001F6068">
        <w:t xml:space="preserve"> Digestion for Determination of Total and Dissolved Nitrogen and Phosphorus in Water. Denver, CO: U.S. Geological Survey.</w:t>
      </w:r>
    </w:p>
    <w:p w:rsidR="009E2730" w:rsidRDefault="00ED1323" w:rsidP="00D73DBE">
      <w:pPr>
        <w:ind w:left="360" w:hanging="360"/>
      </w:pPr>
      <w:proofErr w:type="spellStart"/>
      <w:r>
        <w:t>Révész</w:t>
      </w:r>
      <w:proofErr w:type="spellEnd"/>
      <w:r>
        <w:t xml:space="preserve"> KM, Doctor DH. 2014.</w:t>
      </w:r>
      <w:r w:rsidR="009E2730">
        <w:t xml:space="preserve"> Automated determination of the stable carbon isotopic composition (δ13C) of total dissolved inorganic carbon (DIC) and total </w:t>
      </w:r>
      <w:proofErr w:type="spellStart"/>
      <w:r w:rsidR="009E2730">
        <w:t>nonpurgeable</w:t>
      </w:r>
      <w:proofErr w:type="spellEnd"/>
      <w:r w:rsidR="009E2730">
        <w:t xml:space="preserve"> dissolved organic carbon (DOC) in aqueous samples: RSIL lab codes 1851 and 1852: U.S. Geological Survey Techniques and Methods, book 10, chap. C20, 38 p., http:// dx.doi.org/10.3133/tm10C20.</w:t>
      </w:r>
    </w:p>
    <w:p w:rsidR="00053DF5" w:rsidRDefault="00D82FD5" w:rsidP="00053DF5">
      <w:pPr>
        <w:ind w:left="360" w:hanging="360"/>
      </w:pPr>
      <w:proofErr w:type="spellStart"/>
      <w:r>
        <w:t>Solorzano</w:t>
      </w:r>
      <w:proofErr w:type="spellEnd"/>
      <w:r w:rsidR="009E2A94">
        <w:t>,</w:t>
      </w:r>
      <w:r>
        <w:t xml:space="preserve"> L. 1969. Determination of ammonia in natural water by the </w:t>
      </w:r>
      <w:proofErr w:type="spellStart"/>
      <w:r>
        <w:t>phenolhypochlorite</w:t>
      </w:r>
      <w:proofErr w:type="spellEnd"/>
      <w:r>
        <w:t xml:space="preserve"> method. </w:t>
      </w:r>
      <w:proofErr w:type="spellStart"/>
      <w:r>
        <w:t>Limnol</w:t>
      </w:r>
      <w:proofErr w:type="spellEnd"/>
      <w:r>
        <w:t xml:space="preserve"> </w:t>
      </w:r>
      <w:proofErr w:type="spellStart"/>
      <w:r>
        <w:t>Oceanogr</w:t>
      </w:r>
      <w:proofErr w:type="spellEnd"/>
      <w:r>
        <w:t xml:space="preserve"> 14:799-801.</w:t>
      </w:r>
    </w:p>
    <w:p w:rsidR="009E2DBF" w:rsidRDefault="009E2DBF" w:rsidP="009E2DBF">
      <w:pPr>
        <w:spacing w:after="0" w:line="240" w:lineRule="auto"/>
        <w:ind w:left="360" w:hanging="360"/>
      </w:pPr>
      <w:r>
        <w:t>USEPA. 2004. RSKSOP-175 STANDARD OPERATING PROCEDURE Sample Preparation and Calculations for Dissolved Gas Analysis in Water Samples Using a GC Head</w:t>
      </w:r>
      <w:r>
        <w:t xml:space="preserve">space Equilibration Technique, Revision No.2  </w:t>
      </w:r>
      <w:hyperlink r:id="rId7" w:history="1">
        <w:r w:rsidRPr="00614B63">
          <w:rPr>
            <w:rStyle w:val="Hyperlink"/>
          </w:rPr>
          <w:t>http://www.epa.gov/region1/info/testmethods/pdfs/RSKsop175v2.pdf</w:t>
        </w:r>
      </w:hyperlink>
      <w:r>
        <w:t xml:space="preserve"> </w:t>
      </w:r>
      <w:r>
        <w:t>Retrieved 20APR2015</w:t>
      </w:r>
      <w:r>
        <w:t>.</w:t>
      </w:r>
    </w:p>
    <w:p w:rsidR="009E2DBF" w:rsidRDefault="009E2DBF" w:rsidP="009E2DBF">
      <w:pPr>
        <w:spacing w:after="0" w:line="240" w:lineRule="auto"/>
        <w:ind w:left="360" w:hanging="360"/>
      </w:pPr>
    </w:p>
    <w:p w:rsidR="009E2DBF" w:rsidRDefault="009E2DBF" w:rsidP="009E2DBF">
      <w:pPr>
        <w:spacing w:line="240" w:lineRule="auto"/>
      </w:pPr>
      <w:r>
        <w:t>The US EPA published such a procedure (</w:t>
      </w:r>
      <w:proofErr w:type="spellStart"/>
      <w:r>
        <w:t>Kampbell</w:t>
      </w:r>
      <w:proofErr w:type="spellEnd"/>
      <w:r>
        <w:t>, et al. 1991</w:t>
      </w:r>
      <w:r>
        <w:t xml:space="preserve">) that has become known in the </w:t>
      </w:r>
      <w:r>
        <w:t>environmental community as “Method RSK-175.” The original publicat</w:t>
      </w:r>
      <w:r>
        <w:t xml:space="preserve">ion has </w:t>
      </w:r>
      <w:proofErr w:type="gramStart"/>
      <w:r>
        <w:t>gone  through</w:t>
      </w:r>
      <w:proofErr w:type="gramEnd"/>
      <w:r>
        <w:t xml:space="preserve"> a number </w:t>
      </w:r>
      <w:r>
        <w:t>of revisions with the most recent revision being RSKSOP-175 Version 5, d</w:t>
      </w:r>
      <w:r>
        <w:t xml:space="preserve">ated October 2010. Integral to </w:t>
      </w:r>
      <w:r>
        <w:t>this method is US EPA RSKSOP-194, with a recent Version 4 dated April</w:t>
      </w:r>
      <w:r>
        <w:t xml:space="preserve"> 2010. RSKSOP-194 contains the </w:t>
      </w:r>
      <w:r>
        <w:lastRenderedPageBreak/>
        <w:t>GC calibration and analysis steps, while RSKSOP-175 describes the st</w:t>
      </w:r>
      <w:r>
        <w:t xml:space="preserve">atic headspace preparation and </w:t>
      </w:r>
      <w:r>
        <w:t>calculations.</w:t>
      </w:r>
    </w:p>
    <w:p w:rsidR="00ED1323" w:rsidRDefault="00ED1323" w:rsidP="00ED1323">
      <w:pPr>
        <w:ind w:left="360" w:hanging="360"/>
      </w:pPr>
      <w:r>
        <w:t xml:space="preserve">Wetzel RG, </w:t>
      </w:r>
      <w:r>
        <w:t>Likens</w:t>
      </w:r>
      <w:r>
        <w:t xml:space="preserve"> GE</w:t>
      </w:r>
      <w:r>
        <w:t xml:space="preserve">. 2000.  </w:t>
      </w:r>
      <w:proofErr w:type="spellStart"/>
      <w:r>
        <w:t>Limnological</w:t>
      </w:r>
      <w:proofErr w:type="spellEnd"/>
      <w:r>
        <w:t xml:space="preserve"> </w:t>
      </w:r>
      <w:r>
        <w:t xml:space="preserve">Analyses. 3rd </w:t>
      </w:r>
      <w:proofErr w:type="gramStart"/>
      <w:r>
        <w:t>ed</w:t>
      </w:r>
      <w:proofErr w:type="gramEnd"/>
      <w:r>
        <w:t xml:space="preserve">.  Exercise 7. </w:t>
      </w:r>
      <w:r>
        <w:t>Inorganic Nutrients:  Nitrogen, Ph</w:t>
      </w:r>
      <w:r>
        <w:t>osphorus, and Other Nutrients.  New York: Springer.</w:t>
      </w:r>
    </w:p>
    <w:p w:rsidR="004F0783" w:rsidRPr="00D73DBE" w:rsidRDefault="009E2A94" w:rsidP="009E2DBF">
      <w:pPr>
        <w:ind w:left="360" w:hanging="360"/>
      </w:pPr>
      <w:r>
        <w:t xml:space="preserve">Zhang, J.Z., </w:t>
      </w:r>
      <w:proofErr w:type="spellStart"/>
      <w:r>
        <w:t>Orter</w:t>
      </w:r>
      <w:proofErr w:type="spellEnd"/>
      <w:r>
        <w:t>, P., Fisher, Ch. J. and Moore, L.D. 1997. Determination of ammonia in estuarine and coastal waters by gas segmented flow colorimetric analysis.  Methods for determination of chemical substances in marine and estuarine environmental matrices. 2nd ed. EPA/7664-41-7.</w:t>
      </w:r>
    </w:p>
    <w:sectPr w:rsidR="004F0783" w:rsidRPr="00D73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5C3AA7"/>
    <w:multiLevelType w:val="hybridMultilevel"/>
    <w:tmpl w:val="2D9E6A2A"/>
    <w:lvl w:ilvl="0" w:tplc="E03614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DC6"/>
    <w:rsid w:val="00053DF5"/>
    <w:rsid w:val="0009139C"/>
    <w:rsid w:val="001952E3"/>
    <w:rsid w:val="001F5F75"/>
    <w:rsid w:val="001F6068"/>
    <w:rsid w:val="002055B9"/>
    <w:rsid w:val="00221215"/>
    <w:rsid w:val="002B4E29"/>
    <w:rsid w:val="003829C2"/>
    <w:rsid w:val="003A5871"/>
    <w:rsid w:val="003B15C8"/>
    <w:rsid w:val="003B7A9E"/>
    <w:rsid w:val="004A7DCF"/>
    <w:rsid w:val="004F0783"/>
    <w:rsid w:val="00534424"/>
    <w:rsid w:val="005B2E2C"/>
    <w:rsid w:val="005D7BE4"/>
    <w:rsid w:val="005E7F4B"/>
    <w:rsid w:val="00665D05"/>
    <w:rsid w:val="00672BB0"/>
    <w:rsid w:val="006C7DC6"/>
    <w:rsid w:val="007E17AF"/>
    <w:rsid w:val="007E6D6F"/>
    <w:rsid w:val="00863A0B"/>
    <w:rsid w:val="008B6734"/>
    <w:rsid w:val="00953AAF"/>
    <w:rsid w:val="009E2730"/>
    <w:rsid w:val="009E2A94"/>
    <w:rsid w:val="009E2DBF"/>
    <w:rsid w:val="00A43474"/>
    <w:rsid w:val="00AA6651"/>
    <w:rsid w:val="00B70720"/>
    <w:rsid w:val="00D20BEF"/>
    <w:rsid w:val="00D73DBE"/>
    <w:rsid w:val="00D80972"/>
    <w:rsid w:val="00D82CC4"/>
    <w:rsid w:val="00D82FD5"/>
    <w:rsid w:val="00E66A3A"/>
    <w:rsid w:val="00E81462"/>
    <w:rsid w:val="00ED1323"/>
    <w:rsid w:val="00F16330"/>
    <w:rsid w:val="00F210E9"/>
    <w:rsid w:val="00F45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BA2749-47E9-412A-93CF-D3A04BE4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DC6"/>
    <w:pPr>
      <w:ind w:left="720"/>
      <w:contextualSpacing/>
    </w:pPr>
  </w:style>
  <w:style w:type="character" w:customStyle="1" w:styleId="nlmstring-name">
    <w:name w:val="nlm_string-name"/>
    <w:basedOn w:val="DefaultParagraphFont"/>
    <w:rsid w:val="003829C2"/>
  </w:style>
  <w:style w:type="character" w:customStyle="1" w:styleId="apple-converted-space">
    <w:name w:val="apple-converted-space"/>
    <w:basedOn w:val="DefaultParagraphFont"/>
    <w:rsid w:val="003829C2"/>
  </w:style>
  <w:style w:type="character" w:styleId="Hyperlink">
    <w:name w:val="Hyperlink"/>
    <w:basedOn w:val="DefaultParagraphFont"/>
    <w:uiPriority w:val="99"/>
    <w:unhideWhenUsed/>
    <w:rsid w:val="00863A0B"/>
    <w:rPr>
      <w:color w:val="0563C1" w:themeColor="hyperlink"/>
      <w:u w:val="single"/>
    </w:rPr>
  </w:style>
  <w:style w:type="table" w:styleId="TableGrid">
    <w:name w:val="Table Grid"/>
    <w:basedOn w:val="TableNormal"/>
    <w:uiPriority w:val="39"/>
    <w:rsid w:val="00863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pa.gov/region1/info/testmethods/pdfs/RSKsop175v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ma.liu.se/tema-m/iwflux/web-portal/metodhs/gas-concentrationmeasurements/copyofcopyofcopyofarkiv/copyofarchive/1.620282/Calculationsofgasconcentrationsinwaterbasedontheheadspaceextractionmethod.pdf" TargetMode="External"/><Relationship Id="rId5" Type="http://schemas.openxmlformats.org/officeDocument/2006/relationships/hyperlink" Target="carey.biol.vt.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882</TotalTime>
  <Pages>7</Pages>
  <Words>1882</Words>
  <Characters>10733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Lofton</dc:creator>
  <cp:keywords/>
  <dc:description/>
  <cp:lastModifiedBy>Mary Lofton</cp:lastModifiedBy>
  <cp:revision>23</cp:revision>
  <dcterms:created xsi:type="dcterms:W3CDTF">2016-03-10T15:25:00Z</dcterms:created>
  <dcterms:modified xsi:type="dcterms:W3CDTF">2016-03-23T23:23:00Z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 /&gt;&lt;format class="0" /&gt;&lt;count citations="0" publications="0" /&gt;&lt;/info&gt;PAPERS2_INFO_END</vt:lpwstr>
  </property>
</Properties>
</file>