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05A765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eastAsia"/>
          <w:b/>
          <w:bCs/>
        </w:rPr>
        <w:t>构建隐藏成本反馈系统</w:t>
      </w:r>
      <w:bookmarkStart w:id="0" w:name="_GoBack"/>
      <w:bookmarkEnd w:id="0"/>
    </w:p>
    <w:p w14:paraId="2D1E5929">
      <w:pPr>
        <w:rPr>
          <w:rFonts w:hint="eastAsia"/>
        </w:rPr>
      </w:pPr>
      <w:r>
        <w:rPr>
          <w:rFonts w:hint="eastAsia"/>
          <w:highlight w:val="yellow"/>
        </w:rPr>
        <w:t>循环图</w:t>
      </w:r>
    </w:p>
    <w:p w14:paraId="2D0CB8CC">
      <w:r>
        <w:rPr>
          <w:rFonts w:hint="eastAsia"/>
        </w:rPr>
        <w:t>该反馈系统展示了游客管理策略在经济、社会和环境三个子系统之间的相互作用和反馈机制。通过动态定价、配额管理和资金分配等策略，系统旨在实现旅游业的可持续发展，平衡经济增长、社会满意度和环境保护。动态定价和配额管理通过价格机制和游客数量控制，确保资源合理利用，避免过度拥挤。在资金分配方面，团队构建</w:t>
      </w:r>
      <w:r>
        <w:t>了一套促进可持续发展的体系。</w:t>
      </w:r>
      <w:r>
        <w:rPr>
          <w:rFonts w:hint="eastAsia"/>
        </w:rPr>
        <w:t>隐藏成本的</w:t>
      </w:r>
      <w:r>
        <w:t>资金分配上呈现多元化</w:t>
      </w:r>
      <w:r>
        <w:rPr>
          <w:rFonts w:hint="eastAsia"/>
        </w:rPr>
        <w:t>与</w:t>
      </w:r>
      <w:r>
        <w:t>针对性。30%（1,020 万美元）用于基础设施维护，升级道路和污水处理设施；25%（850 万美元）投入生态修复，开展冰川保护与森林修复；20%（680 万美元）用于社区支持，涵盖</w:t>
      </w:r>
      <w:r>
        <w:rPr>
          <w:rFonts w:hint="eastAsia"/>
        </w:rPr>
        <w:t>废物处理</w:t>
      </w:r>
      <w:r>
        <w:t>与居民抗议调解；15%（510 万美元）助力文化保护，推动本地文化的保护与推广；10%（340 万美元）支持产业多元化，扶持渔业、林业等替代产业。这种资金回报与分配模式，旨在平衡经济收益、生态保护、社区发展和文化传承，促进智能可持续体育旅游的长期健康发展，与游客管理策略反馈系统中追求多方面平衡的理念相呼应。</w:t>
      </w:r>
    </w:p>
    <w:p w14:paraId="7EA944BE">
      <w:pPr>
        <w:jc w:val="center"/>
        <w:rPr>
          <w:b/>
          <w:bCs/>
        </w:rPr>
      </w:pPr>
      <w:r>
        <w:drawing>
          <wp:inline distT="0" distB="0" distL="0" distR="0">
            <wp:extent cx="4541520" cy="3373755"/>
            <wp:effectExtent l="0" t="0" r="5080" b="4445"/>
            <wp:docPr id="15723396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9692" name="图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37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CF83D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2.</w:t>
      </w:r>
      <w:r>
        <w:rPr>
          <w:rFonts w:hint="eastAsia"/>
          <w:b/>
          <w:bCs/>
        </w:rPr>
        <w:t>模型修正</w:t>
      </w:r>
    </w:p>
    <w:p w14:paraId="0D6C2896">
      <w:pPr>
        <w:rPr>
          <w:rFonts w:hint="eastAsia"/>
        </w:rPr>
      </w:pPr>
      <w:r>
        <w:rPr>
          <w:rFonts w:hint="eastAsia"/>
        </w:rPr>
        <w:t>新增目标函数</w:t>
      </w:r>
    </w:p>
    <w:p w14:paraId="095DAF9A">
      <w:pPr>
        <w:rPr>
          <w:rFonts w:hint="eastAsia"/>
        </w:rPr>
      </w:pPr>
      <w:r>
        <w:rPr>
          <w:rFonts w:hint="eastAsia"/>
        </w:rPr>
        <w:t>·隐藏成本最小化</w:t>
      </w:r>
    </w:p>
    <w:p w14:paraId="6A2667C2">
      <w:pPr>
        <w:rPr>
          <w:rFonts w:hint="eastAsia"/>
        </w:rPr>
      </w:pPr>
      <m:oMath>
        <m:r>
          <m:rPr/>
          <w:rPr>
            <w:rFonts w:ascii="Cambria Math" w:hAnsi="Cambria Math"/>
          </w:rPr>
          <m:t>H</m:t>
        </m:r>
      </m:oMath>
      <w:r>
        <w:rPr>
          <w:rFonts w:hint="eastAsia"/>
        </w:rPr>
        <w:t>=0.3*基础设施损耗+0.25*生态修复+0.2*社区支持+ 0.15*文化保护+0.1*产业多元化</w:t>
      </w:r>
    </w:p>
    <w:p w14:paraId="5E675BE2">
      <w:pPr>
        <w:rPr>
          <w:rFonts w:hint="eastAsia"/>
        </w:rPr>
      </w:pPr>
      <w:r>
        <w:rPr>
          <w:rFonts w:hint="eastAsia"/>
        </w:rPr>
        <w:t>约束条件更新:</w:t>
      </w:r>
    </w:p>
    <w:p w14:paraId="3E3CE836">
      <w:pPr>
        <w:rPr>
          <w:rFonts w:hint="eastAsia"/>
        </w:rPr>
      </w:pPr>
      <w:r>
        <w:rPr>
          <w:rFonts w:hint="eastAsia"/>
        </w:rPr>
        <w:t>隐藏成本支出≤直接收入+间接收入.</w:t>
      </w:r>
    </w:p>
    <w:p w14:paraId="41A523CD">
      <w:pPr>
        <w:rPr>
          <w:rFonts w:hint="eastAsia"/>
        </w:rPr>
      </w:pPr>
      <w:r>
        <w:rPr>
          <w:rFonts w:hint="eastAsia"/>
        </w:rPr>
        <w:t>居民满意度≥70分</w:t>
      </w:r>
    </w:p>
    <w:p w14:paraId="4F84B90A">
      <w:r>
        <w:rPr>
          <w:rFonts w:hint="eastAsia"/>
        </w:rPr>
        <w:t>碳排放≤50千吨/年</w:t>
      </w:r>
    </w:p>
    <w:p w14:paraId="5B00E4E8"/>
    <w:p w14:paraId="387EB3B3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eastAsia"/>
          <w:b/>
          <w:bCs/>
        </w:rPr>
        <w:t>帕累托前沿计算</w:t>
      </w:r>
    </w:p>
    <w:p w14:paraId="46686EF5">
      <w:r>
        <w:rPr>
          <w:rFonts w:hint="eastAsia"/>
        </w:rPr>
        <w:t>采用 NSGA-II算法生成四目标帕累托前沿(经济、社会、环境、隐藏成本)如下:</w:t>
      </w:r>
    </w:p>
    <w:tbl>
      <w:tblPr>
        <w:tblStyle w:val="13"/>
        <w:tblW w:w="4999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9"/>
        <w:gridCol w:w="2075"/>
        <w:gridCol w:w="2074"/>
        <w:gridCol w:w="2072"/>
      </w:tblGrid>
      <w:tr w14:paraId="7C91B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9E2F3" w:themeFill="accent1" w:themeFillTint="33"/>
            <w:noWrap/>
          </w:tcPr>
          <w:p w14:paraId="54492D98">
            <w:pPr>
              <w:rPr>
                <w:b/>
                <w:bCs/>
              </w:rPr>
            </w:pPr>
            <w:r>
              <w:rPr>
                <w:rFonts w:hint="eastAsia"/>
              </w:rPr>
              <w:t>经济收益（亿美元）</w:t>
            </w:r>
          </w:p>
        </w:tc>
        <w:tc>
          <w:tcPr>
            <w:tcW w:w="1218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9E2F3" w:themeFill="accent1" w:themeFillTint="33"/>
          </w:tcPr>
          <w:p w14:paraId="16670287">
            <w:pPr>
              <w:rPr>
                <w:rFonts w:hint="eastAsia"/>
              </w:rPr>
            </w:pPr>
            <w:r>
              <w:rPr>
                <w:rFonts w:hint="eastAsia"/>
              </w:rPr>
              <w:t>居民满意度（分）</w:t>
            </w:r>
          </w:p>
        </w:tc>
        <w:tc>
          <w:tcPr>
            <w:tcW w:w="1217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9E2F3" w:themeFill="accent1" w:themeFillTint="33"/>
          </w:tcPr>
          <w:p w14:paraId="3EC7CCA7">
            <w:pPr>
              <w:rPr>
                <w:rFonts w:hint="eastAsia"/>
              </w:rPr>
            </w:pPr>
            <w:r>
              <w:rPr>
                <w:rFonts w:hint="eastAsia"/>
              </w:rPr>
              <w:t>碳排放（千吨）</w:t>
            </w:r>
          </w:p>
        </w:tc>
        <w:tc>
          <w:tcPr>
            <w:tcW w:w="1216" w:type="pct"/>
            <w:tcBorders>
              <w:top w:val="single" w:color="auto" w:sz="18" w:space="0"/>
              <w:left w:val="nil"/>
              <w:bottom w:val="single" w:color="auto" w:sz="18" w:space="0"/>
              <w:right w:val="nil"/>
            </w:tcBorders>
            <w:shd w:val="clear" w:color="auto" w:fill="D9E2F3" w:themeFill="accent1" w:themeFillTint="33"/>
          </w:tcPr>
          <w:p w14:paraId="08D8B483">
            <w:pPr>
              <w:rPr>
                <w:rFonts w:hint="eastAsia"/>
              </w:rPr>
            </w:pPr>
            <w:r>
              <w:rPr>
                <w:rFonts w:hint="eastAsia"/>
              </w:rPr>
              <w:t>隐藏成本（万美元）</w:t>
            </w:r>
          </w:p>
        </w:tc>
      </w:tr>
      <w:tr w14:paraId="274AB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C983CCD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3.5</w:t>
            </w:r>
          </w:p>
        </w:tc>
        <w:tc>
          <w:tcPr>
            <w:tcW w:w="1218" w:type="pct"/>
            <w:tcBorders>
              <w:top w:val="nil"/>
              <w:left w:val="nil"/>
              <w:bottom w:val="nil"/>
              <w:right w:val="nil"/>
            </w:tcBorders>
          </w:tcPr>
          <w:p w14:paraId="77618EB6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</w:tcPr>
          <w:p w14:paraId="147EBCDB">
            <w:pPr>
              <w:rPr>
                <w:rFonts w:hint="eastAsia"/>
              </w:rPr>
            </w:pPr>
            <w:r>
              <w:rPr>
                <w:rFonts w:hint="eastAsia"/>
              </w:rPr>
              <w:t>7.5</w:t>
            </w:r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14:paraId="74ACE143">
            <w:pPr>
              <w:rPr>
                <w:rFonts w:hint="eastAsia"/>
              </w:rPr>
            </w:pPr>
            <w:r>
              <w:rPr>
                <w:rFonts w:hint="eastAsia"/>
              </w:rPr>
              <w:t>1200</w:t>
            </w:r>
          </w:p>
        </w:tc>
      </w:tr>
      <w:tr w14:paraId="19368C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798E3FF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3.2</w:t>
            </w:r>
          </w:p>
        </w:tc>
        <w:tc>
          <w:tcPr>
            <w:tcW w:w="1218" w:type="pct"/>
            <w:tcBorders>
              <w:top w:val="nil"/>
              <w:left w:val="nil"/>
              <w:bottom w:val="nil"/>
              <w:right w:val="nil"/>
            </w:tcBorders>
          </w:tcPr>
          <w:p w14:paraId="61399058">
            <w:pPr>
              <w:rPr>
                <w:rFonts w:hint="eastAsia"/>
              </w:rPr>
            </w:pPr>
            <w:r>
              <w:rPr>
                <w:rFonts w:hint="eastAsia"/>
              </w:rPr>
              <w:t>95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</w:tcPr>
          <w:p w14:paraId="27C8A1C6">
            <w:pPr>
              <w:rPr>
                <w:rFonts w:hint="eastAsia"/>
              </w:rPr>
            </w:pPr>
            <w:r>
              <w:rPr>
                <w:rFonts w:hint="eastAsia"/>
              </w:rPr>
              <w:t>6.8</w:t>
            </w:r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14:paraId="78636C16">
            <w:pPr>
              <w:rPr>
                <w:rFonts w:hint="eastAsia"/>
              </w:rPr>
            </w:pPr>
            <w:r>
              <w:rPr>
                <w:rFonts w:hint="eastAsia"/>
              </w:rPr>
              <w:t>1000</w:t>
            </w:r>
          </w:p>
        </w:tc>
      </w:tr>
      <w:tr w14:paraId="690C83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5CB1D0D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2.8</w:t>
            </w:r>
          </w:p>
        </w:tc>
        <w:tc>
          <w:tcPr>
            <w:tcW w:w="1218" w:type="pct"/>
            <w:tcBorders>
              <w:top w:val="nil"/>
              <w:left w:val="nil"/>
              <w:bottom w:val="nil"/>
              <w:right w:val="nil"/>
            </w:tcBorders>
          </w:tcPr>
          <w:p w14:paraId="2CA6E5DC">
            <w:pPr>
              <w:rPr>
                <w:rFonts w:hint="eastAsia"/>
              </w:rPr>
            </w:pPr>
            <w:r>
              <w:rPr>
                <w:rFonts w:hint="eastAsia"/>
              </w:rPr>
              <w:t>98</w:t>
            </w:r>
          </w:p>
        </w:tc>
        <w:tc>
          <w:tcPr>
            <w:tcW w:w="1217" w:type="pct"/>
            <w:tcBorders>
              <w:top w:val="nil"/>
              <w:left w:val="nil"/>
              <w:bottom w:val="nil"/>
              <w:right w:val="nil"/>
            </w:tcBorders>
          </w:tcPr>
          <w:p w14:paraId="3EDE895E">
            <w:pPr>
              <w:rPr>
                <w:rFonts w:hint="eastAsia"/>
              </w:rPr>
            </w:pPr>
            <w:r>
              <w:rPr>
                <w:rFonts w:hint="eastAsia"/>
              </w:rPr>
              <w:t>5.2</w:t>
            </w:r>
          </w:p>
        </w:tc>
        <w:tc>
          <w:tcPr>
            <w:tcW w:w="1216" w:type="pct"/>
            <w:tcBorders>
              <w:top w:val="nil"/>
              <w:left w:val="nil"/>
              <w:bottom w:val="nil"/>
              <w:right w:val="nil"/>
            </w:tcBorders>
          </w:tcPr>
          <w:p w14:paraId="19CD0383">
            <w:pPr>
              <w:rPr>
                <w:rFonts w:hint="eastAsia"/>
              </w:rPr>
            </w:pPr>
            <w:r>
              <w:rPr>
                <w:rFonts w:hint="eastAsia"/>
              </w:rPr>
              <w:t>800</w:t>
            </w:r>
          </w:p>
        </w:tc>
      </w:tr>
      <w:tr w14:paraId="05B75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1349" w:type="pct"/>
            <w:tcBorders>
              <w:top w:val="double" w:color="auto" w:sz="2" w:space="0"/>
              <w:left w:val="nil"/>
              <w:bottom w:val="single" w:color="auto" w:sz="18" w:space="0"/>
              <w:right w:val="nil"/>
            </w:tcBorders>
            <w:shd w:val="clear" w:color="auto" w:fill="FFFFFF"/>
            <w:noWrap/>
          </w:tcPr>
          <w:p w14:paraId="2012D1E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2.0</w:t>
            </w:r>
          </w:p>
        </w:tc>
        <w:tc>
          <w:tcPr>
            <w:tcW w:w="1218" w:type="pct"/>
            <w:tcBorders>
              <w:top w:val="double" w:color="auto" w:sz="2" w:space="0"/>
              <w:left w:val="nil"/>
              <w:bottom w:val="single" w:color="auto" w:sz="18" w:space="0"/>
              <w:right w:val="nil"/>
            </w:tcBorders>
            <w:shd w:val="clear" w:color="auto" w:fill="FFFFFF"/>
          </w:tcPr>
          <w:p w14:paraId="0D0AC371">
            <w:pPr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17" w:type="pct"/>
            <w:tcBorders>
              <w:top w:val="double" w:color="auto" w:sz="2" w:space="0"/>
              <w:left w:val="nil"/>
              <w:bottom w:val="single" w:color="auto" w:sz="18" w:space="0"/>
              <w:right w:val="nil"/>
            </w:tcBorders>
            <w:shd w:val="clear" w:color="auto" w:fill="FFFFFF"/>
          </w:tcPr>
          <w:p w14:paraId="50153972">
            <w:pPr>
              <w:rPr>
                <w:rFonts w:hint="eastAsia"/>
              </w:rPr>
            </w:pPr>
            <w:r>
              <w:rPr>
                <w:rFonts w:hint="eastAsia"/>
              </w:rPr>
              <w:t>4.0</w:t>
            </w:r>
          </w:p>
        </w:tc>
        <w:tc>
          <w:tcPr>
            <w:tcW w:w="1216" w:type="pct"/>
            <w:tcBorders>
              <w:top w:val="double" w:color="auto" w:sz="2" w:space="0"/>
              <w:left w:val="nil"/>
              <w:bottom w:val="single" w:color="auto" w:sz="18" w:space="0"/>
              <w:right w:val="nil"/>
            </w:tcBorders>
            <w:shd w:val="clear" w:color="auto" w:fill="FFFFFF"/>
          </w:tcPr>
          <w:p w14:paraId="70F86E96">
            <w:pPr>
              <w:rPr>
                <w:rFonts w:hint="eastAsia"/>
              </w:rPr>
            </w:pPr>
            <w:r>
              <w:rPr>
                <w:rFonts w:hint="eastAsia"/>
              </w:rPr>
              <w:t>600</w:t>
            </w:r>
          </w:p>
        </w:tc>
      </w:tr>
    </w:tbl>
    <w:p w14:paraId="30BB5F9C">
      <w:pPr>
        <w:rPr>
          <w:highlight w:val="yellow"/>
        </w:rPr>
      </w:pPr>
      <w:r>
        <w:rPr>
          <w:rFonts w:hint="eastAsia"/>
          <w:highlight w:val="yellow"/>
        </w:rPr>
        <w:t>在社会子系统中，风险应对措施包括提升供水能力和废物处理能力，确保社会稳定。通过碳税分配和低碳交通投资，碳排放得以降低，居民满意度和社会稳定指数得到提升。生态修复和基础设施升级进一步增强了区域承载力，支持更多游客的同时，提升了居民的生活质量。居民补偿和公共服务改善直接提高了社会稳定指数，促进了社会和谐。</w:t>
      </w:r>
    </w:p>
    <w:p w14:paraId="1F4FA5E9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环境子系统中，隐藏用于生态修复，恢复自然景观，减缓冰川消退速率。通过碳税和低碳交通投资，旅游业的碳足迹得以降低，气候影响得到减缓。生态修复效果的提升进一步增强了区域承载力，支持更多游客，形成了良性循环。该反馈系统通过经济、社会和环境三个子系统的相互作用，实现了游客管理策略的全面优化，为旅游业的可持续发展提供了科学依据。</w:t>
      </w:r>
    </w:p>
    <w:p w14:paraId="0E3FCF7C">
      <w:r>
        <w:rPr>
          <w:rFonts w:hint="eastAsia"/>
        </w:rPr>
        <w:t>帕累托图</w:t>
      </w:r>
    </w:p>
    <w:p w14:paraId="3530099C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b/>
          <w:bCs/>
        </w:rPr>
        <w:t>可持续旅游发展推荐方案</w:t>
      </w:r>
    </w:p>
    <w:p w14:paraId="5E20AA0D">
      <w:pPr>
        <w:rPr>
          <w:rFonts w:hint="eastAsia"/>
        </w:rPr>
      </w:pPr>
      <w:r>
        <w:rPr>
          <w:rFonts w:hint="eastAsia"/>
        </w:rPr>
        <w:t>均衡型:</w:t>
      </w:r>
      <m:oMath>
        <m:r>
          <m:rPr/>
          <w:rPr>
            <w:rFonts w:hint="eastAsia" w:ascii="Cambria Math" w:hAnsi="Cambria Math"/>
          </w:rPr>
          <m:t>R</m:t>
        </m:r>
      </m:oMath>
      <w:r>
        <w:rPr>
          <w:rFonts w:hint="eastAsia"/>
        </w:rPr>
        <w:t>=3.0亿，</w:t>
      </w:r>
      <m:oMath>
        <m:r>
          <m:rPr/>
          <w:rPr>
            <w:rFonts w:hint="eastAsia" w:ascii="Cambria Math" w:hAnsi="Cambria Math"/>
          </w:rPr>
          <m:t>S</m:t>
        </m:r>
      </m:oMath>
      <w:r>
        <w:rPr>
          <w:rFonts w:hint="eastAsia"/>
        </w:rPr>
        <w:t>=95，</w:t>
      </w:r>
      <m:oMath>
        <m:r>
          <m:rPr/>
          <w:rPr>
            <w:rFonts w:hint="eastAsia" w:ascii="Cambria Math" w:hAnsi="Cambria Math"/>
          </w:rPr>
          <m:t>C</m:t>
        </m:r>
      </m:oMath>
      <w:r>
        <w:rPr>
          <w:rFonts w:hint="eastAsia"/>
        </w:rPr>
        <w:t>=6.0千吨，</w:t>
      </w:r>
      <m:oMath>
        <m:r>
          <m:rPr/>
          <w:rPr>
            <w:rFonts w:hint="eastAsia" w:ascii="Cambria Math" w:hAnsi="Cambria Math"/>
          </w:rPr>
          <m:t>H</m:t>
        </m:r>
      </m:oMath>
      <w:r>
        <w:rPr>
          <w:rFonts w:hint="eastAsia"/>
        </w:rPr>
        <w:t>=900万美元</w:t>
      </w:r>
    </w:p>
    <w:p w14:paraId="17722E0A">
      <w:r>
        <w:rPr>
          <w:rFonts w:hint="eastAsia"/>
        </w:rPr>
        <w:t>环保优先型:</w:t>
      </w:r>
      <m:oMath>
        <m:r>
          <m:rPr/>
          <w:rPr>
            <w:rFonts w:hint="eastAsia" w:ascii="Cambria Math" w:hAnsi="Cambria Math"/>
          </w:rPr>
          <m:t>R</m:t>
        </m:r>
      </m:oMath>
      <w:r>
        <w:rPr>
          <w:rFonts w:hint="eastAsia"/>
        </w:rPr>
        <w:t>=2.5亿，</w:t>
      </w:r>
      <m:oMath>
        <m:r>
          <m:rPr/>
          <w:rPr>
            <w:rFonts w:hint="eastAsia" w:ascii="Cambria Math" w:hAnsi="Cambria Math"/>
          </w:rPr>
          <m:t>S</m:t>
        </m:r>
      </m:oMath>
      <w:r>
        <w:rPr>
          <w:rFonts w:hint="eastAsia"/>
        </w:rPr>
        <w:t>=98，</w:t>
      </w:r>
      <m:oMath>
        <m:r>
          <m:rPr/>
          <w:rPr>
            <w:rFonts w:hint="eastAsia" w:ascii="Cambria Math" w:hAnsi="Cambria Math"/>
          </w:rPr>
          <m:t>C</m:t>
        </m:r>
      </m:oMath>
      <w:r>
        <w:rPr>
          <w:rFonts w:hint="eastAsia"/>
        </w:rPr>
        <w:t>=4.5 千吨，</w:t>
      </w:r>
      <m:oMath>
        <m:r>
          <m:rPr/>
          <w:rPr>
            <w:rFonts w:hint="eastAsia" w:ascii="Cambria Math" w:hAnsi="Cambria Math"/>
          </w:rPr>
          <m:t>H</m:t>
        </m:r>
      </m:oMath>
      <w:r>
        <w:rPr>
          <w:rFonts w:hint="eastAsia"/>
        </w:rPr>
        <w:t>=700万美元</w:t>
      </w:r>
    </w:p>
    <w:p w14:paraId="6F11ED47">
      <w:r>
        <w:rPr>
          <w:rFonts w:hint="eastAsia"/>
        </w:rPr>
        <w:t>通过识别隐藏成本并优化资金分配，模型在原有经济、社会、环境目标基础上新增隐藏成本最小化目标，生成四维帕累托前沿。均衡型方案(</w:t>
      </w:r>
      <m:oMath>
        <m:r>
          <m:rPr/>
          <w:rPr>
            <w:rFonts w:hint="eastAsia" w:ascii="Cambria Math" w:hAnsi="Cambria Math"/>
          </w:rPr>
          <m:t>R</m:t>
        </m:r>
      </m:oMath>
      <w:r>
        <w:rPr>
          <w:rFonts w:hint="eastAsia"/>
        </w:rPr>
        <w:t>=3.0亿，</w:t>
      </w:r>
      <m:oMath>
        <m:r>
          <m:rPr/>
          <w:rPr>
            <w:rFonts w:hint="eastAsia" w:ascii="Cambria Math" w:hAnsi="Cambria Math"/>
          </w:rPr>
          <m:t>S</m:t>
        </m:r>
      </m:oMath>
      <w:r>
        <w:rPr>
          <w:rFonts w:hint="eastAsia"/>
        </w:rPr>
        <w:t>=95，</w:t>
      </w:r>
      <m:oMath>
        <m:r>
          <m:rPr/>
          <w:rPr>
            <w:rFonts w:hint="eastAsia" w:ascii="Cambria Math" w:hAnsi="Cambria Math"/>
          </w:rPr>
          <m:t>C</m:t>
        </m:r>
      </m:oMath>
      <w:r>
        <w:rPr>
          <w:rFonts w:hint="eastAsia"/>
        </w:rPr>
        <w:t>=6.0千吨，</w:t>
      </w:r>
      <m:oMath>
        <m:r>
          <m:rPr/>
          <w:rPr>
            <w:rFonts w:hint="eastAsia" w:ascii="Cambria Math" w:hAnsi="Cambria Math"/>
          </w:rPr>
          <m:t>H</m:t>
        </m:r>
      </m:oMath>
      <w:r>
        <w:rPr>
          <w:rFonts w:hint="eastAsia"/>
        </w:rPr>
        <w:t>=900 万美元)在短期经济收益与长期可持续性间取得平衡。</w:t>
      </w:r>
    </w:p>
    <w:p w14:paraId="06C560CB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5.</w:t>
      </w:r>
      <w:r>
        <w:rPr>
          <w:rFonts w:hint="eastAsia"/>
          <w:b/>
          <w:bCs/>
        </w:rPr>
        <w:t>建议</w:t>
      </w:r>
    </w:p>
    <w:p w14:paraId="5D1F12DA">
      <w:pPr>
        <w:rPr>
          <w:rFonts w:hint="eastAsia"/>
        </w:rPr>
      </w:pPr>
      <w:r>
        <w:rPr>
          <w:rFonts w:hint="eastAsia"/>
        </w:rPr>
        <w:t>短期:征收邮轮碳税($30/吨)，分配20%税收至社区支持。</w:t>
      </w:r>
    </w:p>
    <w:p w14:paraId="0C231D80">
      <w:pPr>
        <w:rPr>
          <w:rFonts w:hint="eastAsia"/>
        </w:rPr>
      </w:pPr>
      <w:r>
        <w:rPr>
          <w:rFonts w:hint="eastAsia"/>
        </w:rPr>
        <w:t>中期:投资电动邮轮港口(预算1800万美元)，2030年前减排30%。</w:t>
      </w:r>
    </w:p>
    <w:p w14:paraId="0C247971">
      <w:pPr>
        <w:rPr>
          <w:rFonts w:hint="eastAsia"/>
        </w:rPr>
      </w:pPr>
      <w:r>
        <w:rPr>
          <w:rFonts w:hint="eastAsia"/>
        </w:rPr>
        <w:t>长期:开发虚拟旅游项目，分散游客对冰川的依赖，降低环境压力。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5B4"/>
    <w:rsid w:val="00004AFE"/>
    <w:rsid w:val="00227DA7"/>
    <w:rsid w:val="0053678E"/>
    <w:rsid w:val="00794DEF"/>
    <w:rsid w:val="008059DD"/>
    <w:rsid w:val="00A07EEE"/>
    <w:rsid w:val="00B945B4"/>
    <w:rsid w:val="00BF5BFA"/>
    <w:rsid w:val="00CE2F2A"/>
    <w:rsid w:val="34815179"/>
    <w:rsid w:val="64AF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character" w:styleId="33">
    <w:name w:val="Placeholder Text"/>
    <w:basedOn w:val="14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1142</Words>
  <Characters>1271</Characters>
  <Lines>9</Lines>
  <Paragraphs>2</Paragraphs>
  <TotalTime>127</TotalTime>
  <ScaleCrop>false</ScaleCrop>
  <LinksUpToDate>false</LinksUpToDate>
  <CharactersWithSpaces>1280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2025-01-27T10:28:00Z</dcterms:created>
  <dc:creator>歆悦 张</dc:creator>
  <cp:lastModifiedBy>無幻</cp:lastModifiedBy>
  <dcterms:modified xsi:type="dcterms:W3CDTF">2025-01-27T17:07:10Z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eyJoZGlkIjoiMTdmZWNlZmNjOWY1NDYwNzg1NzBhODllM2ZkYzFiOTciLCJ1c2VySWQiOiI4MzYxMzY5NTEifQ==</vt:lpwstr>
  </property>
  <property fmtid="{D5CDD505-2E9C-101B-9397-08002B2CF9AE}" pid="3" name="KSOProductBuildVer">
    <vt:lpwstr>2052-12.1.0.19770</vt:lpwstr>
  </property>
  <property fmtid="{D5CDD505-2E9C-101B-9397-08002B2CF9AE}" pid="4" name="ICV">
    <vt:lpwstr>A874CEBFFA7F493EAC4E345E01A2EF13_12</vt:lpwstr>
  </property>
</Properties>
</file>