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99" w:rsidRDefault="008E2E99" w:rsidP="008E2E99">
      <w:pPr>
        <w:shd w:val="clear" w:color="auto" w:fill="FFFFFF"/>
        <w:spacing w:before="120" w:after="120" w:line="258" w:lineRule="atLeast"/>
        <w:rPr>
          <w:rFonts w:ascii="Arial" w:eastAsia="Times New Roman" w:hAnsi="Arial" w:cs="Arial"/>
          <w:b/>
          <w:bCs/>
          <w:color w:val="252525"/>
          <w:sz w:val="16"/>
          <w:szCs w:val="16"/>
        </w:rPr>
      </w:pPr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>3.</w:t>
      </w:r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ab/>
      </w:r>
      <w:proofErr w:type="spellStart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>Pociťovaná</w:t>
      </w:r>
      <w:proofErr w:type="spellEnd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>zmena</w:t>
      </w:r>
      <w:proofErr w:type="spellEnd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 xml:space="preserve"> (Weber-</w:t>
      </w:r>
      <w:proofErr w:type="spellStart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>Fechnerov</w:t>
      </w:r>
      <w:proofErr w:type="spellEnd"/>
      <w:r w:rsidRPr="008E2E99">
        <w:rPr>
          <w:rFonts w:ascii="Arial" w:eastAsia="Times New Roman" w:hAnsi="Arial" w:cs="Arial"/>
          <w:b/>
          <w:bCs/>
          <w:color w:val="252525"/>
          <w:sz w:val="16"/>
          <w:szCs w:val="16"/>
        </w:rPr>
        <w:t xml:space="preserve">  model)  </w:t>
      </w:r>
    </w:p>
    <w:p w:rsidR="008E2E99" w:rsidRDefault="008E2E99" w:rsidP="008E2E99">
      <w:pPr>
        <w:shd w:val="clear" w:color="auto" w:fill="FFFFFF"/>
        <w:spacing w:before="120" w:after="120" w:line="258" w:lineRule="atLeast"/>
        <w:rPr>
          <w:rFonts w:ascii="Arial" w:eastAsia="Times New Roman" w:hAnsi="Arial" w:cs="Arial"/>
          <w:b/>
          <w:bCs/>
          <w:color w:val="252525"/>
          <w:sz w:val="16"/>
          <w:szCs w:val="16"/>
        </w:rPr>
      </w:pPr>
    </w:p>
    <w:p w:rsidR="008E2E99" w:rsidRPr="008E10AC" w:rsidRDefault="008E2E99" w:rsidP="008E2E99">
      <w:pPr>
        <w:shd w:val="clear" w:color="auto" w:fill="FFFFFF"/>
        <w:spacing w:before="120" w:after="120" w:line="258" w:lineRule="atLeast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10AC">
        <w:rPr>
          <w:rFonts w:ascii="Arial" w:eastAsia="Times New Roman" w:hAnsi="Arial" w:cs="Arial"/>
          <w:b/>
          <w:bCs/>
          <w:color w:val="252525"/>
          <w:sz w:val="16"/>
          <w:szCs w:val="16"/>
          <w:highlight w:val="yellow"/>
        </w:rPr>
        <w:t>Weberov–Fechnerov</w:t>
      </w:r>
      <w:proofErr w:type="spellEnd"/>
      <w:r w:rsidRPr="008E10AC">
        <w:rPr>
          <w:rFonts w:ascii="Arial" w:eastAsia="Times New Roman" w:hAnsi="Arial" w:cs="Arial"/>
          <w:b/>
          <w:bCs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b/>
          <w:bCs/>
          <w:color w:val="252525"/>
          <w:sz w:val="16"/>
          <w:szCs w:val="16"/>
          <w:highlight w:val="yellow"/>
        </w:rPr>
        <w:t>zákon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highlight w:val="yellow"/>
        </w:rPr>
        <w:t> 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zákon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hovorí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,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že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intenzita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zmyslového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vnemu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je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logaritimicky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závislá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od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intenzity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fyzikálneho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podnetu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.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Matematicky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možno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Weberov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zákon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vyjadriť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rovnicou</w:t>
      </w:r>
      <w:proofErr w:type="spellEnd"/>
    </w:p>
    <w:p w:rsidR="008E2E99" w:rsidRPr="008E10AC" w:rsidRDefault="008E2E99" w:rsidP="008E2E9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16"/>
          <w:szCs w:val="16"/>
        </w:rPr>
      </w:pPr>
      <w:r w:rsidRPr="008E10AC">
        <w:rPr>
          <w:rFonts w:ascii="Arial" w:eastAsia="Times New Roman" w:hAnsi="Arial" w:cs="Arial"/>
          <w:noProof/>
          <w:color w:val="252525"/>
          <w:sz w:val="16"/>
          <w:szCs w:val="16"/>
          <w:highlight w:val="yellow"/>
        </w:rPr>
        <w:drawing>
          <wp:inline distT="0" distB="0" distL="0" distR="0">
            <wp:extent cx="570865" cy="402590"/>
            <wp:effectExtent l="19050" t="0" r="635" b="0"/>
            <wp:docPr id="1" name="Obrázok 1" descr="k = \frac{\mathrm{d}I}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 = \frac{\mathrm{d}I}{I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,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kde</w:t>
      </w:r>
      <w:proofErr w:type="spellEnd"/>
    </w:p>
    <w:p w:rsidR="008E2E99" w:rsidRPr="008E10AC" w:rsidRDefault="008E2E99" w:rsidP="008E2E9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16"/>
          <w:szCs w:val="16"/>
          <w:highlight w:val="yellow"/>
        </w:rPr>
      </w:pPr>
      <w:r w:rsidRPr="008E10AC">
        <w:rPr>
          <w:rFonts w:ascii="Arial" w:eastAsia="Times New Roman" w:hAnsi="Arial" w:cs="Arial"/>
          <w:noProof/>
          <w:color w:val="252525"/>
          <w:sz w:val="16"/>
          <w:szCs w:val="16"/>
          <w:highlight w:val="yellow"/>
        </w:rPr>
        <w:drawing>
          <wp:inline distT="0" distB="0" distL="0" distR="0">
            <wp:extent cx="95250" cy="131445"/>
            <wp:effectExtent l="19050" t="0" r="0" b="0"/>
            <wp:docPr id="2" name="Obrázok 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0AC">
        <w:rPr>
          <w:rFonts w:ascii="Arial" w:eastAsia="Times New Roman" w:hAnsi="Arial" w:cs="Arial"/>
          <w:color w:val="252525"/>
          <w:sz w:val="16"/>
          <w:highlight w:val="yellow"/>
        </w:rPr>
        <w:t> </w:t>
      </w:r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je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intenzita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základného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podnetu</w:t>
      </w:r>
      <w:proofErr w:type="spellEnd"/>
    </w:p>
    <w:p w:rsidR="008E2E99" w:rsidRPr="008E10AC" w:rsidRDefault="008E2E99" w:rsidP="008E2E9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16"/>
          <w:szCs w:val="16"/>
          <w:highlight w:val="yellow"/>
        </w:rPr>
      </w:pPr>
      <w:r w:rsidRPr="008E10AC">
        <w:rPr>
          <w:rFonts w:ascii="Arial" w:eastAsia="Times New Roman" w:hAnsi="Arial" w:cs="Arial"/>
          <w:noProof/>
          <w:color w:val="252525"/>
          <w:sz w:val="16"/>
          <w:szCs w:val="16"/>
          <w:highlight w:val="yellow"/>
        </w:rPr>
        <w:drawing>
          <wp:inline distT="0" distB="0" distL="0" distR="0">
            <wp:extent cx="197485" cy="139065"/>
            <wp:effectExtent l="19050" t="0" r="0" b="0"/>
            <wp:docPr id="3" name="Obrázok 3" descr="\mathrm{d}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d}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0AC">
        <w:rPr>
          <w:rFonts w:ascii="Arial" w:eastAsia="Times New Roman" w:hAnsi="Arial" w:cs="Arial"/>
          <w:color w:val="252525"/>
          <w:sz w:val="16"/>
          <w:highlight w:val="yellow"/>
        </w:rPr>
        <w:t> </w:t>
      </w:r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je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prírastok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intenzity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zodpovedajúci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najmenšiemu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pozorovateľnému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rozdielu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 xml:space="preserve"> (</w:t>
      </w:r>
      <w:proofErr w:type="spellStart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angl</w:t>
      </w:r>
      <w:proofErr w:type="spellEnd"/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. JND –</w:t>
      </w:r>
      <w:r w:rsidRPr="008E10AC">
        <w:rPr>
          <w:rFonts w:ascii="Arial" w:eastAsia="Times New Roman" w:hAnsi="Arial" w:cs="Arial"/>
          <w:color w:val="252525"/>
          <w:sz w:val="16"/>
          <w:highlight w:val="yellow"/>
        </w:rPr>
        <w:t> </w:t>
      </w:r>
      <w:r w:rsidRPr="008E10AC">
        <w:rPr>
          <w:rFonts w:ascii="Arial" w:eastAsia="Times New Roman" w:hAnsi="Arial" w:cs="Arial"/>
          <w:i/>
          <w:iCs/>
          <w:color w:val="252525"/>
          <w:sz w:val="16"/>
          <w:szCs w:val="16"/>
          <w:highlight w:val="yellow"/>
        </w:rPr>
        <w:t>just noticeable difference</w:t>
      </w:r>
      <w:r w:rsidRPr="008E10AC">
        <w:rPr>
          <w:rFonts w:ascii="Arial" w:eastAsia="Times New Roman" w:hAnsi="Arial" w:cs="Arial"/>
          <w:color w:val="252525"/>
          <w:sz w:val="16"/>
          <w:szCs w:val="16"/>
          <w:highlight w:val="yellow"/>
        </w:rPr>
        <w:t>).</w:t>
      </w:r>
    </w:p>
    <w:p w:rsidR="008E2E99" w:rsidRPr="008E2E99" w:rsidRDefault="008E2E99" w:rsidP="008E2E99">
      <w:pPr>
        <w:shd w:val="clear" w:color="auto" w:fill="FFFFFF"/>
        <w:spacing w:before="120" w:after="120" w:line="258" w:lineRule="atLeast"/>
        <w:ind w:left="384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Ide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teda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o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pomer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medzi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intenzitou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základného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podnetu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95250" cy="131445"/>
            <wp:effectExtent l="19050" t="0" r="0" b="0"/>
            <wp:docPr id="4" name="Obrázok 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</w:rPr>
        <w:t> </w:t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a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jeho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prírastkom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197485" cy="139065"/>
            <wp:effectExtent l="19050" t="0" r="0" b="0"/>
            <wp:docPr id="5" name="Obrázok 5" descr="\mathrm{d}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rm{d}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,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ktorý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je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konštantný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(</w:t>
      </w: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87630" cy="131445"/>
            <wp:effectExtent l="19050" t="0" r="7620" b="0"/>
            <wp:docPr id="6" name="Obrázok 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>)</w:t>
      </w:r>
    </w:p>
    <w:p w:rsidR="008E2E99" w:rsidRPr="008E2E99" w:rsidRDefault="008E2E99" w:rsidP="008E2E99">
      <w:pPr>
        <w:shd w:val="clear" w:color="auto" w:fill="FFFFFF"/>
        <w:spacing w:before="120" w:after="120" w:line="258" w:lineRule="atLeast"/>
        <w:ind w:left="384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Zákon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ako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prvý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formuloval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nemecký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fyziológ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hyperlink r:id="rId9" w:tooltip="Ernst Heinrich Weber" w:history="1">
        <w:r w:rsidRPr="008E2E99">
          <w:rPr>
            <w:rFonts w:ascii="Arial" w:eastAsia="Times New Roman" w:hAnsi="Arial" w:cs="Arial"/>
            <w:color w:val="0B0080"/>
            <w:sz w:val="16"/>
          </w:rPr>
          <w:t>Ernst Heinrich Weber</w:t>
        </w:r>
      </w:hyperlink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.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Matematik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hyperlink r:id="rId10" w:tooltip="Gustav Theodor Fechner" w:history="1">
        <w:r w:rsidRPr="008E2E99">
          <w:rPr>
            <w:rFonts w:ascii="Arial" w:eastAsia="Times New Roman" w:hAnsi="Arial" w:cs="Arial"/>
            <w:color w:val="0B0080"/>
            <w:sz w:val="16"/>
          </w:rPr>
          <w:t>Gustav Theodor Fechner</w:t>
        </w:r>
      </w:hyperlink>
      <w:r w:rsidRPr="008E2E99">
        <w:rPr>
          <w:rFonts w:ascii="Arial" w:eastAsia="Times New Roman" w:hAnsi="Arial" w:cs="Arial"/>
          <w:color w:val="252525"/>
          <w:sz w:val="16"/>
        </w:rPr>
        <w:t> </w:t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(1801–1887)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odvodil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Weberov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zákon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pomocou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integrálu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predpokladu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,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že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87630" cy="131445"/>
            <wp:effectExtent l="19050" t="0" r="7620" b="0"/>
            <wp:docPr id="7" name="Obrázok 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</w:rPr>
        <w:t> </w:t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je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konštantné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a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nezávislé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od</w:t>
      </w:r>
      <w:proofErr w:type="spellEnd"/>
      <w:r w:rsidRPr="008E2E99">
        <w:rPr>
          <w:rFonts w:ascii="Arial" w:eastAsia="Times New Roman" w:hAnsi="Arial" w:cs="Arial"/>
          <w:color w:val="252525"/>
          <w:sz w:val="16"/>
        </w:rPr>
        <w:t> </w:t>
      </w: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58420" cy="131445"/>
            <wp:effectExtent l="19050" t="0" r="0" b="0"/>
            <wp:docPr id="8" name="Obrázok 8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>:</w:t>
      </w:r>
    </w:p>
    <w:p w:rsidR="008E2E99" w:rsidRPr="008E2E99" w:rsidRDefault="008E2E99" w:rsidP="008E2E99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16"/>
          <w:szCs w:val="16"/>
        </w:rPr>
      </w:pPr>
      <w:r>
        <w:rPr>
          <w:rFonts w:ascii="Arial" w:eastAsia="Times New Roman" w:hAnsi="Arial" w:cs="Arial"/>
          <w:noProof/>
          <w:color w:val="252525"/>
          <w:sz w:val="16"/>
          <w:szCs w:val="16"/>
        </w:rPr>
        <w:drawing>
          <wp:inline distT="0" distB="0" distL="0" distR="0">
            <wp:extent cx="951230" cy="417195"/>
            <wp:effectExtent l="19050" t="0" r="1270" b="0"/>
            <wp:docPr id="10" name="Obrázok 10" descr="E = c \cdot \ln\frac{l}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 = c \cdot \ln\frac{l}{l_0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E99">
        <w:rPr>
          <w:rFonts w:ascii="Arial" w:eastAsia="Times New Roman" w:hAnsi="Arial" w:cs="Arial"/>
          <w:color w:val="252525"/>
          <w:sz w:val="16"/>
        </w:rPr>
        <w:t> </w:t>
      </w:r>
      <w:r w:rsidRPr="008E2E99">
        <w:rPr>
          <w:rFonts w:ascii="Arial" w:eastAsia="Times New Roman" w:hAnsi="Arial" w:cs="Arial"/>
          <w:color w:val="252525"/>
          <w:sz w:val="16"/>
          <w:szCs w:val="16"/>
        </w:rPr>
        <w:t>   </w:t>
      </w:r>
      <w:r w:rsidRPr="008E2E99">
        <w:rPr>
          <w:rFonts w:ascii="Arial" w:eastAsia="Times New Roman" w:hAnsi="Arial" w:cs="Arial"/>
          <w:color w:val="252525"/>
          <w:sz w:val="16"/>
        </w:rPr>
        <w:t> </w:t>
      </w:r>
      <w:proofErr w:type="spellStart"/>
      <w:r w:rsidRPr="008E2E99">
        <w:rPr>
          <w:rFonts w:ascii="Arial" w:eastAsia="Times New Roman" w:hAnsi="Arial" w:cs="Arial"/>
          <w:i/>
          <w:iCs/>
          <w:color w:val="252525"/>
          <w:sz w:val="16"/>
          <w:szCs w:val="16"/>
        </w:rPr>
        <w:t>Weberov–Fechnerov</w:t>
      </w:r>
      <w:proofErr w:type="spellEnd"/>
      <w:r w:rsidRPr="008E2E99">
        <w:rPr>
          <w:rFonts w:ascii="Arial" w:eastAsia="Times New Roman" w:hAnsi="Arial" w:cs="Arial"/>
          <w:i/>
          <w:iCs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i/>
          <w:iCs/>
          <w:color w:val="252525"/>
          <w:sz w:val="16"/>
          <w:szCs w:val="16"/>
        </w:rPr>
        <w:t>zákon</w:t>
      </w:r>
      <w:proofErr w:type="spellEnd"/>
    </w:p>
    <w:p w:rsidR="008E2E99" w:rsidRPr="008E2E99" w:rsidRDefault="008E2E99" w:rsidP="008E2E99">
      <w:pPr>
        <w:shd w:val="clear" w:color="auto" w:fill="FFFFFF"/>
        <w:spacing w:before="120" w:after="120" w:line="258" w:lineRule="atLeast"/>
        <w:ind w:left="1152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Rozdielový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prah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pre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každý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zmyslový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orgán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je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relatívne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konštantou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veličinou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,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udáva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aký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pomer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má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byť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medzi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prírastkom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a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počiatočnou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veľkosťou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podnetu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,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aby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vznikla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pociťovaná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,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práve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badateľná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zmena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podnetu</w:t>
      </w:r>
      <w:proofErr w:type="spellEnd"/>
    </w:p>
    <w:p w:rsidR="008E2E99" w:rsidRPr="008E2E99" w:rsidRDefault="008E2E99" w:rsidP="008E2E99">
      <w:pPr>
        <w:shd w:val="clear" w:color="auto" w:fill="FFFFFF"/>
        <w:spacing w:before="120" w:after="120" w:line="258" w:lineRule="atLeast"/>
        <w:ind w:left="1152"/>
        <w:rPr>
          <w:rFonts w:ascii="Arial" w:eastAsia="Times New Roman" w:hAnsi="Arial" w:cs="Arial"/>
          <w:color w:val="252525"/>
          <w:sz w:val="16"/>
          <w:szCs w:val="16"/>
        </w:rPr>
      </w:pPr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Ku 100 g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závažiu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pridáme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1 g –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nepociťujeme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zmenu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vo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veľkosti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podnetu</w:t>
      </w:r>
      <w:proofErr w:type="spellEnd"/>
    </w:p>
    <w:p w:rsidR="008E2E99" w:rsidRPr="008E2E99" w:rsidRDefault="008E2E99" w:rsidP="008E2E9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3,4 g –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už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áno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(k = 3,4/100)</w:t>
      </w:r>
    </w:p>
    <w:p w:rsidR="008E2E99" w:rsidRPr="008E2E99" w:rsidRDefault="008E2E99" w:rsidP="008E2E9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200 g –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zmenu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vnímame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cca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6,8 g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závaží</w:t>
      </w:r>
      <w:proofErr w:type="spellEnd"/>
    </w:p>
    <w:p w:rsidR="008E2E99" w:rsidRPr="008E2E99" w:rsidRDefault="008E2E99" w:rsidP="008E2E99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pri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 xml:space="preserve"> 300 g – 10,2 g </w:t>
      </w:r>
      <w:proofErr w:type="spellStart"/>
      <w:r w:rsidRPr="008E2E99">
        <w:rPr>
          <w:rFonts w:ascii="Arial" w:eastAsia="Times New Roman" w:hAnsi="Arial" w:cs="Arial"/>
          <w:color w:val="252525"/>
          <w:sz w:val="16"/>
          <w:szCs w:val="16"/>
        </w:rPr>
        <w:t>atď</w:t>
      </w:r>
      <w:proofErr w:type="spellEnd"/>
      <w:r w:rsidRPr="008E2E99">
        <w:rPr>
          <w:rFonts w:ascii="Arial" w:eastAsia="Times New Roman" w:hAnsi="Arial" w:cs="Arial"/>
          <w:color w:val="252525"/>
          <w:sz w:val="16"/>
          <w:szCs w:val="16"/>
        </w:rPr>
        <w:t>.</w:t>
      </w:r>
    </w:p>
    <w:p w:rsidR="00C9170A" w:rsidRDefault="008E10AC"/>
    <w:sectPr w:rsidR="00C9170A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94F48"/>
    <w:multiLevelType w:val="multilevel"/>
    <w:tmpl w:val="48E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4B5313"/>
    <w:multiLevelType w:val="multilevel"/>
    <w:tmpl w:val="A86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E2E99"/>
    <w:rsid w:val="000A0A43"/>
    <w:rsid w:val="00210B01"/>
    <w:rsid w:val="00233F08"/>
    <w:rsid w:val="008E10AC"/>
    <w:rsid w:val="008E2E99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8E2E99"/>
  </w:style>
  <w:style w:type="character" w:styleId="Hypertextovprepojenie">
    <w:name w:val="Hyperlink"/>
    <w:basedOn w:val="Predvolenpsmoodseku"/>
    <w:uiPriority w:val="99"/>
    <w:semiHidden/>
    <w:unhideWhenUsed/>
    <w:rsid w:val="008E2E9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2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sk.wikipedia.org/wiki/Gustav_Theodor_Fech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Ernst_Heinrich_We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2014-05-24T20:12:00Z</dcterms:created>
  <dcterms:modified xsi:type="dcterms:W3CDTF">2014-05-28T09:53:00Z</dcterms:modified>
</cp:coreProperties>
</file>