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276"/>
          <w:sz w:val="44"/>
        </w:rPr>
        <w:t>Billboard Geolocation Platform</w:t>
      </w:r>
    </w:p>
    <w:p>
      <w:pPr>
        <w:jc w:val="center"/>
      </w:pPr>
      <w:r>
        <w:rPr>
          <w:b/>
          <w:color w:val="218DBB"/>
          <w:sz w:val="26"/>
        </w:rPr>
        <w:t>Cotonou, Bénin — Prototype V1</w:t>
      </w:r>
    </w:p>
    <w:p>
      <w:pPr>
        <w:jc w:val="center"/>
      </w:pPr>
      <w:r>
        <w:rPr>
          <w:color w:val="2C3E50"/>
          <w:sz w:val="22"/>
        </w:rPr>
        <w:t>Présentation détaillée du projet — Pipeline ML complet</w:t>
      </w:r>
    </w:p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120"/>
      </w:pPr>
      <w:r>
        <w:rPr>
          <w:color w:val="1A5276"/>
        </w:rPr>
        <w:t>1. Contexte et Problème Business</w:t>
      </w:r>
    </w:p>
    <w:p>
      <w:pPr>
        <w:spacing w:after="80"/>
        <w:ind w:left="0"/>
      </w:pPr>
      <w:r>
        <w:rPr>
          <w:b w:val="0"/>
          <w:i w:val="0"/>
          <w:sz w:val="21"/>
        </w:rPr>
        <w:t>Le marché de l'affichage extérieur (Out-Of-Home) à Cotonou représente plusieurs centaines de millions de francs CFA annuellement. Pourtant, aucune base de données centralisée n'existe pour les panneaux publicitaires. Les acteurs du marché travaillent à l'aveugle.</w:t>
      </w:r>
    </w:p>
    <w:p>
      <w:pPr>
        <w:pStyle w:val="Heading3"/>
        <w:spacing w:before="160" w:after="120"/>
      </w:pPr>
      <w:r>
        <w:rPr>
          <w:color w:val="2C3E50"/>
        </w:rPr>
        <w:t>Conséquences directes :</w:t>
      </w:r>
    </w:p>
    <w:p>
      <w:pPr>
        <w:pStyle w:val="ListBullet"/>
        <w:spacing w:after="60"/>
        <w:ind w:left="283"/>
      </w:pPr>
      <w:r>
        <w:rPr>
          <w:sz w:val="21"/>
        </w:rPr>
        <w:t>Les annonceurs ne peuvent pas comparer deux emplacements de façon objective</w:t>
      </w:r>
    </w:p>
    <w:p>
      <w:pPr>
        <w:pStyle w:val="ListBullet"/>
        <w:spacing w:after="60"/>
        <w:ind w:left="283"/>
      </w:pPr>
      <w:r>
        <w:rPr>
          <w:sz w:val="21"/>
        </w:rPr>
        <w:t>Les propriétaires fixent leurs tarifs à l'instinct, pas selon la valeur réelle</w:t>
      </w:r>
    </w:p>
    <w:p>
      <w:pPr>
        <w:pStyle w:val="ListBullet"/>
        <w:spacing w:after="60"/>
        <w:ind w:left="283"/>
      </w:pPr>
      <w:r>
        <w:rPr>
          <w:sz w:val="21"/>
        </w:rPr>
        <w:t>L'optimisation du placement est impossible sans données structurées</w:t>
      </w:r>
    </w:p>
    <w:p>
      <w:pPr>
        <w:pStyle w:val="ListBullet"/>
        <w:spacing w:after="60"/>
        <w:ind w:left="283"/>
      </w:pPr>
      <w:r>
        <w:rPr>
          <w:sz w:val="21"/>
        </w:rPr>
        <w:t>Aucun score de visibilité standardisé n'existe sur le marché béninois</w:t>
      </w:r>
    </w:p>
    <w:p>
      <w:pPr>
        <w:pStyle w:val="Heading3"/>
        <w:spacing w:before="160" w:after="120"/>
      </w:pPr>
      <w:r>
        <w:rPr>
          <w:color w:val="2C3E50"/>
        </w:rPr>
        <w:t>Question ML centrale :</w:t>
      </w:r>
    </w:p>
    <w:p>
      <w:pPr>
        <w:spacing w:after="80"/>
        <w:ind w:left="0"/>
      </w:pPr>
      <w:r>
        <w:rPr>
          <w:b/>
          <w:i w:val="0"/>
          <w:color w:val="218DBB"/>
          <w:sz w:val="21"/>
        </w:rPr>
        <w:t>Étant donné l'emplacement et les caractéristiques d'un panneau publicitaire, quel est son score de visibilité estimé (0–100) ?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120"/>
      </w:pPr>
      <w:r>
        <w:rPr>
          <w:color w:val="1A5276"/>
        </w:rPr>
        <w:t>2. Objectif Stratégique</w:t>
      </w:r>
    </w:p>
    <w:p>
      <w:pPr>
        <w:spacing w:after="80"/>
        <w:ind w:left="0"/>
      </w:pPr>
      <w:r>
        <w:rPr>
          <w:b w:val="0"/>
          <w:i w:val="0"/>
          <w:sz w:val="21"/>
        </w:rPr>
        <w:t>Construire une plateforme centralisée permettant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Fonctionnalité</w:t>
            </w:r>
          </w:p>
        </w:tc>
        <w:tc>
          <w:tcPr>
            <w:tcW w:type="dxa" w:w="5669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Géolocalisation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Latitude / Longitude GPS de chaque panneau</w:t>
            </w:r>
          </w:p>
        </w:tc>
      </w:tr>
      <w:tr>
        <w:tc>
          <w:tcPr>
            <w:tcW w:type="dxa" w:w="3402"/>
            <w:shd w:val="clear" w:color="auto" w:fill="EAF2F8"/>
          </w:tcPr>
          <w:p>
            <w:r>
              <w:rPr>
                <w:sz w:val="20"/>
              </w:rPr>
              <w:t>Identification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20"/>
              </w:rPr>
              <w:t>Quartier, type de route, propriétaire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Classification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Type de panneau : digital / statique / bâche / LED</w:t>
            </w:r>
          </w:p>
        </w:tc>
      </w:tr>
      <w:tr>
        <w:tc>
          <w:tcPr>
            <w:tcW w:type="dxa" w:w="3402"/>
            <w:shd w:val="clear" w:color="auto" w:fill="EAF2F8"/>
          </w:tcPr>
          <w:p>
            <w:r>
              <w:rPr>
                <w:sz w:val="20"/>
              </w:rPr>
              <w:t>Score de visibilité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20"/>
              </w:rPr>
              <w:t>Indice ML continu entre 0 et 100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Feature engineering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23 variables ML dérivées de la connaissance terrain</w:t>
            </w:r>
          </w:p>
        </w:tc>
      </w:tr>
      <w:tr>
        <w:tc>
          <w:tcPr>
            <w:tcW w:type="dxa" w:w="3402"/>
            <w:shd w:val="clear" w:color="auto" w:fill="EAF2F8"/>
          </w:tcPr>
          <w:p>
            <w:r>
              <w:rPr>
                <w:sz w:val="20"/>
              </w:rPr>
              <w:t>Modèle prédictif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20"/>
              </w:rPr>
              <w:t>RandomForest + baseline Ridge — évaluation comparative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Roadmap V3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Détection satellite, CNN scoring, optimisation multi-variable</w:t>
            </w:r>
          </w:p>
        </w:tc>
      </w:tr>
    </w:tbl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120"/>
      </w:pPr>
      <w:r>
        <w:rPr>
          <w:color w:val="1A5276"/>
        </w:rPr>
        <w:t>3. Architecture du Projet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85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Fichier</w:t>
            </w:r>
          </w:p>
        </w:tc>
        <w:tc>
          <w:tcPr>
            <w:tcW w:type="dxa" w:w="5386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config/config.yaml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Configuration centralisée : hyperparamètres, chemins, bbox géo</w:t>
            </w:r>
          </w:p>
        </w:tc>
      </w:tr>
      <w:tr>
        <w:tc>
          <w:tcPr>
            <w:tcW w:type="dxa" w:w="3685"/>
            <w:shd w:val="clear" w:color="auto" w:fill="EAF2F8"/>
          </w:tcPr>
          <w:p>
            <w:r>
              <w:rPr>
                <w:sz w:val="20"/>
              </w:rPr>
              <w:t>data/raw/billboards_raw.csv</w:t>
            </w:r>
          </w:p>
        </w:tc>
        <w:tc>
          <w:tcPr>
            <w:tcW w:type="dxa" w:w="5386"/>
            <w:shd w:val="clear" w:color="auto" w:fill="EAF2F8"/>
          </w:tcPr>
          <w:p>
            <w:r>
              <w:rPr>
                <w:sz w:val="20"/>
              </w:rPr>
              <w:t>45 panneaux bruts avec erreurs intentionnelles injectées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data/processed/billboards_clean.csv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43 panneaux propres après pipeline de nettoyage</w:t>
            </w:r>
          </w:p>
        </w:tc>
      </w:tr>
      <w:tr>
        <w:tc>
          <w:tcPr>
            <w:tcW w:type="dxa" w:w="3685"/>
            <w:shd w:val="clear" w:color="auto" w:fill="EAF2F8"/>
          </w:tcPr>
          <w:p>
            <w:r>
              <w:rPr>
                <w:sz w:val="20"/>
              </w:rPr>
              <w:t>src/data_generation.py</w:t>
            </w:r>
          </w:p>
        </w:tc>
        <w:tc>
          <w:tcPr>
            <w:tcW w:type="dxa" w:w="5386"/>
            <w:shd w:val="clear" w:color="auto" w:fill="EAF2F8"/>
          </w:tcPr>
          <w:p>
            <w:r>
              <w:rPr>
                <w:sz w:val="20"/>
              </w:rPr>
              <w:t>Génération du dataset synthétique réaliste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src/cleaning.py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Pipeline de nettoyage : validation, imputation, dédoublonnage</w:t>
            </w:r>
          </w:p>
        </w:tc>
      </w:tr>
      <w:tr>
        <w:tc>
          <w:tcPr>
            <w:tcW w:type="dxa" w:w="3685"/>
            <w:shd w:val="clear" w:color="auto" w:fill="EAF2F8"/>
          </w:tcPr>
          <w:p>
            <w:r>
              <w:rPr>
                <w:sz w:val="20"/>
              </w:rPr>
              <w:t>src/feature_engineering.py</w:t>
            </w:r>
          </w:p>
        </w:tc>
        <w:tc>
          <w:tcPr>
            <w:tcW w:type="dxa" w:w="5386"/>
            <w:shd w:val="clear" w:color="auto" w:fill="EAF2F8"/>
          </w:tcPr>
          <w:p>
            <w:r>
              <w:rPr>
                <w:sz w:val="20"/>
              </w:rPr>
              <w:t>Encodage, features dérivées, features géospatiales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src/model.py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RandomForestRegressor + Ridge baseline + Learning Curve</w:t>
            </w:r>
          </w:p>
        </w:tc>
      </w:tr>
      <w:tr>
        <w:tc>
          <w:tcPr>
            <w:tcW w:type="dxa" w:w="3685"/>
            <w:shd w:val="clear" w:color="auto" w:fill="EAF2F8"/>
          </w:tcPr>
          <w:p>
            <w:r>
              <w:rPr>
                <w:sz w:val="20"/>
              </w:rPr>
              <w:t>src/evaluation.py</w:t>
            </w:r>
          </w:p>
        </w:tc>
        <w:tc>
          <w:tcPr>
            <w:tcW w:type="dxa" w:w="5386"/>
            <w:shd w:val="clear" w:color="auto" w:fill="EAF2F8"/>
          </w:tcPr>
          <w:p>
            <w:r>
              <w:rPr>
                <w:sz w:val="20"/>
              </w:rPr>
              <w:t>6 graphiques + métriques + rapport JSON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main.py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Orchestrateur CLI : pipeline complet en une commande</w:t>
            </w:r>
          </w:p>
        </w:tc>
      </w:tr>
      <w:tr>
        <w:tc>
          <w:tcPr>
            <w:tcW w:type="dxa" w:w="3685"/>
            <w:shd w:val="clear" w:color="auto" w:fill="EAF2F8"/>
          </w:tcPr>
          <w:p>
            <w:r>
              <w:rPr>
                <w:sz w:val="20"/>
              </w:rPr>
              <w:t>reports/figures/ (6 PNG)</w:t>
            </w:r>
          </w:p>
        </w:tc>
        <w:tc>
          <w:tcPr>
            <w:tcW w:type="dxa" w:w="5386"/>
            <w:shd w:val="clear" w:color="auto" w:fill="EAF2F8"/>
          </w:tcPr>
          <w:p>
            <w:r>
              <w:rPr>
                <w:sz w:val="20"/>
              </w:rPr>
              <w:t>Graphiques de diagnostic générés automatiquement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reports/model_results.json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Rapport complet d'évaluation structuré</w:t>
            </w:r>
          </w:p>
        </w:tc>
      </w:tr>
      <w:tr>
        <w:tc>
          <w:tcPr>
            <w:tcW w:type="dxa" w:w="3685"/>
            <w:shd w:val="clear" w:color="auto" w:fill="EAF2F8"/>
          </w:tcPr>
          <w:p>
            <w:r>
              <w:rPr>
                <w:sz w:val="20"/>
              </w:rPr>
              <w:t>PRESENTATION.md</w:t>
            </w:r>
          </w:p>
        </w:tc>
        <w:tc>
          <w:tcPr>
            <w:tcW w:type="dxa" w:w="5386"/>
            <w:shd w:val="clear" w:color="auto" w:fill="EAF2F8"/>
          </w:tcPr>
          <w:p>
            <w:r>
              <w:rPr>
                <w:sz w:val="20"/>
              </w:rPr>
              <w:t>Discours académique 15–20 min (9 slides)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PITCH.md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Pitch 5 minutes investisseur / jury</w:t>
            </w:r>
          </w:p>
        </w:tc>
      </w:tr>
    </w:tbl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A5276"/>
        </w:rPr>
        <w:t>4. Pipeline ML — Détail des 5 Étapes</w:t>
      </w:r>
    </w:p>
    <w:p>
      <w:pPr>
        <w:pStyle w:val="Heading2"/>
        <w:spacing w:before="160" w:after="120"/>
      </w:pPr>
      <w:r>
        <w:rPr>
          <w:color w:val="218DBB"/>
        </w:rPr>
        <w:t>Étape 1 — Génération des données (data_generation.py)</w:t>
      </w:r>
    </w:p>
    <w:p>
      <w:pPr>
        <w:spacing w:after="80"/>
        <w:ind w:left="0"/>
      </w:pPr>
      <w:r>
        <w:rPr>
          <w:b w:val="0"/>
          <w:i w:val="0"/>
          <w:sz w:val="21"/>
        </w:rPr>
        <w:t>En l'absence de données terrain, un dataset synthétique réaliste de 45 panneaux a été généré sur 10 quartiers réels de Cotonou.</w:t>
      </w:r>
    </w:p>
    <w:p>
      <w:pPr>
        <w:pStyle w:val="ListBullet"/>
        <w:spacing w:after="60"/>
        <w:ind w:left="283"/>
      </w:pPr>
      <w:r>
        <w:rPr>
          <w:sz w:val="21"/>
        </w:rPr>
        <w:t>Distribution pondérée des quartiers (Dantokpa et Centre surreprésentés)</w:t>
      </w:r>
    </w:p>
    <w:p>
      <w:pPr>
        <w:pStyle w:val="ListBullet"/>
        <w:spacing w:after="60"/>
        <w:ind w:left="283"/>
      </w:pPr>
      <w:r>
        <w:rPr>
          <w:sz w:val="21"/>
        </w:rPr>
        <w:t>Coordonnées GPS avec dispersion gaussienne σ=0.008° ≈ 900m de rayon</w:t>
      </w:r>
    </w:p>
    <w:p>
      <w:pPr>
        <w:pStyle w:val="ListBullet"/>
        <w:spacing w:after="60"/>
        <w:ind w:left="283"/>
      </w:pPr>
      <w:r>
        <w:rPr>
          <w:sz w:val="21"/>
        </w:rPr>
        <w:t>Score de visibilité non-linéaire : log(taille) + sqrt(trafic) + N(0,8)</w:t>
      </w:r>
    </w:p>
    <w:p>
      <w:pPr>
        <w:pStyle w:val="ListBullet"/>
        <w:spacing w:after="60"/>
        <w:ind w:left="283"/>
      </w:pPr>
      <w:r>
        <w:rPr>
          <w:sz w:val="21"/>
        </w:rPr>
        <w:t>Bruit gaussien intentionnel (σ=8 pts) : simule les facteurs non capturés</w:t>
      </w:r>
    </w:p>
    <w:p>
      <w:pPr>
        <w:pStyle w:val="ListBullet"/>
        <w:spacing w:after="60"/>
        <w:ind w:left="283"/>
      </w:pPr>
      <w:r>
        <w:rPr>
          <w:sz w:val="21"/>
        </w:rPr>
        <w:t>Erreurs injectées : GPS hors zone, scores aberrants, doublons, NaN (8%)</w:t>
      </w:r>
    </w:p>
    <w:p>
      <w:pPr>
        <w:pStyle w:val="Heading2"/>
        <w:spacing w:before="160" w:after="120"/>
      </w:pPr>
      <w:r>
        <w:rPr>
          <w:color w:val="218DBB"/>
        </w:rPr>
        <w:t>Étape 2 — Nettoyage (cleaning.py)</w:t>
      </w:r>
    </w:p>
    <w:p>
      <w:pPr>
        <w:spacing w:after="80"/>
        <w:ind w:left="0"/>
      </w:pPr>
      <w:r>
        <w:rPr>
          <w:b w:val="0"/>
          <w:i w:val="0"/>
          <w:sz w:val="21"/>
        </w:rPr>
        <w:t>Pipeline en 5 sous-étapes dans un ordre précis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Étape</w:t>
            </w:r>
          </w:p>
        </w:tc>
        <w:tc>
          <w:tcPr>
            <w:tcW w:type="dxa" w:w="6236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1. Validation GPS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Suppression des coordonnées hors bbox Cotonou</w:t>
            </w:r>
          </w:p>
        </w:tc>
      </w:tr>
      <w:tr>
        <w:tc>
          <w:tcPr>
            <w:tcW w:type="dxa" w:w="2835"/>
            <w:shd w:val="clear" w:color="auto" w:fill="EAF2F8"/>
          </w:tcPr>
          <w:p>
            <w:r>
              <w:rPr>
                <w:sz w:val="20"/>
              </w:rPr>
              <w:t>2. Score clipping</w:t>
            </w:r>
          </w:p>
        </w:tc>
        <w:tc>
          <w:tcPr>
            <w:tcW w:type="dxa" w:w="6236"/>
            <w:shd w:val="clear" w:color="auto" w:fill="EAF2F8"/>
          </w:tcPr>
          <w:p>
            <w:r>
              <w:rPr>
                <w:sz w:val="20"/>
              </w:rPr>
              <w:t>Écrêtage des scores hors [0, 100]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3. Déduplication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2 passes : panel_id exact + géographique à 100m</w:t>
            </w:r>
          </w:p>
        </w:tc>
      </w:tr>
      <w:tr>
        <w:tc>
          <w:tcPr>
            <w:tcW w:type="dxa" w:w="2835"/>
            <w:shd w:val="clear" w:color="auto" w:fill="EAF2F8"/>
          </w:tcPr>
          <w:p>
            <w:r>
              <w:rPr>
                <w:sz w:val="20"/>
              </w:rPr>
              <w:t>4. Imputation numérique</w:t>
            </w:r>
          </w:p>
        </w:tc>
        <w:tc>
          <w:tcPr>
            <w:tcW w:type="dxa" w:w="6236"/>
            <w:shd w:val="clear" w:color="auto" w:fill="EAF2F8"/>
          </w:tcPr>
          <w:p>
            <w:r>
              <w:rPr>
                <w:sz w:val="20"/>
              </w:rPr>
              <w:t>Médiane (robuste aux outliers) sur 5 colonnes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5. Imputation catégorielle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Mode ou 'Inconnu' pour le propriétaire</w:t>
            </w:r>
          </w:p>
        </w:tc>
      </w:tr>
    </w:tbl>
    <w:p/>
    <w:p>
      <w:pPr>
        <w:spacing w:after="80"/>
        <w:ind w:left="0"/>
      </w:pPr>
      <w:r>
        <w:rPr>
          <w:b/>
          <w:i w:val="0"/>
          <w:color w:val="1E8B4C"/>
          <w:sz w:val="21"/>
        </w:rPr>
        <w:t>Résultat : 45 → 43 panneaux propres, 0 valeur manquante.</w:t>
      </w:r>
    </w:p>
    <w:p>
      <w:pPr>
        <w:pStyle w:val="Heading2"/>
        <w:spacing w:before="160" w:after="120"/>
      </w:pPr>
      <w:r>
        <w:rPr>
          <w:color w:val="218DBB"/>
        </w:rPr>
        <w:t>Étape 3 — Feature Engineering (feature_engineering.py)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236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Justification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Label Encoding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panel_type, quartier, road_type → entiers (pas One-Hot : n/p trop faible)</w:t>
            </w:r>
          </w:p>
        </w:tc>
      </w:tr>
      <w:tr>
        <w:tc>
          <w:tcPr>
            <w:tcW w:type="dxa" w:w="2835"/>
            <w:shd w:val="clear" w:color="auto" w:fill="EAF2F8"/>
          </w:tcPr>
          <w:p>
            <w:r>
              <w:rPr>
                <w:sz w:val="20"/>
              </w:rPr>
              <w:t>log_traffic</w:t>
            </w:r>
          </w:p>
        </w:tc>
        <w:tc>
          <w:tcPr>
            <w:tcW w:type="dxa" w:w="6236"/>
            <w:shd w:val="clear" w:color="auto" w:fill="EAF2F8"/>
          </w:tcPr>
          <w:p>
            <w:r>
              <w:rPr>
                <w:sz w:val="20"/>
              </w:rPr>
              <w:t>Log du trafic — capture la saturation non-linéaire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ratio_surface_hauteur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Rapport taille/hauteur — index d'impact visuel</w:t>
            </w:r>
          </w:p>
        </w:tc>
      </w:tr>
      <w:tr>
        <w:tc>
          <w:tcPr>
            <w:tcW w:type="dxa" w:w="2835"/>
            <w:shd w:val="clear" w:color="auto" w:fill="EAF2F8"/>
          </w:tcPr>
          <w:p>
            <w:r>
              <w:rPr>
                <w:sz w:val="20"/>
              </w:rPr>
              <w:t>indice_saturation</w:t>
            </w:r>
          </w:p>
        </w:tc>
        <w:tc>
          <w:tcPr>
            <w:tcW w:type="dxa" w:w="6236"/>
            <w:shd w:val="clear" w:color="auto" w:fill="EAF2F8"/>
          </w:tcPr>
          <w:p>
            <w:r>
              <w:rPr>
                <w:sz w:val="20"/>
              </w:rPr>
              <w:t>Concurrence × densité piétonne — attention diluée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is_digital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Flag binaire fort — digital vs statique</w:t>
            </w:r>
          </w:p>
        </w:tc>
      </w:tr>
      <w:tr>
        <w:tc>
          <w:tcPr>
            <w:tcW w:type="dxa" w:w="2835"/>
            <w:shd w:val="clear" w:color="auto" w:fill="EAF2F8"/>
          </w:tcPr>
          <w:p>
            <w:r>
              <w:rPr>
                <w:sz w:val="20"/>
              </w:rPr>
              <w:t>age_panneau</w:t>
            </w:r>
          </w:p>
        </w:tc>
        <w:tc>
          <w:tcPr>
            <w:tcW w:type="dxa" w:w="6236"/>
            <w:shd w:val="clear" w:color="auto" w:fill="EAF2F8"/>
          </w:tcPr>
          <w:p>
            <w:r>
              <w:rPr>
                <w:sz w:val="20"/>
              </w:rPr>
              <w:t>2024 − année d'installation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effective_exposure_hours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24h si digital, sinon heures de lumière du jour</w:t>
            </w:r>
          </w:p>
        </w:tc>
      </w:tr>
      <w:tr>
        <w:tc>
          <w:tcPr>
            <w:tcW w:type="dxa" w:w="2835"/>
            <w:shd w:val="clear" w:color="auto" w:fill="EAF2F8"/>
          </w:tcPr>
          <w:p>
            <w:r>
              <w:rPr>
                <w:sz w:val="20"/>
              </w:rPr>
              <w:t>score_accessibilite</w:t>
            </w:r>
          </w:p>
        </w:tc>
        <w:tc>
          <w:tcPr>
            <w:tcW w:type="dxa" w:w="6236"/>
            <w:shd w:val="clear" w:color="auto" w:fill="EAF2F8"/>
          </w:tcPr>
          <w:p>
            <w:r>
              <w:rPr>
                <w:sz w:val="20"/>
              </w:rPr>
              <w:t>Distance route + distance centre normalisées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Features géospatiales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Distance plage, port, centre-ville + geo_quadrant</w:t>
            </w:r>
          </w:p>
        </w:tc>
      </w:tr>
    </w:tbl>
    <w:p/>
    <w:p>
      <w:pPr>
        <w:spacing w:after="80"/>
        <w:ind w:left="0"/>
      </w:pPr>
      <w:r>
        <w:rPr>
          <w:b/>
          <w:i w:val="0"/>
          <w:color w:val="1E8B4C"/>
          <w:sz w:val="21"/>
        </w:rPr>
        <w:t>Total : 23 features ML finales.</w:t>
      </w:r>
    </w:p>
    <w:p>
      <w:pPr>
        <w:pStyle w:val="Heading2"/>
        <w:spacing w:before="160" w:after="120"/>
      </w:pPr>
      <w:r>
        <w:rPr>
          <w:color w:val="218DBB"/>
        </w:rPr>
        <w:t>Étape 4 — Modèle ML (model.py)</w:t>
      </w:r>
    </w:p>
    <w:p>
      <w:pPr>
        <w:spacing w:after="80"/>
        <w:ind w:left="0"/>
      </w:pPr>
      <w:r>
        <w:rPr>
          <w:b w:val="0"/>
          <w:i w:val="0"/>
          <w:sz w:val="21"/>
        </w:rPr>
        <w:t>Deux modèles entraînés et comparés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Composant</w:t>
            </w:r>
          </w:p>
        </w:tc>
        <w:tc>
          <w:tcPr>
            <w:tcW w:type="dxa" w:w="6236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RandomForestRegressor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100 arbres, max_depth=4, min_samples_leaf=4 — modèle principal</w:t>
            </w:r>
          </w:p>
        </w:tc>
      </w:tr>
      <w:tr>
        <w:tc>
          <w:tcPr>
            <w:tcW w:type="dxa" w:w="2835"/>
            <w:shd w:val="clear" w:color="auto" w:fill="EAF2F8"/>
          </w:tcPr>
          <w:p>
            <w:r>
              <w:rPr>
                <w:sz w:val="20"/>
              </w:rPr>
              <w:t>Ridge Regression</w:t>
            </w:r>
          </w:p>
        </w:tc>
        <w:tc>
          <w:tcPr>
            <w:tcW w:type="dxa" w:w="6236"/>
            <w:shd w:val="clear" w:color="auto" w:fill="EAF2F8"/>
          </w:tcPr>
          <w:p>
            <w:r>
              <w:rPr>
                <w:sz w:val="20"/>
              </w:rPr>
              <w:t>α=1.0 + StandardScaler — baseline de comparaison obligatoire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OOB Score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Validation out-of-bag gratuite intégrée au RF</w:t>
            </w:r>
          </w:p>
        </w:tc>
      </w:tr>
      <w:tr>
        <w:tc>
          <w:tcPr>
            <w:tcW w:type="dxa" w:w="2835"/>
            <w:shd w:val="clear" w:color="auto" w:fill="EAF2F8"/>
          </w:tcPr>
          <w:p>
            <w:r>
              <w:rPr>
                <w:sz w:val="20"/>
              </w:rPr>
              <w:t>5-Fold Cross-Validation</w:t>
            </w:r>
          </w:p>
        </w:tc>
        <w:tc>
          <w:tcPr>
            <w:tcW w:type="dxa" w:w="6236"/>
            <w:shd w:val="clear" w:color="auto" w:fill="EAF2F8"/>
          </w:tcPr>
          <w:p>
            <w:r>
              <w:rPr>
                <w:sz w:val="20"/>
              </w:rPr>
              <w:t>Estimation non biaisée de la performance de généralisation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Learning Curve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Train vs CV R² selon taille dataset — diagnostic overfitting</w:t>
            </w:r>
          </w:p>
        </w:tc>
      </w:tr>
      <w:tr>
        <w:tc>
          <w:tcPr>
            <w:tcW w:type="dxa" w:w="2835"/>
            <w:shd w:val="clear" w:color="auto" w:fill="EAF2F8"/>
          </w:tcPr>
          <w:p>
            <w:r>
              <w:rPr>
                <w:sz w:val="20"/>
              </w:rPr>
              <w:t>compare_with_baseline()</w:t>
            </w:r>
          </w:p>
        </w:tc>
        <w:tc>
          <w:tcPr>
            <w:tcW w:type="dxa" w:w="6236"/>
            <w:shd w:val="clear" w:color="auto" w:fill="EAF2F8"/>
          </w:tcPr>
          <w:p>
            <w:r>
              <w:rPr>
                <w:sz w:val="20"/>
              </w:rPr>
              <w:t>Tableau comparatif RF vs Ridge sur R², RMSE, MAE</w:t>
            </w:r>
          </w:p>
        </w:tc>
      </w:tr>
    </w:tbl>
    <w:p/>
    <w:p>
      <w:pPr>
        <w:pStyle w:val="Heading2"/>
        <w:spacing w:before="160" w:after="120"/>
      </w:pPr>
      <w:r>
        <w:rPr>
          <w:color w:val="218DBB"/>
        </w:rPr>
        <w:t>Étape 5 — Évaluation (evaluation.py)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Graphique</w:t>
            </w:r>
          </w:p>
        </w:tc>
        <w:tc>
          <w:tcPr>
            <w:tcW w:type="dxa" w:w="5953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Contenu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01_pred_vs_actual.png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Scatter Prédit vs Réel avec zone ±10 pts</w:t>
            </w:r>
          </w:p>
        </w:tc>
      </w:tr>
      <w:tr>
        <w:tc>
          <w:tcPr>
            <w:tcW w:type="dxa" w:w="3118"/>
            <w:shd w:val="clear" w:color="auto" w:fill="EAF2F8"/>
          </w:tcPr>
          <w:p>
            <w:r>
              <w:rPr>
                <w:sz w:val="20"/>
              </w:rPr>
              <w:t>02_residuals.png</w:t>
            </w:r>
          </w:p>
        </w:tc>
        <w:tc>
          <w:tcPr>
            <w:tcW w:type="dxa" w:w="5953"/>
            <w:shd w:val="clear" w:color="auto" w:fill="EAF2F8"/>
          </w:tcPr>
          <w:p>
            <w:r>
              <w:rPr>
                <w:sz w:val="20"/>
              </w:rPr>
              <w:t>Résidus vs prédictions + distribution (gaussienne ?)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03_feature_importance.png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MDI importance + courbe cumulée (règle 80/20)</w:t>
            </w:r>
          </w:p>
        </w:tc>
      </w:tr>
      <w:tr>
        <w:tc>
          <w:tcPr>
            <w:tcW w:type="dxa" w:w="3118"/>
            <w:shd w:val="clear" w:color="auto" w:fill="EAF2F8"/>
          </w:tcPr>
          <w:p>
            <w:r>
              <w:rPr>
                <w:sz w:val="20"/>
              </w:rPr>
              <w:t>04_score_distribution.png</w:t>
            </w:r>
          </w:p>
        </w:tc>
        <w:tc>
          <w:tcPr>
            <w:tcW w:type="dxa" w:w="5953"/>
            <w:shd w:val="clear" w:color="auto" w:fill="EAF2F8"/>
          </w:tcPr>
          <w:p>
            <w:r>
              <w:rPr>
                <w:sz w:val="20"/>
              </w:rPr>
              <w:t>Distribution train / test réel / test prédit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05_model_comparison.png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Barres RF vs Ridge sur R², RMSE, MAE</w:t>
            </w:r>
          </w:p>
        </w:tc>
      </w:tr>
      <w:tr>
        <w:tc>
          <w:tcPr>
            <w:tcW w:type="dxa" w:w="3118"/>
            <w:shd w:val="clear" w:color="auto" w:fill="EAF2F8"/>
          </w:tcPr>
          <w:p>
            <w:r>
              <w:rPr>
                <w:sz w:val="20"/>
              </w:rPr>
              <w:t>06_learning_curve.png</w:t>
            </w:r>
          </w:p>
        </w:tc>
        <w:tc>
          <w:tcPr>
            <w:tcW w:type="dxa" w:w="5953"/>
            <w:shd w:val="clear" w:color="auto" w:fill="EAF2F8"/>
          </w:tcPr>
          <w:p>
            <w:r>
              <w:rPr>
                <w:sz w:val="20"/>
              </w:rPr>
              <w:t>Train et CV R² vs taille dataset + bandes ±1σ</w:t>
            </w:r>
          </w:p>
        </w:tc>
      </w:tr>
    </w:tbl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A5276"/>
        </w:rPr>
        <w:t>5. Résultats Obtenus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Indicateur</w:t>
            </w:r>
          </w:p>
        </w:tc>
        <w:tc>
          <w:tcPr>
            <w:tcW w:type="dxa" w:w="5669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Panneaux générés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45 panneaux sur 10 quartiers de Cotonou</w:t>
            </w:r>
          </w:p>
        </w:tc>
      </w:tr>
      <w:tr>
        <w:tc>
          <w:tcPr>
            <w:tcW w:type="dxa" w:w="3402"/>
            <w:shd w:val="clear" w:color="auto" w:fill="EAF2F8"/>
          </w:tcPr>
          <w:p>
            <w:r>
              <w:rPr>
                <w:sz w:val="20"/>
              </w:rPr>
              <w:t>Panneaux après cleaning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20"/>
              </w:rPr>
              <w:t>43 (2 doublons, 1 score aberrant supprimés)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Features ML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23 (brutes + dérivées + géospatiales)</w:t>
            </w:r>
          </w:p>
        </w:tc>
      </w:tr>
      <w:tr>
        <w:tc>
          <w:tcPr>
            <w:tcW w:type="dxa" w:w="3402"/>
            <w:shd w:val="clear" w:color="auto" w:fill="EAF2F8"/>
          </w:tcPr>
          <w:p>
            <w:r>
              <w:rPr>
                <w:sz w:val="20"/>
              </w:rPr>
              <w:t>OOB R²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20"/>
              </w:rPr>
              <w:t>0.279 — validation interne RF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RF CV R² (5-fold)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−0.168 ± 0.424 — variance élevée normale sur 34 obs</w:t>
            </w:r>
          </w:p>
        </w:tc>
      </w:tr>
      <w:tr>
        <w:tc>
          <w:tcPr>
            <w:tcW w:type="dxa" w:w="3402"/>
            <w:shd w:val="clear" w:color="auto" w:fill="EAF2F8"/>
          </w:tcPr>
          <w:p>
            <w:r>
              <w:rPr>
                <w:sz w:val="20"/>
              </w:rPr>
              <w:t>Ridge CV R² (5-fold)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20"/>
              </w:rPr>
              <w:t>0.163 ± 0.142 — plus stable car modèle plus simple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Top feature (MDI)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panel_type_enc = 26.2% d'importance</w:t>
            </w:r>
          </w:p>
        </w:tc>
      </w:tr>
      <w:tr>
        <w:tc>
          <w:tcPr>
            <w:tcW w:type="dxa" w:w="3402"/>
            <w:shd w:val="clear" w:color="auto" w:fill="EAF2F8"/>
          </w:tcPr>
          <w:p>
            <w:r>
              <w:rPr>
                <w:sz w:val="20"/>
              </w:rPr>
              <w:t>Top 3 features cumulées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20"/>
              </w:rPr>
              <w:t>panel_type + traffic + longitude = 50.5%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Prédiction démo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Panneau digital, Dantokpa, boulevard → 72.2 / 100</w:t>
            </w:r>
          </w:p>
        </w:tc>
      </w:tr>
      <w:tr>
        <w:tc>
          <w:tcPr>
            <w:tcW w:type="dxa" w:w="3402"/>
            <w:shd w:val="clear" w:color="auto" w:fill="EAF2F8"/>
          </w:tcPr>
          <w:p>
            <w:r>
              <w:rPr>
                <w:sz w:val="20"/>
              </w:rPr>
              <w:t>Durée pipeline complet</w:t>
            </w:r>
          </w:p>
        </w:tc>
        <w:tc>
          <w:tcPr>
            <w:tcW w:type="dxa" w:w="5669"/>
            <w:shd w:val="clear" w:color="auto" w:fill="EAF2F8"/>
          </w:tcPr>
          <w:p>
            <w:r>
              <w:rPr>
                <w:sz w:val="20"/>
              </w:rPr>
              <w:t>&lt; 10 secondes</w:t>
            </w:r>
          </w:p>
        </w:tc>
      </w:tr>
    </w:tbl>
    <w:p/>
    <w:p>
      <w:pPr>
        <w:spacing w:after="80"/>
        <w:ind w:left="0"/>
      </w:pPr>
      <w:r>
        <w:rPr>
          <w:b w:val="0"/>
          <w:i/>
          <w:color w:val="CA6F1E"/>
          <w:sz w:val="21"/>
        </w:rPr>
        <w:t>Note sur les métriques : avec 43 observations bruitées et 9 en test set, les métriques présentent une forte variance statistique. C'est la réalité d'un petit dataset — documentée et assumée.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120"/>
      </w:pPr>
      <w:r>
        <w:rPr>
          <w:color w:val="1A5276"/>
        </w:rPr>
        <w:t>6. Roadmap V1 → V2 → V3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6803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Contenu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V1 — Prototype (ACTUEL)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Dataset synthétique 45 panneaux · Pipeline cleaning · 23 features ML · RandomForest + Ridge baseline · 6 graphiques · Rapport JSON · Discours académique + Pitch 5 min</w:t>
            </w:r>
          </w:p>
        </w:tc>
      </w:tr>
      <w:tr>
        <w:tc>
          <w:tcPr>
            <w:tcW w:type="dxa" w:w="2268"/>
            <w:shd w:val="clear" w:color="auto" w:fill="EAF2F8"/>
          </w:tcPr>
          <w:p>
            <w:r>
              <w:rPr>
                <w:sz w:val="20"/>
              </w:rPr>
              <w:t>V2 — Production (3–6 mois)</w:t>
            </w:r>
          </w:p>
        </w:tc>
        <w:tc>
          <w:tcPr>
            <w:tcW w:type="dxa" w:w="6803"/>
            <w:shd w:val="clear" w:color="auto" w:fill="EAF2F8"/>
          </w:tcPr>
          <w:p>
            <w:r>
              <w:rPr>
                <w:sz w:val="20"/>
              </w:rPr>
              <w:t>Collecte terrain 500+ panneaux réels · OpenStreetMap features · XGBoost + Optuna · SHAP values · API FastAPI · Dashboard Streamlit · Carte interactive Folium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V3 — Intelligence (12–18 mois)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Détection satellite YOLOv8 sur Sentinel-2 · CNN scoring qualité visuelle · Optimisation multi-variable (algo génétique) · MLOps MLflow · Extension Lomé, Abidjan, Dakar</w:t>
            </w:r>
          </w:p>
        </w:tc>
      </w:tr>
    </w:tbl>
    <w:p/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99999"/>
          <w:sz w:val="16"/>
        </w:rPr>
        <w:t>Billboard Geolocation Platform — Cotonou, Bénin · Prototype V1 · 2024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