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276"/>
          <w:sz w:val="40"/>
        </w:rPr>
        <w:t>Outils d'Exploration du Dataset</w:t>
      </w:r>
    </w:p>
    <w:p>
      <w:pPr>
        <w:jc w:val="center"/>
      </w:pPr>
      <w:r>
        <w:rPr>
          <w:b/>
          <w:color w:val="218DBB"/>
          <w:sz w:val="24"/>
        </w:rPr>
        <w:t>Billboard Geolocation Platform — Cotonou, Bénin</w:t>
      </w:r>
    </w:p>
    <w:p>
      <w:pPr>
        <w:jc w:val="center"/>
      </w:pPr>
      <w:r>
        <w:rPr>
          <w:color w:val="2C3E50"/>
          <w:sz w:val="20"/>
        </w:rPr>
        <w:t>Tableau récapitulatif · Familles de variables · Roadmap d'utilisation</w:t>
      </w:r>
    </w:p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00"/>
      </w:pPr>
      <w:r>
        <w:rPr>
          <w:color w:val="1A5276"/>
        </w:rPr>
        <w:t>1. Tableau Récapitulatif — Outils d'Exploration</w:t>
      </w:r>
    </w:p>
    <w:p>
      <w:pPr>
        <w:spacing w:after="80"/>
      </w:pPr>
      <w:r>
        <w:rPr>
          <w:b w:val="0"/>
          <w:i/>
          <w:color w:val="2C3E50"/>
          <w:sz w:val="21"/>
        </w:rPr>
        <w:t>Pour chaque outil : rôle principal, type de données récupérées, variables utilisables dans le modèle ML, utilité concrète et priorité d'intégration.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Outil</w:t>
            </w:r>
          </w:p>
        </w:tc>
        <w:tc>
          <w:tcPr>
            <w:tcW w:type="dxa" w:w="1814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Rôle principal</w:t>
            </w:r>
          </w:p>
        </w:tc>
        <w:tc>
          <w:tcPr>
            <w:tcW w:type="dxa" w:w="2154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Type de données récupérées / manipulées</w:t>
            </w:r>
          </w:p>
        </w:tc>
        <w:tc>
          <w:tcPr>
            <w:tcW w:type="dxa" w:w="2154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Variables ou familles de variables</w:t>
            </w:r>
          </w:p>
        </w:tc>
        <w:tc>
          <w:tcPr>
            <w:tcW w:type="dxa" w:w="2154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Utilité concrète pour le projet</w:t>
            </w:r>
          </w:p>
        </w:tc>
        <w:tc>
          <w:tcPr>
            <w:tcW w:type="dxa" w:w="907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1701"/>
            <w:shd w:val="clear" w:color="auto" w:fill="D6EAF8"/>
          </w:tcPr>
          <w:p>
            <w:r>
              <w:rPr>
                <w:b/>
                <w:i w:val="0"/>
                <w:sz w:val="18"/>
              </w:rPr>
              <w:t>OpenStreetMap</w:t>
              <w:br/>
              <w:t>(OSM)</w:t>
            </w:r>
          </w:p>
        </w:tc>
        <w:tc>
          <w:tcPr>
            <w:tcW w:type="dxa" w:w="181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Source de données urbaines ouverte de base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Réseau routier, bâtiments, points d'intérêt, lieux urbains, équipements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Hiérarchie routière, proximité routes majeures, marchés / commerces / écoles / hôpitaux, densité fonctionnelle, accessibilité locale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Sert de fondation au dataset spatial</w:t>
            </w:r>
          </w:p>
        </w:tc>
        <w:tc>
          <w:tcPr>
            <w:tcW w:type="dxa" w:w="907"/>
            <w:shd w:val="clear" w:color="auto" w:fill="1E8B4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Très haute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i w:val="0"/>
                <w:sz w:val="18"/>
              </w:rPr>
              <w:t>Overpass Turbo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Exploration et extraction rapide de données OSM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Objets OSM filtrés par catégorie ou zone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Routes principales, intersections, marchés, arrêts, commerces, zones d'activité, équipements urbains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Tester rapidement ce qui existe réellement à Cotonou avant automatisation</w:t>
            </w:r>
          </w:p>
        </w:tc>
        <w:tc>
          <w:tcPr>
            <w:tcW w:type="dxa" w:w="907"/>
            <w:shd w:val="clear" w:color="auto" w:fill="1E8B4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Très haute</w:t>
            </w:r>
          </w:p>
        </w:tc>
      </w:tr>
      <w:tr>
        <w:tc>
          <w:tcPr>
            <w:tcW w:type="dxa" w:w="1701"/>
            <w:shd w:val="clear" w:color="auto" w:fill="D6EAF8"/>
          </w:tcPr>
          <w:p>
            <w:r>
              <w:rPr>
                <w:b/>
                <w:i w:val="0"/>
                <w:sz w:val="18"/>
              </w:rPr>
              <w:t>QGIS</w:t>
            </w:r>
          </w:p>
        </w:tc>
        <w:tc>
          <w:tcPr>
            <w:tcW w:type="dxa" w:w="181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Visualisation, nettoyage et contrôle spatial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Couches vectorielles et raster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Variables indirectes après vérification spatiale, nettoyage couches, découpage zone d'étude, harmonisation géographique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Préparer des couches fiables avant modélisation</w:t>
            </w:r>
          </w:p>
        </w:tc>
        <w:tc>
          <w:tcPr>
            <w:tcW w:type="dxa" w:w="907"/>
            <w:shd w:val="clear" w:color="auto" w:fill="1E8B4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Très haute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i w:val="0"/>
                <w:sz w:val="18"/>
              </w:rPr>
              <w:t>GeoPandas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Construction de la table analytique spatiale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Tables géographiques, points, lignes, polygones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Distances, densités locales, jointures spatiales, voisinages, agrégations par zone, exposition contextuelle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Outil central pour transformer les couches en dataset ML exploitable</w:t>
            </w:r>
          </w:p>
        </w:tc>
        <w:tc>
          <w:tcPr>
            <w:tcW w:type="dxa" w:w="907"/>
            <w:shd w:val="clear" w:color="auto" w:fill="1E8B4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Très haute</w:t>
            </w:r>
          </w:p>
        </w:tc>
      </w:tr>
      <w:tr>
        <w:tc>
          <w:tcPr>
            <w:tcW w:type="dxa" w:w="1701"/>
            <w:shd w:val="clear" w:color="auto" w:fill="D6EAF8"/>
          </w:tcPr>
          <w:p>
            <w:r>
              <w:rPr>
                <w:b/>
                <w:i w:val="0"/>
                <w:sz w:val="18"/>
              </w:rPr>
              <w:t>OSMnx</w:t>
            </w:r>
          </w:p>
        </w:tc>
        <w:tc>
          <w:tcPr>
            <w:tcW w:type="dxa" w:w="181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Analyse réseau à partir d'OSM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Graphe routier, nœuds, segments, structure du réseau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Centralité, connectivité, importance des axes, proximité nœuds stratégiques, structure trafic potentiel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Modéliser la visibilité liée au réseau routier</w:t>
            </w:r>
          </w:p>
        </w:tc>
        <w:tc>
          <w:tcPr>
            <w:tcW w:type="dxa" w:w="907"/>
            <w:shd w:val="clear" w:color="auto" w:fill="1E8B4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Très haute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i w:val="0"/>
                <w:sz w:val="18"/>
              </w:rPr>
              <w:t>NetworkX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Calcul d'indicateurs de graphe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Graphes issus du réseau routier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Centralité, degré, accessibilité structurelle, importance relative des nœuds / segments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Complète OSMnx pour produire les variables réseau</w:t>
            </w:r>
          </w:p>
        </w:tc>
        <w:tc>
          <w:tcPr>
            <w:tcW w:type="dxa" w:w="907"/>
            <w:shd w:val="clear" w:color="auto" w:fill="2980B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Haute</w:t>
            </w:r>
          </w:p>
        </w:tc>
      </w:tr>
      <w:tr>
        <w:tc>
          <w:tcPr>
            <w:tcW w:type="dxa" w:w="1701"/>
            <w:shd w:val="clear" w:color="auto" w:fill="D6EAF8"/>
          </w:tcPr>
          <w:p>
            <w:r>
              <w:rPr>
                <w:b/>
                <w:i w:val="0"/>
                <w:sz w:val="18"/>
              </w:rPr>
              <w:t>WorldPop</w:t>
            </w:r>
          </w:p>
        </w:tc>
        <w:tc>
          <w:tcPr>
            <w:tcW w:type="dxa" w:w="181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Ajouter la dimension démographique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Raster de population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Densité de population, exposition humaine potentielle, pression démographique autour d'un site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Proxy de fréquentation / audience potentielle</w:t>
            </w:r>
          </w:p>
        </w:tc>
        <w:tc>
          <w:tcPr>
            <w:tcW w:type="dxa" w:w="907"/>
            <w:shd w:val="clear" w:color="auto" w:fill="1E8B4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Très haute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i w:val="0"/>
                <w:sz w:val="18"/>
              </w:rPr>
              <w:t>GHSL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Ajouter la dimension urbaine et bâtie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Raster de densité bâtie / urbanisation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Densité bâtie, intensité urbaine, structure du tissu urbain, niveau d'urbanisation, compacité spatiale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Qualifier l'environnement physique d'un emplacement</w:t>
            </w:r>
          </w:p>
        </w:tc>
        <w:tc>
          <w:tcPr>
            <w:tcW w:type="dxa" w:w="907"/>
            <w:shd w:val="clear" w:color="auto" w:fill="1E8B4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Très haute</w:t>
            </w:r>
          </w:p>
        </w:tc>
      </w:tr>
      <w:tr>
        <w:tc>
          <w:tcPr>
            <w:tcW w:type="dxa" w:w="1701"/>
            <w:shd w:val="clear" w:color="auto" w:fill="D6EAF8"/>
          </w:tcPr>
          <w:p>
            <w:r>
              <w:rPr>
                <w:b/>
                <w:i w:val="0"/>
                <w:sz w:val="18"/>
              </w:rPr>
              <w:t>Sentinel-2 /</w:t>
              <w:br/>
              <w:t>Copernicus</w:t>
            </w:r>
          </w:p>
        </w:tc>
        <w:tc>
          <w:tcPr>
            <w:tcW w:type="dxa" w:w="181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Enrichissement satellitaire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Images satellites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Occupation du sol, zones ouvertes ou denses, texture urbaine, contexte visuel large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Enrichissement V2 — pas obligatoire pour démarrer</w:t>
            </w:r>
          </w:p>
        </w:tc>
        <w:tc>
          <w:tcPr>
            <w:tcW w:type="dxa" w:w="907"/>
            <w:shd w:val="clear" w:color="auto" w:fill="CA6F1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Moyenne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i w:val="0"/>
                <w:sz w:val="18"/>
              </w:rPr>
              <w:t>Google Earth</w:t>
              <w:br/>
              <w:t>Engine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Traitement géospatial / raster avancé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Imagerie et rasters à grande échelle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Indices spatiaux, enrichissements raster, variables environnementales, occupation du sol dérivée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Utile si raster poussé — pas indispensable au début</w:t>
            </w:r>
          </w:p>
        </w:tc>
        <w:tc>
          <w:tcPr>
            <w:tcW w:type="dxa" w:w="907"/>
            <w:shd w:val="clear" w:color="auto" w:fill="CA6F1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Moyenne</w:t>
            </w:r>
          </w:p>
        </w:tc>
      </w:tr>
      <w:tr>
        <w:tc>
          <w:tcPr>
            <w:tcW w:type="dxa" w:w="1701"/>
            <w:shd w:val="clear" w:color="auto" w:fill="D6EAF8"/>
          </w:tcPr>
          <w:p>
            <w:r>
              <w:rPr>
                <w:b/>
                <w:i w:val="0"/>
                <w:sz w:val="18"/>
              </w:rPr>
              <w:t>Rasterio</w:t>
            </w:r>
          </w:p>
        </w:tc>
        <w:tc>
          <w:tcPr>
            <w:tcW w:type="dxa" w:w="181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Lecture et traitement de rasters dans Python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Population, bâti, imagerie, couches continues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Extraction de valeurs raster autour des sites, statistiques locales, agrégats spatiaux</w:t>
            </w:r>
          </w:p>
        </w:tc>
        <w:tc>
          <w:tcPr>
            <w:tcW w:type="dxa" w:w="2154"/>
            <w:shd w:val="clear" w:color="auto" w:fill="D6EAF8"/>
          </w:tcPr>
          <w:p>
            <w:r>
              <w:rPr>
                <w:b w:val="0"/>
                <w:i w:val="0"/>
                <w:sz w:val="18"/>
              </w:rPr>
              <w:t>Complète GeoPandas pour intégrer les données raster au dataset final</w:t>
            </w:r>
          </w:p>
        </w:tc>
        <w:tc>
          <w:tcPr>
            <w:tcW w:type="dxa" w:w="907"/>
            <w:shd w:val="clear" w:color="auto" w:fill="2980B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Haute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i w:val="0"/>
                <w:sz w:val="18"/>
              </w:rPr>
              <w:t>Folium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Contrôle visuel interactif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Cartes interactives web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Pas de variables nouvelles — validation spatiale des résultats, inspection des scores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Vérifier si les emplacements et scores font sens visuellement</w:t>
            </w:r>
          </w:p>
        </w:tc>
        <w:tc>
          <w:tcPr>
            <w:tcW w:type="dxa" w:w="907"/>
            <w:shd w:val="clear" w:color="auto" w:fill="CA6F1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Moyenne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00"/>
      </w:pPr>
      <w:r>
        <w:rPr>
          <w:color w:val="1A5276"/>
        </w:rPr>
        <w:t>2. Ce que chaque Famille d'Outils vous Apporte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Famille d'outils</w:t>
            </w:r>
          </w:p>
        </w:tc>
        <w:tc>
          <w:tcPr>
            <w:tcW w:type="dxa" w:w="2268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Outils principaux</w:t>
            </w:r>
          </w:p>
        </w:tc>
        <w:tc>
          <w:tcPr>
            <w:tcW w:type="dxa" w:w="5953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Ce qu'elle vous apporte</w:t>
            </w:r>
          </w:p>
        </w:tc>
      </w:tr>
      <w:tr>
        <w:tc>
          <w:tcPr>
            <w:tcW w:type="dxa" w:w="2551"/>
            <w:shd w:val="clear" w:color="auto" w:fill="bleu_header"/>
          </w:tcPr>
          <w:p>
            <w:r>
              <w:rPr>
                <w:b/>
                <w:i w:val="0"/>
                <w:color w:val="FFFFFF"/>
                <w:sz w:val="19"/>
              </w:rPr>
              <w:t>Réseau routier et structure de circulation</w:t>
            </w:r>
          </w:p>
        </w:tc>
        <w:tc>
          <w:tcPr>
            <w:tcW w:type="dxa" w:w="2268"/>
            <w:shd w:val="clear" w:color="auto" w:fill="bleu_pale"/>
          </w:tcPr>
          <w:p>
            <w:r>
              <w:rPr>
                <w:b w:val="0"/>
                <w:i w:val="0"/>
                <w:sz w:val="19"/>
              </w:rPr>
              <w:t>OSM, Overpass Turbo, OSMnx, NetworkX</w:t>
            </w:r>
          </w:p>
        </w:tc>
        <w:tc>
          <w:tcPr>
            <w:tcW w:type="dxa" w:w="5953"/>
            <w:shd w:val="clear" w:color="auto" w:fill="bleu_pale"/>
          </w:tcPr>
          <w:p>
            <w:r>
              <w:rPr>
                <w:b w:val="0"/>
                <w:i w:val="0"/>
                <w:sz w:val="19"/>
              </w:rPr>
              <w:t>Variables de connectivité, centralité, importance des axes, proximité des carrefours, accessibilité</w:t>
            </w:r>
          </w:p>
        </w:tc>
      </w:tr>
      <w:tr>
        <w:tc>
          <w:tcPr>
            <w:tcW w:type="dxa" w:w="2551"/>
            <w:shd w:val="clear" w:color="auto" w:fill="vert_header"/>
          </w:tcPr>
          <w:p>
            <w:r>
              <w:rPr>
                <w:b/>
                <w:i w:val="0"/>
                <w:color w:val="FFFFFF"/>
                <w:sz w:val="19"/>
              </w:rPr>
              <w:t>Contexte urbain et points d'intérêt</w:t>
            </w:r>
          </w:p>
        </w:tc>
        <w:tc>
          <w:tcPr>
            <w:tcW w:type="dxa" w:w="2268"/>
            <w:shd w:val="clear" w:color="auto" w:fill="vert_pale"/>
          </w:tcPr>
          <w:p>
            <w:r>
              <w:rPr>
                <w:b w:val="0"/>
                <w:i w:val="0"/>
                <w:sz w:val="19"/>
              </w:rPr>
              <w:t>OSM, Overpass Turbo, QGIS, GeoPandas</w:t>
            </w:r>
          </w:p>
        </w:tc>
        <w:tc>
          <w:tcPr>
            <w:tcW w:type="dxa" w:w="5953"/>
            <w:shd w:val="clear" w:color="auto" w:fill="vert_pale"/>
          </w:tcPr>
          <w:p>
            <w:r>
              <w:rPr>
                <w:b w:val="0"/>
                <w:i w:val="0"/>
                <w:sz w:val="19"/>
              </w:rPr>
              <w:t>Densité de commerces, proximité de marchés, concentration d'équipements, attractivité fonctionnelle</w:t>
            </w:r>
          </w:p>
        </w:tc>
      </w:tr>
      <w:tr>
        <w:tc>
          <w:tcPr>
            <w:tcW w:type="dxa" w:w="2551"/>
            <w:shd w:val="clear" w:color="auto" w:fill="orange_header"/>
          </w:tcPr>
          <w:p>
            <w:r>
              <w:rPr>
                <w:b/>
                <w:i w:val="0"/>
                <w:color w:val="FFFFFF"/>
                <w:sz w:val="19"/>
              </w:rPr>
              <w:t>Exposition humaine</w:t>
            </w:r>
          </w:p>
        </w:tc>
        <w:tc>
          <w:tcPr>
            <w:tcW w:type="dxa" w:w="2268"/>
            <w:shd w:val="clear" w:color="auto" w:fill="orange_pale"/>
          </w:tcPr>
          <w:p>
            <w:r>
              <w:rPr>
                <w:b w:val="0"/>
                <w:i w:val="0"/>
                <w:sz w:val="19"/>
              </w:rPr>
              <w:t>WorldPop, GeoPandas, Rasterio</w:t>
            </w:r>
          </w:p>
        </w:tc>
        <w:tc>
          <w:tcPr>
            <w:tcW w:type="dxa" w:w="5953"/>
            <w:shd w:val="clear" w:color="auto" w:fill="orange_pale"/>
          </w:tcPr>
          <w:p>
            <w:r>
              <w:rPr>
                <w:b w:val="0"/>
                <w:i w:val="0"/>
                <w:sz w:val="19"/>
              </w:rPr>
              <w:t>Densité de population, présence humaine potentielle, intensité de fréquentation indirecte</w:t>
            </w:r>
          </w:p>
        </w:tc>
      </w:tr>
      <w:tr>
        <w:tc>
          <w:tcPr>
            <w:tcW w:type="dxa" w:w="2551"/>
            <w:shd w:val="clear" w:color="auto" w:fill="violet_header"/>
          </w:tcPr>
          <w:p>
            <w:r>
              <w:rPr>
                <w:b/>
                <w:i w:val="0"/>
                <w:color w:val="FFFFFF"/>
                <w:sz w:val="19"/>
              </w:rPr>
              <w:t>Morphologie et densité urbaine</w:t>
            </w:r>
          </w:p>
        </w:tc>
        <w:tc>
          <w:tcPr>
            <w:tcW w:type="dxa" w:w="2268"/>
            <w:shd w:val="clear" w:color="auto" w:fill="violet_pale"/>
          </w:tcPr>
          <w:p>
            <w:r>
              <w:rPr>
                <w:b w:val="0"/>
                <w:i w:val="0"/>
                <w:sz w:val="19"/>
              </w:rPr>
              <w:t>GHSL, Sentinel-2, Rasterio, QGIS</w:t>
            </w:r>
          </w:p>
        </w:tc>
        <w:tc>
          <w:tcPr>
            <w:tcW w:type="dxa" w:w="5953"/>
            <w:shd w:val="clear" w:color="auto" w:fill="violet_pale"/>
          </w:tcPr>
          <w:p>
            <w:r>
              <w:rPr>
                <w:b w:val="0"/>
                <w:i w:val="0"/>
                <w:sz w:val="19"/>
              </w:rPr>
              <w:t>Densité bâtie, urbanisation, compacité, ouverture relative de l'espace</w:t>
            </w:r>
          </w:p>
        </w:tc>
      </w:tr>
      <w:tr>
        <w:tc>
          <w:tcPr>
            <w:tcW w:type="dxa" w:w="2551"/>
            <w:shd w:val="clear" w:color="auto" w:fill="gris_header"/>
          </w:tcPr>
          <w:p>
            <w:r>
              <w:rPr>
                <w:b/>
                <w:i w:val="0"/>
                <w:color w:val="FFFFFF"/>
                <w:sz w:val="19"/>
              </w:rPr>
              <w:t>Assemblage du dataset final</w:t>
            </w:r>
          </w:p>
        </w:tc>
        <w:tc>
          <w:tcPr>
            <w:tcW w:type="dxa" w:w="2268"/>
            <w:shd w:val="clear" w:color="auto" w:fill="gris_pale"/>
          </w:tcPr>
          <w:p>
            <w:r>
              <w:rPr>
                <w:b w:val="0"/>
                <w:i w:val="0"/>
                <w:sz w:val="19"/>
              </w:rPr>
              <w:t>GeoPandas, QGIS, Rasterio</w:t>
            </w:r>
          </w:p>
        </w:tc>
        <w:tc>
          <w:tcPr>
            <w:tcW w:type="dxa" w:w="5953"/>
            <w:shd w:val="clear" w:color="auto" w:fill="gris_pale"/>
          </w:tcPr>
          <w:p>
            <w:r>
              <w:rPr>
                <w:b w:val="0"/>
                <w:i w:val="0"/>
                <w:sz w:val="19"/>
              </w:rPr>
              <w:t>Jointures spatiales, calcul de distances, agrégations, enrichissement des emplacements candidats</w:t>
            </w:r>
          </w:p>
        </w:tc>
      </w:tr>
      <w:tr>
        <w:tc>
          <w:tcPr>
            <w:tcW w:type="dxa" w:w="2551"/>
            <w:shd w:val="clear" w:color="auto" w:fill="rouge_header"/>
          </w:tcPr>
          <w:p>
            <w:r>
              <w:rPr>
                <w:b/>
                <w:i w:val="0"/>
                <w:color w:val="FFFFFF"/>
                <w:sz w:val="19"/>
              </w:rPr>
              <w:t>Contrôle qualité et lecture cartographique</w:t>
            </w:r>
          </w:p>
        </w:tc>
        <w:tc>
          <w:tcPr>
            <w:tcW w:type="dxa" w:w="2268"/>
            <w:shd w:val="clear" w:color="auto" w:fill="rouge_pale"/>
          </w:tcPr>
          <w:p>
            <w:r>
              <w:rPr>
                <w:b w:val="0"/>
                <w:i w:val="0"/>
                <w:sz w:val="19"/>
              </w:rPr>
              <w:t>QGIS, Folium</w:t>
            </w:r>
          </w:p>
        </w:tc>
        <w:tc>
          <w:tcPr>
            <w:tcW w:type="dxa" w:w="5953"/>
            <w:shd w:val="clear" w:color="auto" w:fill="rouge_pale"/>
          </w:tcPr>
          <w:p>
            <w:r>
              <w:rPr>
                <w:b w:val="0"/>
                <w:i w:val="0"/>
                <w:sz w:val="19"/>
              </w:rPr>
              <w:t>Vérification visuelle, validation géographique, repérage des anomalies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00"/>
      </w:pPr>
      <w:r>
        <w:rPr>
          <w:color w:val="1A5276"/>
        </w:rPr>
        <w:t>3. Familles de Variables Construites pour le Modèle ML</w:t>
      </w:r>
    </w:p>
    <w:p>
      <w:pPr>
        <w:spacing w:after="80"/>
      </w:pPr>
      <w:r>
        <w:rPr>
          <w:b w:val="0"/>
          <w:i/>
          <w:color w:val="2C3E50"/>
          <w:sz w:val="21"/>
        </w:rPr>
        <w:t>Variables raisonnablement constructibles à partir des outils ci-dessus.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Grande famille de variables</w:t>
            </w:r>
          </w:p>
        </w:tc>
        <w:tc>
          <w:tcPr>
            <w:tcW w:type="dxa" w:w="4706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Exemples de ce qu'elles représentent</w:t>
            </w:r>
          </w:p>
        </w:tc>
        <w:tc>
          <w:tcPr>
            <w:tcW w:type="dxa" w:w="3685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Outils les plus utiles</w:t>
            </w:r>
          </w:p>
        </w:tc>
      </w:tr>
      <w:tr>
        <w:tc>
          <w:tcPr>
            <w:tcW w:type="dxa" w:w="2381"/>
            <w:shd w:val="clear" w:color="auto" w:fill="bleu_header"/>
          </w:tcPr>
          <w:p>
            <w:r>
              <w:rPr>
                <w:b/>
                <w:i w:val="0"/>
                <w:color w:val="FFFFFF"/>
                <w:sz w:val="19"/>
              </w:rPr>
              <w:t>Accessibilité routière</w:t>
            </w:r>
          </w:p>
        </w:tc>
        <w:tc>
          <w:tcPr>
            <w:tcW w:type="dxa" w:w="4706"/>
            <w:shd w:val="clear" w:color="auto" w:fill="bleu_pale"/>
          </w:tcPr>
          <w:p>
            <w:r>
              <w:rPr>
                <w:b w:val="0"/>
                <w:i w:val="0"/>
                <w:sz w:val="19"/>
              </w:rPr>
              <w:t>Importance des routes, proximité des axes majeurs, carrefours, connectivité</w:t>
            </w:r>
          </w:p>
        </w:tc>
        <w:tc>
          <w:tcPr>
            <w:tcW w:type="dxa" w:w="3685"/>
            <w:shd w:val="clear" w:color="auto" w:fill="bleu_pale"/>
          </w:tcPr>
          <w:p>
            <w:r>
              <w:rPr>
                <w:b w:val="0"/>
                <w:i/>
                <w:sz w:val="19"/>
              </w:rPr>
              <w:t>OSM, OSMnx, NetworkX, GeoPandas</w:t>
            </w:r>
          </w:p>
        </w:tc>
      </w:tr>
      <w:tr>
        <w:tc>
          <w:tcPr>
            <w:tcW w:type="dxa" w:w="2381"/>
            <w:shd w:val="clear" w:color="auto" w:fill="vert_header"/>
          </w:tcPr>
          <w:p>
            <w:r>
              <w:rPr>
                <w:b/>
                <w:i w:val="0"/>
                <w:color w:val="FFFFFF"/>
                <w:sz w:val="19"/>
              </w:rPr>
              <w:t>Exposition potentielle</w:t>
            </w:r>
          </w:p>
        </w:tc>
        <w:tc>
          <w:tcPr>
            <w:tcW w:type="dxa" w:w="4706"/>
            <w:shd w:val="clear" w:color="auto" w:fill="vert_pale"/>
          </w:tcPr>
          <w:p>
            <w:r>
              <w:rPr>
                <w:b w:val="0"/>
                <w:i w:val="0"/>
                <w:sz w:val="19"/>
              </w:rPr>
              <w:t>Présence humaine et intensité d'occupation des environs</w:t>
            </w:r>
          </w:p>
        </w:tc>
        <w:tc>
          <w:tcPr>
            <w:tcW w:type="dxa" w:w="3685"/>
            <w:shd w:val="clear" w:color="auto" w:fill="vert_pale"/>
          </w:tcPr>
          <w:p>
            <w:r>
              <w:rPr>
                <w:b w:val="0"/>
                <w:i/>
                <w:sz w:val="19"/>
              </w:rPr>
              <w:t>WorldPop, GHSL, Rasterio</w:t>
            </w:r>
          </w:p>
        </w:tc>
      </w:tr>
      <w:tr>
        <w:tc>
          <w:tcPr>
            <w:tcW w:type="dxa" w:w="2381"/>
            <w:shd w:val="clear" w:color="auto" w:fill="orange_header"/>
          </w:tcPr>
          <w:p>
            <w:r>
              <w:rPr>
                <w:b/>
                <w:i w:val="0"/>
                <w:color w:val="FFFFFF"/>
                <w:sz w:val="19"/>
              </w:rPr>
              <w:t>Attractivité urbaine</w:t>
            </w:r>
          </w:p>
        </w:tc>
        <w:tc>
          <w:tcPr>
            <w:tcW w:type="dxa" w:w="4706"/>
            <w:shd w:val="clear" w:color="auto" w:fill="orange_pale"/>
          </w:tcPr>
          <w:p>
            <w:r>
              <w:rPr>
                <w:b w:val="0"/>
                <w:i w:val="0"/>
                <w:sz w:val="19"/>
              </w:rPr>
              <w:t>Proximité zones commerciales, marchés, services, équipements</w:t>
            </w:r>
          </w:p>
        </w:tc>
        <w:tc>
          <w:tcPr>
            <w:tcW w:type="dxa" w:w="3685"/>
            <w:shd w:val="clear" w:color="auto" w:fill="orange_pale"/>
          </w:tcPr>
          <w:p>
            <w:r>
              <w:rPr>
                <w:b w:val="0"/>
                <w:i/>
                <w:sz w:val="19"/>
              </w:rPr>
              <w:t>OSM, Overpass Turbo, GeoPandas</w:t>
            </w:r>
          </w:p>
        </w:tc>
      </w:tr>
      <w:tr>
        <w:tc>
          <w:tcPr>
            <w:tcW w:type="dxa" w:w="2381"/>
            <w:shd w:val="clear" w:color="auto" w:fill="violet_header"/>
          </w:tcPr>
          <w:p>
            <w:r>
              <w:rPr>
                <w:b/>
                <w:i w:val="0"/>
                <w:color w:val="FFFFFF"/>
                <w:sz w:val="19"/>
              </w:rPr>
              <w:t>Centralité spatiale</w:t>
            </w:r>
          </w:p>
        </w:tc>
        <w:tc>
          <w:tcPr>
            <w:tcW w:type="dxa" w:w="4706"/>
            <w:shd w:val="clear" w:color="auto" w:fill="violet_pale"/>
          </w:tcPr>
          <w:p>
            <w:r>
              <w:rPr>
                <w:b w:val="0"/>
                <w:i w:val="0"/>
                <w:sz w:val="19"/>
              </w:rPr>
              <w:t>Position stratégique dans la ville, rôle dans le réseau</w:t>
            </w:r>
          </w:p>
        </w:tc>
        <w:tc>
          <w:tcPr>
            <w:tcW w:type="dxa" w:w="3685"/>
            <w:shd w:val="clear" w:color="auto" w:fill="violet_pale"/>
          </w:tcPr>
          <w:p>
            <w:r>
              <w:rPr>
                <w:b w:val="0"/>
                <w:i/>
                <w:sz w:val="19"/>
              </w:rPr>
              <w:t>OSMnx, NetworkX</w:t>
            </w:r>
          </w:p>
        </w:tc>
      </w:tr>
      <w:tr>
        <w:tc>
          <w:tcPr>
            <w:tcW w:type="dxa" w:w="2381"/>
            <w:shd w:val="clear" w:color="auto" w:fill="gris_header"/>
          </w:tcPr>
          <w:p>
            <w:r>
              <w:rPr>
                <w:b/>
                <w:i w:val="0"/>
                <w:color w:val="FFFFFF"/>
                <w:sz w:val="19"/>
              </w:rPr>
              <w:t>Contexte morphologique</w:t>
            </w:r>
          </w:p>
        </w:tc>
        <w:tc>
          <w:tcPr>
            <w:tcW w:type="dxa" w:w="4706"/>
            <w:shd w:val="clear" w:color="auto" w:fill="gris_pale"/>
          </w:tcPr>
          <w:p>
            <w:r>
              <w:rPr>
                <w:b w:val="0"/>
                <w:i w:val="0"/>
                <w:sz w:val="19"/>
              </w:rPr>
              <w:t>Densité du bâti, structure du tissu urbain, zones ouvertes ou compactes</w:t>
            </w:r>
          </w:p>
        </w:tc>
        <w:tc>
          <w:tcPr>
            <w:tcW w:type="dxa" w:w="3685"/>
            <w:shd w:val="clear" w:color="auto" w:fill="gris_pale"/>
          </w:tcPr>
          <w:p>
            <w:r>
              <w:rPr>
                <w:b w:val="0"/>
                <w:i/>
                <w:sz w:val="19"/>
              </w:rPr>
              <w:t>GHSL, Sentinel-2, QGIS</w:t>
            </w:r>
          </w:p>
        </w:tc>
      </w:tr>
      <w:tr>
        <w:tc>
          <w:tcPr>
            <w:tcW w:type="dxa" w:w="2381"/>
            <w:shd w:val="clear" w:color="auto" w:fill="bleu_header"/>
          </w:tcPr>
          <w:p>
            <w:r>
              <w:rPr>
                <w:b/>
                <w:i w:val="0"/>
                <w:color w:val="FFFFFF"/>
                <w:sz w:val="19"/>
              </w:rPr>
              <w:t>Densité fonctionnelle</w:t>
            </w:r>
          </w:p>
        </w:tc>
        <w:tc>
          <w:tcPr>
            <w:tcW w:type="dxa" w:w="4706"/>
            <w:shd w:val="clear" w:color="auto" w:fill="bleu_pale"/>
          </w:tcPr>
          <w:p>
            <w:r>
              <w:rPr>
                <w:b w:val="0"/>
                <w:i w:val="0"/>
                <w:sz w:val="19"/>
              </w:rPr>
              <w:t>Concentration d'activités et de points d'intérêt autour des sites</w:t>
            </w:r>
          </w:p>
        </w:tc>
        <w:tc>
          <w:tcPr>
            <w:tcW w:type="dxa" w:w="3685"/>
            <w:shd w:val="clear" w:color="auto" w:fill="bleu_pale"/>
          </w:tcPr>
          <w:p>
            <w:r>
              <w:rPr>
                <w:b w:val="0"/>
                <w:i/>
                <w:sz w:val="19"/>
              </w:rPr>
              <w:t>OSM, Overpass Turbo, GeoPandas</w:t>
            </w:r>
          </w:p>
        </w:tc>
      </w:tr>
      <w:tr>
        <w:tc>
          <w:tcPr>
            <w:tcW w:type="dxa" w:w="2381"/>
            <w:shd w:val="clear" w:color="auto" w:fill="vert_header"/>
          </w:tcPr>
          <w:p>
            <w:r>
              <w:rPr>
                <w:b/>
                <w:i w:val="0"/>
                <w:color w:val="FFFFFF"/>
                <w:sz w:val="19"/>
              </w:rPr>
              <w:t>Variables de voisinage</w:t>
            </w:r>
          </w:p>
        </w:tc>
        <w:tc>
          <w:tcPr>
            <w:tcW w:type="dxa" w:w="4706"/>
            <w:shd w:val="clear" w:color="auto" w:fill="vert_pale"/>
          </w:tcPr>
          <w:p>
            <w:r>
              <w:rPr>
                <w:b w:val="0"/>
                <w:i w:val="0"/>
                <w:sz w:val="19"/>
              </w:rPr>
              <w:t>Ce qu'il y a dans un rayon donné autour d'un site</w:t>
            </w:r>
          </w:p>
        </w:tc>
        <w:tc>
          <w:tcPr>
            <w:tcW w:type="dxa" w:w="3685"/>
            <w:shd w:val="clear" w:color="auto" w:fill="vert_pale"/>
          </w:tcPr>
          <w:p>
            <w:r>
              <w:rPr>
                <w:b w:val="0"/>
                <w:i/>
                <w:sz w:val="19"/>
              </w:rPr>
              <w:t>GeoPandas, Rasterio, QGIS</w:t>
            </w:r>
          </w:p>
        </w:tc>
      </w:tr>
      <w:tr>
        <w:tc>
          <w:tcPr>
            <w:tcW w:type="dxa" w:w="2381"/>
            <w:shd w:val="clear" w:color="auto" w:fill="orange_header"/>
          </w:tcPr>
          <w:p>
            <w:r>
              <w:rPr>
                <w:b/>
                <w:i w:val="0"/>
                <w:color w:val="FFFFFF"/>
                <w:sz w:val="19"/>
              </w:rPr>
              <w:t>Variables de contrôle spatial</w:t>
            </w:r>
          </w:p>
        </w:tc>
        <w:tc>
          <w:tcPr>
            <w:tcW w:type="dxa" w:w="4706"/>
            <w:shd w:val="clear" w:color="auto" w:fill="orange_pale"/>
          </w:tcPr>
          <w:p>
            <w:r>
              <w:rPr>
                <w:b w:val="0"/>
                <w:i w:val="0"/>
                <w:sz w:val="19"/>
              </w:rPr>
              <w:t>Appartenance à une zone, distance à un pôle majeur, structure du quartier</w:t>
            </w:r>
          </w:p>
        </w:tc>
        <w:tc>
          <w:tcPr>
            <w:tcW w:type="dxa" w:w="3685"/>
            <w:shd w:val="clear" w:color="auto" w:fill="orange_pale"/>
          </w:tcPr>
          <w:p>
            <w:r>
              <w:rPr>
                <w:b w:val="0"/>
                <w:i/>
                <w:sz w:val="19"/>
              </w:rPr>
              <w:t>QGIS, GeoPandas, OSM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00"/>
      </w:pPr>
      <w:r>
        <w:rPr>
          <w:color w:val="1A5276"/>
        </w:rPr>
        <w:t>4. Lecture Pratique — Quels Outils Utiliser en Premier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Niveau</w:t>
            </w:r>
          </w:p>
        </w:tc>
        <w:tc>
          <w:tcPr>
            <w:tcW w:type="dxa" w:w="4706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Outils</w:t>
            </w:r>
          </w:p>
        </w:tc>
        <w:tc>
          <w:tcPr>
            <w:tcW w:type="dxa" w:w="4252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Pourquoi</w:t>
            </w:r>
          </w:p>
        </w:tc>
      </w:tr>
      <w:tr>
        <w:tc>
          <w:tcPr>
            <w:tcW w:type="dxa" w:w="1814"/>
            <w:shd w:val="clear" w:color="auto" w:fill="1E8B4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Noyau immédiat</w:t>
            </w:r>
          </w:p>
        </w:tc>
        <w:tc>
          <w:tcPr>
            <w:tcW w:type="dxa" w:w="4706"/>
            <w:shd w:val="clear" w:color="auto" w:fill="F2F3F4"/>
          </w:tcPr>
          <w:p>
            <w:r>
              <w:rPr>
                <w:b/>
                <w:i w:val="0"/>
                <w:sz w:val="19"/>
              </w:rPr>
              <w:t>OSM + Overpass Turbo + QGIS + GeoPandas + OSMnx + WorldPop + GHSL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  <w:sz w:val="19"/>
              </w:rPr>
              <w:t>Suffisant pour construire une vraie base de données de recherche</w:t>
            </w:r>
          </w:p>
        </w:tc>
      </w:tr>
      <w:tr>
        <w:tc>
          <w:tcPr>
            <w:tcW w:type="dxa" w:w="1814"/>
            <w:shd w:val="clear" w:color="auto" w:fill="2980B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Très utile ensuite</w:t>
            </w:r>
          </w:p>
        </w:tc>
        <w:tc>
          <w:tcPr>
            <w:tcW w:type="dxa" w:w="4706"/>
            <w:shd w:val="clear" w:color="auto" w:fill="F2F3F4"/>
          </w:tcPr>
          <w:p>
            <w:r>
              <w:rPr>
                <w:b/>
                <w:i w:val="0"/>
                <w:sz w:val="19"/>
              </w:rPr>
              <w:t>NetworkX + Rasterio + Folium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  <w:sz w:val="19"/>
              </w:rPr>
              <w:t>Enrichit l'analyse, améliore le contrôle et la qualité du dataset</w:t>
            </w:r>
          </w:p>
        </w:tc>
      </w:tr>
      <w:tr>
        <w:tc>
          <w:tcPr>
            <w:tcW w:type="dxa" w:w="1814"/>
            <w:shd w:val="clear" w:color="auto" w:fill="CA6F1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Optionnel au démarrage</w:t>
            </w:r>
          </w:p>
        </w:tc>
        <w:tc>
          <w:tcPr>
            <w:tcW w:type="dxa" w:w="4706"/>
            <w:shd w:val="clear" w:color="auto" w:fill="F2F3F4"/>
          </w:tcPr>
          <w:p>
            <w:r>
              <w:rPr>
                <w:b/>
                <w:i w:val="0"/>
                <w:sz w:val="19"/>
              </w:rPr>
              <w:t>Sentinel-2 + Google Earth Engine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  <w:sz w:val="19"/>
              </w:rPr>
              <w:t>Utile pour aller plus loin sur le raster et l'imagerie (V2/V3)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00"/>
      </w:pPr>
      <w:r>
        <w:rPr>
          <w:color w:val="1A5276"/>
        </w:rPr>
        <w:t>5. Résumé — Ce que le Noyau Immédiat Permet de Produire</w:t>
      </w:r>
    </w:p>
    <w:p>
      <w:pPr>
        <w:spacing w:after="80"/>
      </w:pPr>
      <w:r>
        <w:rPr>
          <w:b w:val="0"/>
          <w:i w:val="0"/>
          <w:sz w:val="21"/>
        </w:rPr>
        <w:t>En démarrant uniquement avec le noyau immédiat (OSM, Overpass Turbo, QGIS, GeoPandas, OSMnx, WorldPop, GHSL), vous pouvez construire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1E8B4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Livrable produit</w:t>
            </w:r>
          </w:p>
        </w:tc>
        <w:tc>
          <w:tcPr>
            <w:tcW w:type="dxa" w:w="7087"/>
            <w:shd w:val="clear" w:color="auto" w:fill="1E8B4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3685"/>
            <w:shd w:val="clear" w:color="auto" w:fill="D5F5E3"/>
          </w:tcPr>
          <w:p>
            <w:r>
              <w:rPr>
                <w:b/>
                <w:i w:val="0"/>
                <w:color w:val="1E8B4C"/>
                <w:sz w:val="20"/>
              </w:rPr>
              <w:t>✓  Une base d'emplacements candidats</w:t>
            </w:r>
          </w:p>
        </w:tc>
        <w:tc>
          <w:tcPr>
            <w:tcW w:type="dxa" w:w="7087"/>
            <w:shd w:val="clear" w:color="auto" w:fill="D5F5E3"/>
          </w:tcPr>
          <w:p>
            <w:r>
              <w:rPr>
                <w:b w:val="0"/>
                <w:i w:val="0"/>
                <w:sz w:val="20"/>
              </w:rPr>
              <w:t>Liste géoréférencée de sites avec coordonnées GPS précises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i w:val="0"/>
                <w:color w:val="1E8B4C"/>
                <w:sz w:val="20"/>
              </w:rPr>
              <w:t>✓  Variables de réseau routier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Hiérarchie, centralité, connectivité, distance aux axes majeurs</w:t>
            </w:r>
          </w:p>
        </w:tc>
      </w:tr>
      <w:tr>
        <w:tc>
          <w:tcPr>
            <w:tcW w:type="dxa" w:w="3685"/>
            <w:shd w:val="clear" w:color="auto" w:fill="D5F5E3"/>
          </w:tcPr>
          <w:p>
            <w:r>
              <w:rPr>
                <w:b/>
                <w:i w:val="0"/>
                <w:color w:val="1E8B4C"/>
                <w:sz w:val="20"/>
              </w:rPr>
              <w:t>✓  Variables de densité humaine</w:t>
            </w:r>
          </w:p>
        </w:tc>
        <w:tc>
          <w:tcPr>
            <w:tcW w:type="dxa" w:w="7087"/>
            <w:shd w:val="clear" w:color="auto" w:fill="D5F5E3"/>
          </w:tcPr>
          <w:p>
            <w:r>
              <w:rPr>
                <w:b w:val="0"/>
                <w:i w:val="0"/>
                <w:sz w:val="20"/>
              </w:rPr>
              <w:t>Population dans un rayon de 200m, 500m, 1km autour du panneau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i w:val="0"/>
                <w:color w:val="1E8B4C"/>
                <w:sz w:val="20"/>
              </w:rPr>
              <w:t>✓  Variables de contexte urbain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Densité bâtie, niveau d'urbanisation, compacité du tissu</w:t>
            </w:r>
          </w:p>
        </w:tc>
      </w:tr>
      <w:tr>
        <w:tc>
          <w:tcPr>
            <w:tcW w:type="dxa" w:w="3685"/>
            <w:shd w:val="clear" w:color="auto" w:fill="D5F5E3"/>
          </w:tcPr>
          <w:p>
            <w:r>
              <w:rPr>
                <w:b/>
                <w:i w:val="0"/>
                <w:color w:val="1E8B4C"/>
                <w:sz w:val="20"/>
              </w:rPr>
              <w:t>✓  Variables de proximité et densité de POI</w:t>
            </w:r>
          </w:p>
        </w:tc>
        <w:tc>
          <w:tcPr>
            <w:tcW w:type="dxa" w:w="7087"/>
            <w:shd w:val="clear" w:color="auto" w:fill="D5F5E3"/>
          </w:tcPr>
          <w:p>
            <w:r>
              <w:rPr>
                <w:b w:val="0"/>
                <w:i w:val="0"/>
                <w:sz w:val="20"/>
              </w:rPr>
              <w:t>Nombre de commerces, marchés, arrêts dans un rayon donné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i w:val="0"/>
                <w:color w:val="1E8B4C"/>
                <w:sz w:val="20"/>
              </w:rPr>
              <w:t>✓  Table analytique finale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Dataset complet utilisable directement dans le pipeline ML V2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00"/>
      </w:pPr>
      <w:r>
        <w:rPr>
          <w:color w:val="218DBB"/>
        </w:rPr>
        <w:t>Note sur l'intégration avec le Pipeline Actuel (V1)</w:t>
      </w:r>
    </w:p>
    <w:p>
      <w:pPr>
        <w:spacing w:after="80"/>
      </w:pPr>
      <w:r>
        <w:rPr>
          <w:b w:val="0"/>
          <w:i/>
          <w:color w:val="2C3E50"/>
          <w:sz w:val="21"/>
        </w:rPr>
        <w:t>Le pipeline V1 utilise des données synthétiques générées dans data_generation.py. En V2, les features issues des outils ci-dessus remplaceront ou enrichiront directement les colonnes de billboards_raw.csv. GeoPandas produira la table, feature_engineering.py l'intégrera sans modification structurelle du pipeline.</w:t>
      </w:r>
    </w:p>
    <w:p>
      <w:pPr>
        <w:pStyle w:val="ListBullet"/>
        <w:spacing w:after="60"/>
        <w:ind w:left="283"/>
      </w:pPr>
      <w:r>
        <w:rPr>
          <w:color w:val="218DBB"/>
          <w:sz w:val="20"/>
        </w:rPr>
        <w:t>OSM / Overpass Turbo → traffic_flow_estim, road_type, distance_to_main_road_m</w:t>
      </w:r>
    </w:p>
    <w:p>
      <w:pPr>
        <w:pStyle w:val="ListBullet"/>
        <w:spacing w:after="60"/>
        <w:ind w:left="283"/>
      </w:pPr>
      <w:r>
        <w:rPr>
          <w:color w:val="218DBB"/>
          <w:sz w:val="20"/>
        </w:rPr>
        <w:t>OSMnx / NetworkX → quartier_enc, geo_quadrant, score_accessibilite</w:t>
      </w:r>
    </w:p>
    <w:p>
      <w:pPr>
        <w:pStyle w:val="ListBullet"/>
        <w:spacing w:after="60"/>
        <w:ind w:left="283"/>
      </w:pPr>
      <w:r>
        <w:rPr>
          <w:color w:val="218DBB"/>
          <w:sz w:val="20"/>
        </w:rPr>
        <w:t>WorldPop → pedestrian_density_score (proxy population réel)</w:t>
      </w:r>
    </w:p>
    <w:p>
      <w:pPr>
        <w:pStyle w:val="ListBullet"/>
        <w:spacing w:after="60"/>
        <w:ind w:left="283"/>
      </w:pPr>
      <w:r>
        <w:rPr>
          <w:color w:val="218DBB"/>
          <w:sz w:val="20"/>
        </w:rPr>
        <w:t>GHSL → is_urban_core (nouvelle feature V2), compacite_tissu</w:t>
      </w:r>
    </w:p>
    <w:p>
      <w:pPr>
        <w:pStyle w:val="ListBullet"/>
        <w:spacing w:after="60"/>
        <w:ind w:left="283"/>
      </w:pPr>
      <w:r>
        <w:rPr>
          <w:color w:val="218DBB"/>
          <w:sz w:val="20"/>
        </w:rPr>
        <w:t>GeoPandas → distance_to_beach_km, distance_to_port_km, distance_to_center_km</w:t>
      </w:r>
    </w:p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6"/>
        </w:rPr>
        <w:t>Billboard Geolocation Platform — Outils d'Exploration · V2 Data Roadmap · 2024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