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451F" w14:textId="77777777" w:rsidR="00A45C58" w:rsidRDefault="00DE26E2">
      <w:r>
        <w:t xml:space="preserve">Grading </w:t>
      </w:r>
      <w:proofErr w:type="gramStart"/>
      <w:r>
        <w:t>Rubric :</w:t>
      </w:r>
      <w:proofErr w:type="gramEnd"/>
      <w:r>
        <w:t xml:space="preserve"> Research Assignment 2</w:t>
      </w:r>
    </w:p>
    <w:p w14:paraId="0B10A5D6" w14:textId="203D6B22" w:rsidR="00DE26E2" w:rsidRDefault="00DE26E2" w:rsidP="00DE26E2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Name: </w:t>
      </w:r>
    </w:p>
    <w:p w14:paraId="35F8E909" w14:textId="21A99C55" w:rsidR="00DE26E2" w:rsidRDefault="00DE26E2" w:rsidP="00DE26E2">
      <w:pPr>
        <w:pStyle w:val="NormalWeb"/>
      </w:pPr>
      <w:proofErr w:type="gramStart"/>
      <w:r>
        <w:rPr>
          <w:rFonts w:ascii="CMBX12" w:hAnsi="CMBX12"/>
          <w:sz w:val="28"/>
          <w:szCs w:val="28"/>
        </w:rPr>
        <w:t>1  Introduction</w:t>
      </w:r>
      <w:proofErr w:type="gramEnd"/>
      <w:r>
        <w:rPr>
          <w:rFonts w:ascii="CMBX12" w:hAnsi="CMBX12"/>
          <w:sz w:val="28"/>
          <w:szCs w:val="28"/>
        </w:rPr>
        <w:t xml:space="preserve">     </w:t>
      </w:r>
      <w:r w:rsidR="00FC56F9">
        <w:rPr>
          <w:rFonts w:ascii="CMBX12" w:hAnsi="CMBX12"/>
          <w:sz w:val="28"/>
          <w:szCs w:val="28"/>
        </w:rPr>
        <w:t>10</w:t>
      </w:r>
      <w:r>
        <w:rPr>
          <w:rFonts w:ascii="CMBX12" w:hAnsi="CMBX12"/>
          <w:sz w:val="28"/>
          <w:szCs w:val="28"/>
        </w:rPr>
        <w:t>/ 10</w:t>
      </w:r>
    </w:p>
    <w:p w14:paraId="2910C7ED" w14:textId="77777777" w:rsidR="00DE26E2" w:rsidRDefault="00DE26E2" w:rsidP="00DE26E2">
      <w:pPr>
        <w:pStyle w:val="NormalWeb"/>
      </w:pPr>
      <w:r>
        <w:rPr>
          <w:rFonts w:ascii="CMR12" w:hAnsi="CMR12"/>
        </w:rPr>
        <w:t xml:space="preserve">Each of the below points should be a separate paragraph in your introduction. </w:t>
      </w:r>
    </w:p>
    <w:p w14:paraId="4912AE29" w14:textId="5E87DFFE" w:rsidR="00DE26E2" w:rsidRDefault="00DE26E2" w:rsidP="00DE26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MR12" w:hAnsi="CMR12"/>
        </w:rPr>
      </w:pPr>
      <w:r>
        <w:rPr>
          <w:rFonts w:ascii="CMR12" w:hAnsi="CMR12"/>
        </w:rPr>
        <w:t xml:space="preserve">Define the Proposed Topic.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1</w:t>
      </w:r>
      <w:r>
        <w:rPr>
          <w:rFonts w:ascii="CMR12" w:hAnsi="CMR12"/>
        </w:rPr>
        <w:t xml:space="preserve">/1 </w:t>
      </w:r>
      <w:r>
        <w:rPr>
          <w:rFonts w:ascii="CMR12" w:hAnsi="CMR12"/>
        </w:rPr>
        <w:tab/>
      </w:r>
    </w:p>
    <w:p w14:paraId="79CAA73A" w14:textId="77777777" w:rsidR="00DE26E2" w:rsidRPr="00DE26E2" w:rsidRDefault="00DE26E2" w:rsidP="00DE26E2">
      <w:pPr>
        <w:pStyle w:val="NormalWeb"/>
        <w:spacing w:before="0" w:beforeAutospacing="0" w:after="0" w:afterAutospacing="0"/>
        <w:ind w:left="720"/>
        <w:rPr>
          <w:rFonts w:ascii="CMR12" w:hAnsi="CMR12"/>
        </w:rPr>
      </w:pPr>
    </w:p>
    <w:p w14:paraId="69AD5498" w14:textId="1DA8F2F6" w:rsidR="00DE26E2" w:rsidRDefault="00DE26E2" w:rsidP="00DE26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MR12" w:hAnsi="CMR12"/>
        </w:rPr>
      </w:pPr>
      <w:r>
        <w:rPr>
          <w:rFonts w:ascii="CMR12" w:hAnsi="CMR12"/>
        </w:rPr>
        <w:t xml:space="preserve">State why this topic matters to our understanding of galaxy evolution.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2</w:t>
      </w:r>
      <w:r>
        <w:rPr>
          <w:rFonts w:ascii="CMR12" w:hAnsi="CMR12"/>
        </w:rPr>
        <w:t>/2</w:t>
      </w:r>
    </w:p>
    <w:p w14:paraId="00507F0F" w14:textId="77777777" w:rsidR="00DE26E2" w:rsidRPr="00DE26E2" w:rsidRDefault="00DE26E2" w:rsidP="00DE26E2">
      <w:pPr>
        <w:pStyle w:val="NormalWeb"/>
        <w:spacing w:before="0" w:beforeAutospacing="0" w:after="0" w:afterAutospacing="0"/>
        <w:rPr>
          <w:rFonts w:ascii="CMR12" w:hAnsi="CMR12"/>
        </w:rPr>
      </w:pPr>
    </w:p>
    <w:p w14:paraId="615A818F" w14:textId="757D791E" w:rsidR="00DE26E2" w:rsidRDefault="00DE26E2" w:rsidP="00DE26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MR12" w:hAnsi="CMR12"/>
        </w:rPr>
      </w:pPr>
      <w:r>
        <w:rPr>
          <w:rFonts w:ascii="CMR12" w:hAnsi="CMR12"/>
        </w:rPr>
        <w:t xml:space="preserve">Overview our current understanding of the topic.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2</w:t>
      </w:r>
      <w:r>
        <w:rPr>
          <w:rFonts w:ascii="CMR12" w:hAnsi="CMR12"/>
        </w:rPr>
        <w:t>/2</w:t>
      </w:r>
    </w:p>
    <w:p w14:paraId="13175942" w14:textId="77777777" w:rsidR="00DE26E2" w:rsidRPr="00DE26E2" w:rsidRDefault="00DE26E2" w:rsidP="00DE26E2">
      <w:pPr>
        <w:pStyle w:val="NormalWeb"/>
        <w:spacing w:before="0" w:beforeAutospacing="0" w:after="0" w:afterAutospacing="0"/>
        <w:rPr>
          <w:rFonts w:ascii="CMR12" w:hAnsi="CMR12"/>
        </w:rPr>
      </w:pPr>
    </w:p>
    <w:p w14:paraId="07D249DC" w14:textId="699C651D" w:rsidR="00DE26E2" w:rsidRDefault="00DE26E2" w:rsidP="00DE26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MR12" w:hAnsi="CMR12"/>
        </w:rPr>
      </w:pPr>
      <w:r>
        <w:rPr>
          <w:rFonts w:ascii="CMR12" w:hAnsi="CMR12"/>
        </w:rPr>
        <w:t xml:space="preserve">What are the open questions in the field?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2</w:t>
      </w:r>
      <w:r>
        <w:rPr>
          <w:rFonts w:ascii="CMR12" w:hAnsi="CMR12"/>
        </w:rPr>
        <w:t>/2</w:t>
      </w:r>
    </w:p>
    <w:p w14:paraId="32A83F73" w14:textId="77777777" w:rsidR="00DE26E2" w:rsidRDefault="00DE26E2" w:rsidP="00DE26E2">
      <w:pPr>
        <w:pStyle w:val="NormalWeb"/>
        <w:spacing w:before="0" w:beforeAutospacing="0" w:after="0" w:afterAutospacing="0"/>
        <w:rPr>
          <w:rFonts w:ascii="CMR12" w:hAnsi="CMR12"/>
        </w:rPr>
      </w:pPr>
    </w:p>
    <w:p w14:paraId="29682336" w14:textId="2FDFF50F" w:rsidR="00DE26E2" w:rsidRDefault="00DE26E2" w:rsidP="00DE26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MR12" w:hAnsi="CMR12"/>
        </w:rPr>
      </w:pPr>
      <w:r>
        <w:rPr>
          <w:rFonts w:ascii="CMR12" w:hAnsi="CMR12"/>
        </w:rPr>
        <w:t xml:space="preserve">Cite at least 3 journal papers. Use </w:t>
      </w:r>
      <w:proofErr w:type="spellStart"/>
      <w:r>
        <w:rPr>
          <w:rFonts w:ascii="CMR12" w:hAnsi="CMR12"/>
        </w:rPr>
        <w:t>BibTex</w:t>
      </w:r>
      <w:proofErr w:type="spellEnd"/>
      <w:r>
        <w:rPr>
          <w:rFonts w:ascii="CMR12" w:hAnsi="CMR12"/>
        </w:rPr>
        <w:t xml:space="preserve"> for formatting citations - if you don’t know what this is, come to office hours.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1</w:t>
      </w:r>
      <w:r>
        <w:rPr>
          <w:rFonts w:ascii="CMR12" w:hAnsi="CMR12"/>
        </w:rPr>
        <w:t>/1</w:t>
      </w:r>
    </w:p>
    <w:p w14:paraId="14195DC5" w14:textId="77777777" w:rsidR="00DE26E2" w:rsidRDefault="00DE26E2" w:rsidP="00DE26E2">
      <w:pPr>
        <w:pStyle w:val="NormalWeb"/>
        <w:spacing w:before="0" w:beforeAutospacing="0" w:after="0" w:afterAutospacing="0"/>
        <w:rPr>
          <w:rFonts w:ascii="CMR12" w:hAnsi="CMR12"/>
        </w:rPr>
      </w:pPr>
    </w:p>
    <w:p w14:paraId="1B1BA17E" w14:textId="3DC90D07" w:rsidR="00DE26E2" w:rsidRDefault="00DE26E2" w:rsidP="00DE26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MR12" w:hAnsi="CMR12"/>
        </w:rPr>
      </w:pPr>
      <w:r>
        <w:rPr>
          <w:rFonts w:ascii="CMR12" w:hAnsi="CMR12"/>
        </w:rPr>
        <w:t xml:space="preserve">Include at least one figure from those papers to motivate your work.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2</w:t>
      </w:r>
      <w:r>
        <w:rPr>
          <w:rFonts w:ascii="CMR12" w:hAnsi="CMR12"/>
        </w:rPr>
        <w:t>/2</w:t>
      </w:r>
    </w:p>
    <w:p w14:paraId="793F1D44" w14:textId="77777777" w:rsidR="00DE26E2" w:rsidRDefault="00DE26E2" w:rsidP="00DE26E2">
      <w:pPr>
        <w:pStyle w:val="NormalWeb"/>
        <w:spacing w:before="0" w:beforeAutospacing="0" w:after="0" w:afterAutospacing="0"/>
        <w:rPr>
          <w:rFonts w:ascii="CMR12" w:hAnsi="CMR12"/>
        </w:rPr>
      </w:pPr>
    </w:p>
    <w:p w14:paraId="1B08CB08" w14:textId="638E0B1E" w:rsidR="00DE26E2" w:rsidRDefault="00DE26E2" w:rsidP="00DE26E2">
      <w:pPr>
        <w:pStyle w:val="NormalWeb"/>
      </w:pPr>
      <w:r>
        <w:rPr>
          <w:rFonts w:ascii="CMBX12" w:hAnsi="CMBX12"/>
          <w:sz w:val="28"/>
          <w:szCs w:val="28"/>
        </w:rPr>
        <w:t xml:space="preserve">2.    The Proposal    </w:t>
      </w:r>
      <w:r w:rsidR="00C93723">
        <w:rPr>
          <w:rFonts w:ascii="CMBX12" w:hAnsi="CMBX12"/>
          <w:sz w:val="28"/>
          <w:szCs w:val="28"/>
        </w:rPr>
        <w:t>9</w:t>
      </w:r>
      <w:r>
        <w:rPr>
          <w:rFonts w:ascii="CMBX12" w:hAnsi="CMBX12"/>
          <w:sz w:val="28"/>
          <w:szCs w:val="28"/>
        </w:rPr>
        <w:t xml:space="preserve">/ 10 </w:t>
      </w:r>
    </w:p>
    <w:p w14:paraId="7EA609AC" w14:textId="77777777" w:rsidR="00DE26E2" w:rsidRDefault="00DE26E2" w:rsidP="00DE26E2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You must answer each of the below questions as separate subsections. </w:t>
      </w:r>
    </w:p>
    <w:p w14:paraId="3B61ABFA" w14:textId="02DF1B29" w:rsidR="00DE26E2" w:rsidRDefault="00DE26E2" w:rsidP="00DE26E2">
      <w:pPr>
        <w:pStyle w:val="NormalWeb"/>
      </w:pPr>
      <w:r>
        <w:rPr>
          <w:rFonts w:ascii="CMR12" w:hAnsi="CMR12"/>
        </w:rPr>
        <w:t xml:space="preserve">1. What specific question(s) will you be addressing?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1</w:t>
      </w:r>
      <w:r>
        <w:rPr>
          <w:rFonts w:ascii="CMR12" w:hAnsi="CMR12"/>
        </w:rPr>
        <w:t>/1</w:t>
      </w:r>
    </w:p>
    <w:p w14:paraId="39F90880" w14:textId="7720EA47" w:rsidR="00DE26E2" w:rsidRDefault="00DE26E2" w:rsidP="00DE26E2">
      <w:pPr>
        <w:pStyle w:val="NormalWeb"/>
      </w:pPr>
      <w:r>
        <w:rPr>
          <w:rFonts w:ascii="CMR12" w:hAnsi="CMR12"/>
        </w:rPr>
        <w:t xml:space="preserve">2. How will you approach the problem using the simulation data? Here you should outline the codes you’d need to write. It can be in general terms.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4</w:t>
      </w:r>
      <w:r>
        <w:rPr>
          <w:rFonts w:ascii="CMR12" w:hAnsi="CMR12"/>
        </w:rPr>
        <w:t>/5</w:t>
      </w:r>
    </w:p>
    <w:p w14:paraId="04D714C7" w14:textId="4421A2CD" w:rsidR="00DE26E2" w:rsidRDefault="00DE26E2" w:rsidP="00DE26E2">
      <w:pPr>
        <w:pStyle w:val="NormalWeb"/>
        <w:rPr>
          <w:rFonts w:ascii="CMR12" w:hAnsi="CMR12"/>
        </w:rPr>
      </w:pPr>
      <w:r>
        <w:rPr>
          <w:rFonts w:ascii="CMR12" w:hAnsi="CMR12"/>
        </w:rPr>
        <w:t>3. Include at least one figure that illustrates your methodology.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FC56F9">
        <w:rPr>
          <w:rFonts w:ascii="CMR12" w:hAnsi="CMR12"/>
        </w:rPr>
        <w:t>2</w:t>
      </w:r>
      <w:r>
        <w:rPr>
          <w:rFonts w:ascii="CMR12" w:hAnsi="CMR12"/>
        </w:rPr>
        <w:t>/2</w:t>
      </w:r>
    </w:p>
    <w:p w14:paraId="4D08AF49" w14:textId="596F6113" w:rsidR="00DE26E2" w:rsidRPr="00DE26E2" w:rsidRDefault="00DE26E2" w:rsidP="00DE26E2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4.What is your hypothesis of what you will find? Why do you think this will occur? </w:t>
      </w:r>
      <w:r>
        <w:rPr>
          <w:rFonts w:ascii="CMR12" w:hAnsi="CMR12"/>
        </w:rPr>
        <w:tab/>
      </w:r>
      <w:r w:rsidR="00FC56F9">
        <w:rPr>
          <w:rFonts w:ascii="CMR12" w:hAnsi="CMR12"/>
        </w:rPr>
        <w:t>2</w:t>
      </w:r>
      <w:r>
        <w:rPr>
          <w:rFonts w:ascii="CMR12" w:hAnsi="CMR12"/>
        </w:rPr>
        <w:t>/2</w:t>
      </w:r>
    </w:p>
    <w:p w14:paraId="4082280A" w14:textId="5B4D7722" w:rsidR="00DE26E2" w:rsidRDefault="00DE26E2" w:rsidP="00DE26E2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3.    Misc. (</w:t>
      </w:r>
      <w:r w:rsidR="00C93723">
        <w:rPr>
          <w:rFonts w:ascii="CMBX12" w:hAnsi="CMBX12"/>
          <w:sz w:val="28"/>
          <w:szCs w:val="28"/>
        </w:rPr>
        <w:t>5</w:t>
      </w:r>
      <w:r>
        <w:rPr>
          <w:rFonts w:ascii="CMBX12" w:hAnsi="CMBX12"/>
          <w:sz w:val="28"/>
          <w:szCs w:val="28"/>
        </w:rPr>
        <w:t>/5)</w:t>
      </w:r>
    </w:p>
    <w:p w14:paraId="09D89138" w14:textId="20EBF523" w:rsidR="00DE26E2" w:rsidRPr="00DE26E2" w:rsidRDefault="00DE26E2" w:rsidP="00DE26E2">
      <w:pPr>
        <w:pStyle w:val="NormalWeb"/>
        <w:rPr>
          <w:rFonts w:ascii="CMBX12" w:hAnsi="CMBX12"/>
        </w:rPr>
      </w:pPr>
      <w:r w:rsidRPr="00DE26E2">
        <w:rPr>
          <w:rFonts w:ascii="CMBX12" w:hAnsi="CMBX12"/>
        </w:rPr>
        <w:t>1.  Proper Grammar</w:t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 w:rsidRPr="00DE26E2"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 w:rsidR="00FC56F9">
        <w:rPr>
          <w:rFonts w:ascii="CMBX12" w:hAnsi="CMBX12"/>
        </w:rPr>
        <w:t>1</w:t>
      </w:r>
      <w:r w:rsidRPr="00DE26E2">
        <w:rPr>
          <w:rFonts w:ascii="CMBX12" w:hAnsi="CMBX12"/>
        </w:rPr>
        <w:t>/</w:t>
      </w:r>
      <w:r>
        <w:rPr>
          <w:rFonts w:ascii="CMBX12" w:hAnsi="CMBX12"/>
        </w:rPr>
        <w:t>1</w:t>
      </w:r>
    </w:p>
    <w:p w14:paraId="1E772E07" w14:textId="17281463" w:rsidR="008D183B" w:rsidRDefault="00DE26E2" w:rsidP="00DE26E2">
      <w:pPr>
        <w:pStyle w:val="NormalWeb"/>
        <w:rPr>
          <w:rFonts w:ascii="CMBX12" w:hAnsi="CMBX12"/>
        </w:rPr>
      </w:pPr>
      <w:r w:rsidRPr="00DE26E2">
        <w:rPr>
          <w:rFonts w:ascii="CMBX12" w:hAnsi="CMBX12"/>
        </w:rPr>
        <w:t>2. Included a bibliography</w:t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 w:rsidR="008D183B">
        <w:rPr>
          <w:rFonts w:ascii="CMBX12" w:hAnsi="CMBX12"/>
        </w:rPr>
        <w:softHyphen/>
      </w:r>
      <w:r w:rsidR="008D183B">
        <w:rPr>
          <w:rFonts w:ascii="CMBX12" w:hAnsi="CMBX12"/>
        </w:rPr>
        <w:softHyphen/>
      </w:r>
      <w:r w:rsidR="008D183B">
        <w:rPr>
          <w:rFonts w:ascii="CMBX12" w:hAnsi="CMBX12"/>
        </w:rPr>
        <w:softHyphen/>
      </w:r>
      <w:r w:rsidR="008D183B">
        <w:rPr>
          <w:rFonts w:ascii="CMBX12" w:hAnsi="CMBX12"/>
        </w:rPr>
        <w:softHyphen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 w:rsidR="00FC56F9">
        <w:rPr>
          <w:rFonts w:ascii="CMBX12" w:hAnsi="CMBX12"/>
        </w:rPr>
        <w:t>1</w:t>
      </w:r>
      <w:r>
        <w:rPr>
          <w:rFonts w:ascii="CMBX12" w:hAnsi="CMBX12"/>
        </w:rPr>
        <w:t>/1</w:t>
      </w:r>
    </w:p>
    <w:p w14:paraId="01863897" w14:textId="77A2D72E" w:rsidR="00DE26E2" w:rsidRPr="00DE26E2" w:rsidRDefault="00DE26E2" w:rsidP="00DE26E2">
      <w:pPr>
        <w:pStyle w:val="NormalWeb"/>
        <w:rPr>
          <w:rFonts w:ascii="CMBX12" w:hAnsi="CMBX12"/>
        </w:rPr>
      </w:pPr>
      <w:r w:rsidRPr="00DE26E2">
        <w:rPr>
          <w:rFonts w:ascii="CMBX12" w:hAnsi="CMBX12"/>
        </w:rPr>
        <w:t>3. In Latex</w:t>
      </w:r>
      <w:r>
        <w:rPr>
          <w:rFonts w:ascii="CMBX12" w:hAnsi="CMBX12"/>
        </w:rPr>
        <w:t xml:space="preserve"> and </w:t>
      </w:r>
      <w:proofErr w:type="spellStart"/>
      <w:r>
        <w:rPr>
          <w:rFonts w:ascii="CMBX12" w:hAnsi="CMBX12"/>
        </w:rPr>
        <w:t>ApJ</w:t>
      </w:r>
      <w:proofErr w:type="spellEnd"/>
      <w:r w:rsidR="00F24203">
        <w:rPr>
          <w:rFonts w:ascii="CMBX12" w:hAnsi="CMBX12"/>
        </w:rPr>
        <w:t>/MNRAS</w:t>
      </w:r>
      <w:r>
        <w:rPr>
          <w:rFonts w:ascii="CMBX12" w:hAnsi="CMBX12"/>
        </w:rPr>
        <w:t xml:space="preserve"> formatting</w:t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 w:rsidR="00FC56F9">
        <w:rPr>
          <w:rFonts w:ascii="CMBX12" w:hAnsi="CMBX12"/>
        </w:rPr>
        <w:t>2</w:t>
      </w:r>
      <w:r>
        <w:rPr>
          <w:rFonts w:ascii="CMBX12" w:hAnsi="CMBX12"/>
        </w:rPr>
        <w:t>/2</w:t>
      </w:r>
    </w:p>
    <w:p w14:paraId="635604FA" w14:textId="3D25E8E9" w:rsidR="00DE26E2" w:rsidRPr="00DE26E2" w:rsidRDefault="00DE26E2" w:rsidP="00DE26E2">
      <w:pPr>
        <w:pStyle w:val="NormalWeb"/>
        <w:rPr>
          <w:rFonts w:ascii="CMBX12" w:hAnsi="CMBX12"/>
        </w:rPr>
      </w:pPr>
      <w:r w:rsidRPr="00DE26E2">
        <w:rPr>
          <w:rFonts w:ascii="CMBX12" w:hAnsi="CMBX12"/>
        </w:rPr>
        <w:t xml:space="preserve">4. On Time/On </w:t>
      </w:r>
      <w:proofErr w:type="spellStart"/>
      <w:r w:rsidRPr="00DE26E2">
        <w:rPr>
          <w:rFonts w:ascii="CMBX12" w:hAnsi="CMBX12"/>
        </w:rPr>
        <w:t>Github</w:t>
      </w:r>
      <w:proofErr w:type="spellEnd"/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>
        <w:rPr>
          <w:rFonts w:ascii="CMBX12" w:hAnsi="CMBX12"/>
        </w:rPr>
        <w:tab/>
      </w:r>
      <w:r w:rsidR="00FC56F9">
        <w:rPr>
          <w:rFonts w:ascii="CMBX12" w:hAnsi="CMBX12"/>
        </w:rPr>
        <w:t>1</w:t>
      </w:r>
      <w:r>
        <w:rPr>
          <w:rFonts w:ascii="CMBX12" w:hAnsi="CMBX12"/>
        </w:rPr>
        <w:t>/1</w:t>
      </w:r>
    </w:p>
    <w:p w14:paraId="119FC793" w14:textId="43974975" w:rsidR="00DE26E2" w:rsidRPr="00DE26E2" w:rsidRDefault="00DE26E2" w:rsidP="00DE26E2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TOTAL </w:t>
      </w:r>
      <w:r>
        <w:rPr>
          <w:rFonts w:ascii="CMR12" w:hAnsi="CMR12"/>
        </w:rPr>
        <w:tab/>
        <w:t xml:space="preserve"> </w:t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>
        <w:rPr>
          <w:rFonts w:ascii="CMR12" w:hAnsi="CMR12"/>
        </w:rPr>
        <w:tab/>
      </w:r>
      <w:r w:rsidR="00C93723">
        <w:rPr>
          <w:rFonts w:ascii="CMR12" w:hAnsi="CMR12"/>
        </w:rPr>
        <w:t>24</w:t>
      </w:r>
      <w:r>
        <w:rPr>
          <w:rFonts w:ascii="CMR12" w:hAnsi="CMR12"/>
        </w:rPr>
        <w:t>/25</w:t>
      </w:r>
    </w:p>
    <w:p w14:paraId="2933DD13" w14:textId="6F8D7E07" w:rsidR="00FC56F9" w:rsidRDefault="00FC56F9">
      <w:r>
        <w:t xml:space="preserve">NOTES: </w:t>
      </w:r>
    </w:p>
    <w:p w14:paraId="12328642" w14:textId="7855160A" w:rsidR="00FC56F9" w:rsidRDefault="00FC56F9">
      <w:r>
        <w:t>PROPOSAL:</w:t>
      </w:r>
    </w:p>
    <w:p w14:paraId="06F9FF04" w14:textId="462120E0" w:rsidR="00FC56F9" w:rsidRDefault="00FC56F9" w:rsidP="00FC56F9">
      <w:pPr>
        <w:pStyle w:val="ListParagraph"/>
        <w:numPr>
          <w:ilvl w:val="0"/>
          <w:numId w:val="2"/>
        </w:numPr>
      </w:pPr>
      <w:r>
        <w:t>The methods could use some more details</w:t>
      </w:r>
      <w:proofErr w:type="gramStart"/>
      <w:r>
        <w:t>. :</w:t>
      </w:r>
      <w:proofErr w:type="gramEnd"/>
    </w:p>
    <w:p w14:paraId="4208FF14" w14:textId="6C82622C" w:rsidR="00FC56F9" w:rsidRDefault="00FC56F9" w:rsidP="00FC56F9">
      <w:pPr>
        <w:pStyle w:val="ListParagraph"/>
        <w:numPr>
          <w:ilvl w:val="1"/>
          <w:numId w:val="2"/>
        </w:numPr>
      </w:pPr>
      <w:r>
        <w:lastRenderedPageBreak/>
        <w:t>What snapshot of the simulation are you going to use and why?</w:t>
      </w:r>
    </w:p>
    <w:p w14:paraId="69A9AD91" w14:textId="09AD1977" w:rsidR="00FC56F9" w:rsidRDefault="00FC56F9" w:rsidP="00FC56F9">
      <w:pPr>
        <w:pStyle w:val="ListParagraph"/>
        <w:numPr>
          <w:ilvl w:val="1"/>
          <w:numId w:val="2"/>
        </w:numPr>
      </w:pPr>
      <w:r>
        <w:t>How will you combine the data from M31 and the MW together?</w:t>
      </w:r>
    </w:p>
    <w:p w14:paraId="08909D25" w14:textId="7AC4A8EE" w:rsidR="00FC56F9" w:rsidRDefault="00FC56F9" w:rsidP="00FC56F9">
      <w:pPr>
        <w:pStyle w:val="ListParagraph"/>
        <w:numPr>
          <w:ilvl w:val="1"/>
          <w:numId w:val="2"/>
        </w:numPr>
      </w:pPr>
      <w:r>
        <w:t xml:space="preserve">You are going to be explicitly assuming a M/L ratio of 1 to turn density profile into light profiles? </w:t>
      </w:r>
    </w:p>
    <w:p w14:paraId="2143984C" w14:textId="461660D8" w:rsidR="00FC56F9" w:rsidRDefault="00FC56F9" w:rsidP="00FC56F9">
      <w:pPr>
        <w:pStyle w:val="ListParagraph"/>
        <w:numPr>
          <w:ilvl w:val="1"/>
          <w:numId w:val="2"/>
        </w:numPr>
      </w:pPr>
      <w:r>
        <w:t xml:space="preserve">I’m not sure what you mean by </w:t>
      </w:r>
      <w:r w:rsidR="00C93723">
        <w:t xml:space="preserve">searching for </w:t>
      </w:r>
      <w:r>
        <w:t xml:space="preserve">“new bulge and disk stars” – do you mean that you will combine all the bulge and disk particles together (not assuming that one is bulge or disk </w:t>
      </w:r>
      <w:proofErr w:type="spellStart"/>
      <w:r>
        <w:t>apriori</w:t>
      </w:r>
      <w:proofErr w:type="spellEnd"/>
      <w:r>
        <w:t xml:space="preserve">) and then use two </w:t>
      </w:r>
      <w:proofErr w:type="spellStart"/>
      <w:r>
        <w:t>sersic</w:t>
      </w:r>
      <w:proofErr w:type="spellEnd"/>
      <w:r>
        <w:t xml:space="preserve"> profiles to split out a “bulge” and “disk” component? That sounds reasonable to me.  </w:t>
      </w:r>
      <w:r w:rsidR="00C93723">
        <w:t xml:space="preserve"> If you mean to split out the bulge and disk based on their kinematics (a rotating component vs a dispersion </w:t>
      </w:r>
      <w:proofErr w:type="gramStart"/>
      <w:r w:rsidR="00C93723">
        <w:t>component )</w:t>
      </w:r>
      <w:proofErr w:type="gramEnd"/>
      <w:r w:rsidR="00C93723">
        <w:t xml:space="preserve"> that is also doable, but might be trickier – need more details for how you will do this. </w:t>
      </w:r>
    </w:p>
    <w:p w14:paraId="2242C734" w14:textId="77777777" w:rsidR="00FC56F9" w:rsidRDefault="00FC56F9" w:rsidP="00FC56F9">
      <w:pPr>
        <w:pStyle w:val="ListParagraph"/>
        <w:ind w:left="1080"/>
      </w:pPr>
    </w:p>
    <w:p w14:paraId="05797F1C" w14:textId="592CAF02" w:rsidR="00FC56F9" w:rsidRDefault="00FC56F9" w:rsidP="00FC56F9">
      <w:pPr>
        <w:pStyle w:val="ListParagraph"/>
        <w:numPr>
          <w:ilvl w:val="0"/>
          <w:numId w:val="2"/>
        </w:numPr>
      </w:pPr>
      <w:r>
        <w:t xml:space="preserve">You might want to follow an approach like in Lab 7 where we rotated the galaxy so that its angular momentum vector was aligned with the z axis.  This will enable you to make velocity maps or phase diagrams of the merger remnant that can help you pull out a rotation signal.  </w:t>
      </w:r>
    </w:p>
    <w:p w14:paraId="4D925043" w14:textId="62060739" w:rsidR="00FC56F9" w:rsidRDefault="00FC56F9" w:rsidP="00FC56F9">
      <w:pPr>
        <w:pStyle w:val="ListParagraph"/>
        <w:numPr>
          <w:ilvl w:val="0"/>
          <w:numId w:val="2"/>
        </w:numPr>
      </w:pPr>
      <w:r>
        <w:t xml:space="preserve"> Note that doing the </w:t>
      </w:r>
      <w:proofErr w:type="spellStart"/>
      <w:r>
        <w:t>sersic</w:t>
      </w:r>
      <w:proofErr w:type="spellEnd"/>
      <w:r>
        <w:t xml:space="preserve"> decomposition is sufficient for the report and you do not need to also do the kinematic profile. </w:t>
      </w:r>
    </w:p>
    <w:p w14:paraId="45239750" w14:textId="2A7E9180" w:rsidR="00FC56F9" w:rsidRDefault="00FC56F9" w:rsidP="00FC56F9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sersic</w:t>
      </w:r>
      <w:proofErr w:type="spellEnd"/>
      <w:r>
        <w:t xml:space="preserve"> profile fitting, note that you should compute the light profile using spherical shells – in the relevant lab we computed the density profile using the mass enclosed within a spherical volume. Instead compute the density profile using the mass enclosed within a shell of thickness </w:t>
      </w:r>
      <w:proofErr w:type="spellStart"/>
      <w:proofErr w:type="gramStart"/>
      <w:r>
        <w:t>deltaR</w:t>
      </w:r>
      <w:proofErr w:type="spellEnd"/>
      <w:r>
        <w:t xml:space="preserve"> .</w:t>
      </w:r>
      <w:proofErr w:type="gramEnd"/>
      <w:r>
        <w:t xml:space="preserve">  </w:t>
      </w:r>
    </w:p>
    <w:p w14:paraId="009860FC" w14:textId="1BE2CF2A" w:rsidR="00C90260" w:rsidRDefault="00C90260" w:rsidP="00FC56F9">
      <w:pPr>
        <w:pStyle w:val="ListParagraph"/>
        <w:numPr>
          <w:ilvl w:val="0"/>
          <w:numId w:val="2"/>
        </w:numPr>
      </w:pPr>
      <w:r>
        <w:t xml:space="preserve">Note that your </w:t>
      </w:r>
      <w:proofErr w:type="spellStart"/>
      <w:r>
        <w:t>github</w:t>
      </w:r>
      <w:proofErr w:type="spellEnd"/>
      <w:r>
        <w:t xml:space="preserve"> Repo is hard to read – try to organize it a bit better to make it clearer where your final products you want evaluated are located.  </w:t>
      </w:r>
    </w:p>
    <w:p w14:paraId="46705024" w14:textId="77777777" w:rsidR="00FC56F9" w:rsidRDefault="00FC56F9"/>
    <w:p w14:paraId="218CFAC6" w14:textId="45B4DC32" w:rsidR="00DE26E2" w:rsidRDefault="00680DF0">
      <w:r>
        <w:t xml:space="preserve"> </w:t>
      </w:r>
    </w:p>
    <w:sectPr w:rsidR="00DE26E2" w:rsidSect="008D1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003"/>
    <w:multiLevelType w:val="hybridMultilevel"/>
    <w:tmpl w:val="6A42D5DC"/>
    <w:lvl w:ilvl="0" w:tplc="635C1F2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C736A"/>
    <w:multiLevelType w:val="multilevel"/>
    <w:tmpl w:val="1A36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23530">
    <w:abstractNumId w:val="1"/>
  </w:num>
  <w:num w:numId="2" w16cid:durableId="1353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E2"/>
    <w:rsid w:val="003D7DF8"/>
    <w:rsid w:val="00680DF0"/>
    <w:rsid w:val="008D183B"/>
    <w:rsid w:val="00A45C58"/>
    <w:rsid w:val="00C90260"/>
    <w:rsid w:val="00C93723"/>
    <w:rsid w:val="00DE26E2"/>
    <w:rsid w:val="00F24203"/>
    <w:rsid w:val="00F96639"/>
    <w:rsid w:val="00F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849AB"/>
  <w15:chartTrackingRefBased/>
  <w15:docId w15:val="{520ED6AA-7DDB-A549-A93C-02ED7097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Besla, Gurtina - (gbesla)</cp:lastModifiedBy>
  <cp:revision>7</cp:revision>
  <cp:lastPrinted>2023-03-14T19:51:00Z</cp:lastPrinted>
  <dcterms:created xsi:type="dcterms:W3CDTF">2020-03-26T20:31:00Z</dcterms:created>
  <dcterms:modified xsi:type="dcterms:W3CDTF">2023-03-21T03:42:00Z</dcterms:modified>
</cp:coreProperties>
</file>