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8"/>
        <w:jc w:val="center"/>
      </w:pPr>
      <w:r>
        <w:rPr>
          <w:rFonts w:ascii="Times New Roman" w:cs="Times New Roman" w:eastAsia="Times New Roman" w:hAnsi="Times New Roman"/>
          <w:b/>
          <w:bCs/>
          <w:sz w:val="32"/>
          <w:szCs w:val="32"/>
        </w:rPr>
        <w:t xml:space="preserve">Estructura del dataset y diccionario de datos</w:t>
      </w:r>
    </w:p>
    <w:p>
      <w:pPr>
        <w:spacing w:after="60" w:before="0" w:line="288"/>
        <w:jc w:val="center"/>
      </w:pPr>
      <w:r>
        <w:rPr>
          <w:rFonts w:ascii="Times New Roman" w:cs="Times New Roman" w:eastAsia="Times New Roman" w:hAnsi="Times New Roman"/>
          <w:i/>
          <w:iCs/>
          <w:sz w:val="24"/>
          <w:szCs w:val="24"/>
        </w:rPr>
        <w:t xml:space="preserve">Objetivo específico 1 · insumo para los resultados del O1</w:t>
      </w:r>
    </w:p>
    <w:p>
      <w:pPr>
        <w:spacing w:after="0" w:before="0" w:line="288"/>
        <w:jc w:val="center"/>
      </w:pPr>
      <w:r>
        <w:rPr>
          <w:rFonts w:ascii="Times New Roman" w:cs="Times New Roman" w:eastAsia="Times New Roman" w:hAnsi="Times New Roman"/>
          <w:sz w:val="22"/>
          <w:szCs w:val="22"/>
        </w:rPr>
        <w:t xml:space="preserve">Carlos Campo y Aldair Cétares · Tutor: Dr. Antonio José Bravo Valero</w:t>
      </w:r>
    </w:p>
    <w:p>
      <w:pPr>
        <w:spacing w:after="60" w:before="0" w:line="288"/>
        <w:jc w:val="center"/>
      </w:pPr>
      <w:r>
        <w:rPr>
          <w:rFonts w:ascii="Times New Roman" w:cs="Times New Roman" w:eastAsia="Times New Roman" w:hAnsi="Times New Roman"/>
          <w:sz w:val="22"/>
          <w:szCs w:val="22"/>
        </w:rPr>
        <w:t xml:space="preserve">Maestría en Ciencia de Datos, Universidad Simón Bolívar</w:t>
      </w:r>
    </w:p>
    <w:p>
      <w:pPr>
        <w:pBdr>
          <w:bottom w:val="single" w:color="808080" w:sz="6" w:space="8"/>
        </w:pBdr>
        <w:spacing w:after="240" w:before="0" w:line="288"/>
        <w:jc w:val="center"/>
      </w:pPr>
      <w:r>
        <w:rPr>
          <w:rFonts w:ascii="Times New Roman" w:cs="Times New Roman" w:eastAsia="Times New Roman" w:hAnsi="Times New Roman"/>
          <w:color w:val="595959"/>
          <w:sz w:val="20"/>
          <w:szCs w:val="20"/>
        </w:rPr>
        <w:t xml:space="preserve">Versión del 29 de octubre de 2026 · documento completo (secciones 1 a 3)</w:t>
      </w:r>
    </w:p>
    <w:p>
      <w:pPr>
        <w:spacing w:after="120" w:before="0" w:line="288"/>
        <w:jc w:val="left"/>
      </w:pPr>
      <w:r>
        <w:rPr>
          <w:rFonts w:ascii="Times New Roman" w:cs="Times New Roman" w:eastAsia="Times New Roman" w:hAnsi="Times New Roman"/>
          <w:sz w:val="24"/>
          <w:szCs w:val="24"/>
        </w:rPr>
        <w:t xml:space="preserve">Este documento define el conjunto de datos sintéticos que produce el generador del Objetivo 1: qué representa cada registro, qué campos lleva y con qué indicador del sistema de variables se amarra cada campo (anteproyecto, §8.5). Tiene tres secciones: la unidad de análisis, los campos y su amarre con los indicadores. Las reglas están también en el repositorio, como código (src/generador/registro.py) con sus pruebas (tests/test_registro.py, tests/test_campos.py y tests/test_indicadores.py); los campos y los indicadores, en las hojas «Diccionario» e «Indicadores» del Excel de parámetros, y los supuestos nuevos, en su hoja «Supuestos» (S27 y S28).</w:t>
      </w:r>
    </w:p>
    <w:p>
      <w:pPr>
        <w:keepNext/>
        <w:spacing w:after="60" w:before="0" w:line="288"/>
        <w:jc w:val="left"/>
      </w:pPr>
      <w:r>
        <w:rPr>
          <w:rFonts w:ascii="Times New Roman" w:cs="Times New Roman" w:eastAsia="Times New Roman" w:hAnsi="Times New Roman"/>
          <w:b/>
          <w:bCs/>
          <w:sz w:val="24"/>
          <w:szCs w:val="24"/>
        </w:rPr>
        <w:t xml:space="preserve">Lo que queda decidido:</w:t>
      </w:r>
    </w:p>
    <w:p>
      <w:pPr>
        <w:pStyle w:val="ListParagraph"/>
        <w:numPr>
          <w:ilvl w:val="0"/>
          <w:numId w:val="2"/>
        </w:numPr>
        <w:spacing w:after="80" w:line="288"/>
      </w:pPr>
      <w:r>
        <w:rPr>
          <w:rFonts w:ascii="Times New Roman" w:cs="Times New Roman" w:eastAsia="Times New Roman" w:hAnsi="Times New Roman"/>
          <w:sz w:val="24"/>
          <w:szCs w:val="24"/>
        </w:rPr>
        <w:t xml:space="preserve">Un registro es una ejecución de un ensayo sobre una muestra: un método del catálogo, aplicado a una muestra, en un equipo y por un analista.</w:t>
      </w:r>
    </w:p>
    <w:p>
      <w:pPr>
        <w:pStyle w:val="ListParagraph"/>
        <w:numPr>
          <w:ilvl w:val="0"/>
          <w:numId w:val="2"/>
        </w:numPr>
        <w:spacing w:after="80" w:line="288"/>
      </w:pPr>
      <w:r>
        <w:rPr>
          <w:rFonts w:ascii="Times New Roman" w:cs="Times New Roman" w:eastAsia="Times New Roman" w:hAnsi="Times New Roman"/>
          <w:sz w:val="24"/>
          <w:szCs w:val="24"/>
        </w:rPr>
        <w:t xml:space="preserve">Cada ensayo pedido genera un registro. Un reanálisis por resultado fuera de especificación, o la repetición de un ensayo que una falla del equipo interrumpió, genera otro, enlazado al anterior.</w:t>
      </w:r>
    </w:p>
    <w:p>
      <w:pPr>
        <w:pStyle w:val="ListParagraph"/>
        <w:numPr>
          <w:ilvl w:val="0"/>
          <w:numId w:val="2"/>
        </w:numPr>
        <w:spacing w:after="80" w:line="288"/>
      </w:pPr>
      <w:r>
        <w:rPr>
          <w:rFonts w:ascii="Times New Roman" w:cs="Times New Roman" w:eastAsia="Times New Roman" w:hAnsi="Times New Roman"/>
          <w:sz w:val="24"/>
          <w:szCs w:val="24"/>
        </w:rPr>
        <w:t xml:space="preserve">Las tareas del ensayo no son registros, sino partes de su duración. La preparación y la idoneidad del sistema, que pueden servir a varios ensayos, se cargan al ensayo que las necesitó.</w:t>
      </w:r>
    </w:p>
    <w:p>
      <w:pPr>
        <w:pStyle w:val="ListParagraph"/>
        <w:numPr>
          <w:ilvl w:val="0"/>
          <w:numId w:val="2"/>
        </w:numPr>
        <w:spacing w:after="80" w:line="288"/>
      </w:pPr>
      <w:r>
        <w:rPr>
          <w:rFonts w:ascii="Times New Roman" w:cs="Times New Roman" w:eastAsia="Times New Roman" w:hAnsi="Times New Roman"/>
          <w:sz w:val="24"/>
          <w:szCs w:val="24"/>
        </w:rPr>
        <w:t xml:space="preserve">La duración que predice el O2 es el tiempo de ejecución, sin esperas; la espera y el tiempo en el sistema se guardan aparte, para el O3.</w:t>
      </w:r>
    </w:p>
    <w:p>
      <w:pPr>
        <w:pStyle w:val="ListParagraph"/>
        <w:numPr>
          <w:ilvl w:val="0"/>
          <w:numId w:val="2"/>
        </w:numPr>
        <w:spacing w:after="80" w:line="288"/>
      </w:pPr>
      <w:r>
        <w:rPr>
          <w:rFonts w:ascii="Times New Roman" w:cs="Times New Roman" w:eastAsia="Times New Roman" w:hAnsi="Times New Roman"/>
          <w:sz w:val="24"/>
          <w:szCs w:val="24"/>
        </w:rPr>
        <w:t xml:space="preserve">Los ensayos de una muestra no tienen orden entre sí y pueden ir en paralelo.</w:t>
      </w:r>
    </w:p>
    <w:p>
      <w:pPr>
        <w:pStyle w:val="ListParagraph"/>
        <w:numPr>
          <w:ilvl w:val="0"/>
          <w:numId w:val="2"/>
        </w:numPr>
        <w:spacing w:after="80" w:line="288"/>
      </w:pPr>
      <w:r>
        <w:rPr>
          <w:rFonts w:ascii="Times New Roman" w:cs="Times New Roman" w:eastAsia="Times New Roman" w:hAnsi="Times New Roman"/>
          <w:sz w:val="24"/>
          <w:szCs w:val="24"/>
        </w:rPr>
        <w:t xml:space="preserve">Un año simulado del escenario base da unos 15 600 registros.</w:t>
      </w:r>
    </w:p>
    <w:p>
      <w:pPr>
        <w:pStyle w:val="ListParagraph"/>
        <w:numPr>
          <w:ilvl w:val="0"/>
          <w:numId w:val="2"/>
        </w:numPr>
        <w:spacing w:after="80" w:line="288"/>
      </w:pPr>
      <w:r>
        <w:rPr>
          <w:rFonts w:ascii="Times New Roman" w:cs="Times New Roman" w:eastAsia="Times New Roman" w:hAnsi="Times New Roman"/>
          <w:sz w:val="24"/>
          <w:szCs w:val="24"/>
        </w:rPr>
        <w:t xml:space="preserve">El registro tiene 51 campos en 10 bloques; cada campo dice su tipo, unidad, valores, cuándo se conoce y su papel en el O2.</w:t>
      </w:r>
    </w:p>
    <w:p>
      <w:pPr>
        <w:pStyle w:val="ListParagraph"/>
        <w:numPr>
          <w:ilvl w:val="0"/>
          <w:numId w:val="2"/>
        </w:numPr>
        <w:spacing w:after="80" w:line="288"/>
      </w:pPr>
      <w:r>
        <w:rPr>
          <w:rFonts w:ascii="Times New Roman" w:cs="Times New Roman" w:eastAsia="Times New Roman" w:hAnsi="Times New Roman"/>
          <w:sz w:val="24"/>
          <w:szCs w:val="24"/>
        </w:rPr>
        <w:t xml:space="preserve">La duración simulada sigue el flujo de tareas de Costigliola et al. (2017), con la idoneidad del sistema en paralelo con la preparación del análisis; los tiempos de tres puntos son la misma suma con el mínimo, la moda y el máximo de cada tarea.</w:t>
      </w:r>
    </w:p>
    <w:p>
      <w:pPr>
        <w:pStyle w:val="ListParagraph"/>
        <w:numPr>
          <w:ilvl w:val="0"/>
          <w:numId w:val="2"/>
        </w:numPr>
        <w:spacing w:after="80" w:line="288"/>
      </w:pPr>
      <w:r>
        <w:rPr>
          <w:rFonts w:ascii="Times New Roman" w:cs="Times New Roman" w:eastAsia="Times New Roman" w:hAnsi="Times New Roman"/>
          <w:sz w:val="24"/>
          <w:szCs w:val="24"/>
        </w:rPr>
        <w:t xml:space="preserve">El O2 solo usa como predictores los campos que se conocen al asignar el ensayo; las partes de la duración, los tiempos de la corrida y las banderas de reanálisis y falla quedan para el O3 y la validación.</w:t>
      </w:r>
    </w:p>
    <w:p>
      <w:pPr>
        <w:pStyle w:val="ListParagraph"/>
        <w:numPr>
          <w:ilvl w:val="0"/>
          <w:numId w:val="2"/>
        </w:numPr>
        <w:spacing w:after="80" w:line="288"/>
      </w:pPr>
      <w:r>
        <w:rPr>
          <w:rFonts w:ascii="Times New Roman" w:cs="Times New Roman" w:eastAsia="Times New Roman" w:hAnsi="Times New Roman"/>
          <w:sz w:val="24"/>
          <w:szCs w:val="24"/>
        </w:rPr>
        <w:t xml:space="preserve">Hay una bandera por cada perturbación del alcance II, y las combinaciones analista–equipo se guardan dos veces: las factibles según las matrices y las libres cuando llega el registro.</w:t>
      </w:r>
    </w:p>
    <w:p>
      <w:pPr>
        <w:pStyle w:val="ListParagraph"/>
        <w:numPr>
          <w:ilvl w:val="0"/>
          <w:numId w:val="2"/>
        </w:numPr>
        <w:spacing w:after="80" w:line="288"/>
      </w:pPr>
      <w:r>
        <w:rPr>
          <w:rFonts w:ascii="Times New Roman" w:cs="Times New Roman" w:eastAsia="Times New Roman" w:hAnsi="Times New Roman"/>
          <w:sz w:val="24"/>
          <w:szCs w:val="24"/>
        </w:rPr>
        <w:t xml:space="preserve">Cada campo alimenta al menos uno de los 22 indicadores del sistema de variables, y cada indicador dice con qué campos se calcula y contra qué se compara.</w:t>
      </w:r>
    </w:p>
    <w:p>
      <w:pPr>
        <w:pStyle w:val="ListParagraph"/>
        <w:numPr>
          <w:ilvl w:val="0"/>
          <w:numId w:val="2"/>
        </w:numPr>
        <w:spacing w:after="80" w:line="288"/>
      </w:pPr>
      <w:r>
        <w:rPr>
          <w:rFonts w:ascii="Times New Roman" w:cs="Times New Roman" w:eastAsia="Times New Roman" w:hAnsi="Times New Roman"/>
          <w:sz w:val="24"/>
          <w:szCs w:val="24"/>
        </w:rPr>
        <w:t xml:space="preserve">Los indicadores de los equipos necesitan una tabla aparte con las ventanas y las fallas de cada unidad, que el generador debe guardar en cada corrida.</w:t>
      </w:r>
    </w:p>
    <w:p>
      <w:pPr>
        <w:pStyle w:val="Heading1"/>
        <w:keepNext/>
      </w:pPr>
      <w:r>
        <w:rPr>
          <w:rFonts w:ascii="Times New Roman" w:cs="Times New Roman" w:eastAsia="Times New Roman" w:hAnsi="Times New Roman"/>
          <w:b/>
          <w:bCs/>
          <w:sz w:val="26"/>
          <w:szCs w:val="26"/>
        </w:rPr>
        <w:t xml:space="preserve">1. Unidad de análisis: un ensayo sobre una muestra</w:t>
      </w:r>
    </w:p>
    <w:p>
      <w:pPr>
        <w:pStyle w:val="Heading2"/>
        <w:keepNext/>
      </w:pPr>
      <w:r>
        <w:rPr>
          <w:rFonts w:ascii="Times New Roman" w:cs="Times New Roman" w:eastAsia="Times New Roman" w:hAnsi="Times New Roman"/>
          <w:b/>
          <w:bCs/>
          <w:sz w:val="24"/>
          <w:szCs w:val="24"/>
        </w:rPr>
        <w:t xml:space="preserve">1.1 Qué es un registro</w:t>
      </w:r>
    </w:p>
    <w:p>
      <w:pPr>
        <w:spacing w:after="120" w:before="0" w:line="288"/>
        <w:jc w:val="left"/>
      </w:pPr>
      <w:r>
        <w:rPr>
          <w:rFonts w:ascii="Times New Roman" w:cs="Times New Roman" w:eastAsia="Times New Roman" w:hAnsi="Times New Roman"/>
          <w:sz w:val="24"/>
          <w:szCs w:val="24"/>
        </w:rPr>
        <w:t xml:space="preserve">El anteproyecto fija la unidad de análisis en la actividad analítica individual (un ensayo específico sobre una muestra específica), caracterizada por su método, complejidad, equipo requerido, calificación exigida al analista y plazo (§1.4), y pide que cada registro del conjunto represente un ensayo sobre una muestra (§8.4). Es también la unidad de las fuentes con que se calibra el laboratorio. En el sistema de gestión del laboratorio que usan Costigliola et al. (2017, p. 9016), cada entrada de la tabla de llegadas es una pareja análisis/muestra, y su modelo de simulación la trata como una sola entidad que se procesa en un solo equipo (p. 9017, supuesto 1). Martins et al. (2023, pp. 182–183) asignan cada operación (ensayo) de cada trabajo (muestra) a un instrumento y a un analista, que hace todas las tareas de esa operación, y Coito et al. (2021, p. 72) organizan cada trabajo (ensayo) en seis tareas.</w:t>
      </w:r>
    </w:p>
    <w:p>
      <w:pPr>
        <w:spacing w:after="120" w:before="0" w:line="288"/>
        <w:jc w:val="left"/>
      </w:pPr>
      <w:r>
        <w:rPr>
          <w:rFonts w:ascii="Times New Roman" w:cs="Times New Roman" w:eastAsia="Times New Roman" w:hAnsi="Times New Roman"/>
          <w:sz w:val="24"/>
          <w:szCs w:val="24"/>
        </w:rPr>
        <w:t xml:space="preserve">En este conjunto, un registro es una ejecución de un ensayo sobre una muestra: un método del catálogo aplicado a una muestra, en un equipo y por un analista, dentro de una corrida del generador, que es un escenario de carga con una semilla. La muestra suele ser un conjunto de viales tomados a la vez, que permite varios ensayos (Martins et al., 2023, p. 178); pide de uno a tres, siempre de métodos distintos (supuesto S18). Sus atributos (tipo, llegada, plazo y urgencia) se repiten en cada uno de sus registros, para que cada fila pueda usarse sola en el O2.</w:t>
      </w:r>
    </w:p>
    <w:p>
      <w:pPr>
        <w:spacing w:after="120" w:before="0" w:line="288"/>
        <w:jc w:val="left"/>
      </w:pPr>
      <w:r>
        <w:rPr>
          <w:rFonts w:ascii="Times New Roman" w:cs="Times New Roman" w:eastAsia="Times New Roman" w:hAnsi="Times New Roman"/>
          <w:sz w:val="24"/>
          <w:szCs w:val="24"/>
        </w:rPr>
        <w:t xml:space="preserve">Los ensayos de una misma muestra no tienen orden entre sí: pueden ejecutarse a la vez en equipos distintos, y la muestra termina cuando termina el último (supuesto S28). Es coherente con Costigliola et al. (2017, p. 9017, supuesto 1), que tratan cada pareja análisis/muestra como una entidad propia. Cunha et al. (2019) admiten que los ensayos de una muestra tengan o no un orden (p. 1422), pero su modelo lo impone (p. 1423), igual que Martins et al. (2023, p. 185) entre las operaciones de un trabajo; en el Test Laboratory Scheduling Problem (TLSP) es opcional (Mischek y Musliu, 2021, p. 539). Esa diferencia se reporta en el contraste estructural.</w:t>
      </w:r>
    </w:p>
    <w:p>
      <w:pPr>
        <w:pStyle w:val="Heading2"/>
        <w:keepNext/>
      </w:pPr>
      <w:r>
        <w:rPr>
          <w:rFonts w:ascii="Times New Roman" w:cs="Times New Roman" w:eastAsia="Times New Roman" w:hAnsi="Times New Roman"/>
          <w:b/>
          <w:bCs/>
          <w:sz w:val="24"/>
          <w:szCs w:val="24"/>
        </w:rPr>
        <w:t xml:space="preserve">1.2 Cuándo se crea un registro</w:t>
      </w:r>
    </w:p>
    <w:p>
      <w:pPr>
        <w:keepNext/>
        <w:spacing w:after="120" w:before="0" w:line="288"/>
        <w:jc w:val="left"/>
      </w:pPr>
      <w:r>
        <w:rPr>
          <w:rFonts w:ascii="Times New Roman" w:cs="Times New Roman" w:eastAsia="Times New Roman" w:hAnsi="Times New Roman"/>
          <w:sz w:val="24"/>
          <w:szCs w:val="24"/>
        </w:rPr>
        <w:t xml:space="preserve">La regla general es que cada ejecución de un ensayo en un equipo es un registro, y nada más lo es. La Tabla 1 la aplica a los casos que pueden generar dudas.</w:t>
      </w:r>
    </w:p>
    <w:p>
      <w:pPr>
        <w:keepNext/>
        <w:spacing w:after="0" w:before="200" w:line="288"/>
        <w:jc w:val="left"/>
      </w:pPr>
      <w:r>
        <w:rPr>
          <w:rFonts w:ascii="Times New Roman" w:cs="Times New Roman" w:eastAsia="Times New Roman" w:hAnsi="Times New Roman"/>
          <w:b/>
          <w:bCs/>
          <w:sz w:val="24"/>
          <w:szCs w:val="24"/>
        </w:rPr>
        <w:t xml:space="preserve">Tabla 1</w:t>
      </w:r>
    </w:p>
    <w:p>
      <w:pPr>
        <w:keepNext/>
        <w:spacing w:after="80" w:before="0" w:line="288"/>
        <w:jc w:val="left"/>
      </w:pPr>
      <w:r>
        <w:rPr>
          <w:rFonts w:ascii="Times New Roman" w:cs="Times New Roman" w:eastAsia="Times New Roman" w:hAnsi="Times New Roman"/>
          <w:i/>
          <w:iCs/>
          <w:sz w:val="24"/>
          <w:szCs w:val="24"/>
        </w:rPr>
        <w:t xml:space="preserve">Situaciones que crean registros</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3254"/>
        <w:gridCol w:w="3000"/>
        <w:gridCol w:w="2300"/>
      </w:tblGrid>
      <w:tr>
        <w:trPr>
          <w:cantSplit/>
          <w:tblHeader/>
        </w:trPr>
        <w:tc>
          <w:tcPr>
            <w:tcW w:type="dxa" w:w="32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Situación</w:t>
            </w:r>
          </w:p>
        </w:tc>
        <w:tc>
          <w:tcPr>
            <w:tcW w:type="dxa" w:w="3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Registros</w:t>
            </w:r>
          </w:p>
        </w:tc>
        <w:tc>
          <w:tcPr>
            <w:tcW w:type="dxa" w:w="2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Fuente o supuesto</w:t>
            </w:r>
          </w:p>
        </w:tc>
      </w:tr>
      <w:tr>
        <w:trPr>
          <w:cantSplit/>
        </w:trPr>
        <w:tc>
          <w:tcPr>
            <w:tcW w:type="dxa" w:w="3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Muestra que pide k ensayos (k = 1, 2 o 3)</w:t>
            </w:r>
          </w:p>
        </w:tc>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k, uno por método</w:t>
            </w:r>
          </w:p>
        </w:tc>
        <w:tc>
          <w:tcPr>
            <w:tcW w:type="dxa" w:w="2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Anteproyecto, §1.4; Cunha et al. (2019, p. 1425); S18</w:t>
            </w:r>
          </w:p>
        </w:tc>
      </w:tr>
      <w:tr>
        <w:trPr>
          <w:cantSplit/>
        </w:trPr>
        <w:tc>
          <w:tcPr>
            <w:tcW w:type="dxa" w:w="3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Reanálisis por resultado fuera de especificación</w:t>
            </w:r>
          </w:p>
        </w:tc>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Uno más, enlazado al original; conserva el plazo de la muestra</w:t>
            </w:r>
          </w:p>
        </w:tc>
        <w:tc>
          <w:tcPr>
            <w:tcW w:type="dxa" w:w="2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S01, S13 y S27</w:t>
            </w:r>
          </w:p>
        </w:tc>
      </w:tr>
      <w:tr>
        <w:trPr>
          <w:cantSplit/>
        </w:trPr>
        <w:tc>
          <w:tcPr>
            <w:tcW w:type="dxa" w:w="3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Falla del equipo durante el ensayo</w:t>
            </w:r>
          </w:p>
        </w:tc>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Uno más, en otro equipo, enlazado al interrumpido</w:t>
            </w:r>
          </w:p>
        </w:tc>
        <w:tc>
          <w:tcPr>
            <w:tcW w:type="dxa" w:w="2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Costigliola et al. (2017, p. 9017, supuesto 1); S02 y S27</w:t>
            </w:r>
          </w:p>
        </w:tc>
      </w:tr>
      <w:tr>
        <w:trPr>
          <w:cantSplit/>
        </w:trPr>
        <w:tc>
          <w:tcPr>
            <w:tcW w:type="dxa" w:w="3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Tareas del ensayo: preparación de la muestra, montaje, corrida, procesamiento de datos y revisión</w:t>
            </w:r>
          </w:p>
        </w:tc>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Ninguno: son partes de la duración del registro</w:t>
            </w:r>
          </w:p>
        </w:tc>
        <w:tc>
          <w:tcPr>
            <w:tcW w:type="dxa" w:w="2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Coito et al. (2021, p. 72); Costigliola et al. (2017, p. 9016); S09</w:t>
            </w:r>
          </w:p>
        </w:tc>
      </w:tr>
      <w:tr>
        <w:trPr>
          <w:cantSplit/>
        </w:trPr>
        <w:tc>
          <w:tcPr>
            <w:tcW w:type="dxa" w:w="3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Preparación e idoneidad del sistema en HPLC y GC</w:t>
            </w:r>
          </w:p>
        </w:tc>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Ninguno: se cargan al ensayo que las necesitó</w:t>
            </w:r>
          </w:p>
        </w:tc>
        <w:tc>
          <w:tcPr>
            <w:tcW w:type="dxa" w:w="2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Costigliola et al. (2017, p. 9017, supuesto 2) para la idoneidad; para la preparación, decisión propia (sección 1.8)</w:t>
            </w:r>
          </w:p>
        </w:tc>
      </w:tr>
      <w:tr>
        <w:trPr>
          <w:cantSplit/>
        </w:trPr>
        <w:tc>
          <w:tcPr>
            <w:tcW w:type="dxa" w:w="3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Muestra urgente</w:t>
            </w:r>
          </w:p>
        </w:tc>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Ninguno adicional: la urgencia es un atributo de la muestra</w:t>
            </w:r>
          </w:p>
        </w:tc>
        <w:tc>
          <w:tcPr>
            <w:tcW w:type="dxa" w:w="2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S03</w:t>
            </w:r>
          </w:p>
        </w:tc>
      </w:tr>
      <w:tr>
        <w:trPr>
          <w:cantSplit/>
        </w:trPr>
        <w:tc>
          <w:tcPr>
            <w:tcW w:type="dxa" w:w="3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Mantenimiento, verificación o falla de un equipo libre</w:t>
            </w:r>
          </w:p>
        </w:tc>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Ninguno: son eventos del equipo</w:t>
            </w:r>
          </w:p>
        </w:tc>
        <w:tc>
          <w:tcPr>
            <w:tcW w:type="dxa" w:w="2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S02 y S26</w:t>
            </w:r>
          </w:p>
        </w:tc>
      </w:tr>
      <w:tr>
        <w:trPr>
          <w:cantSplit/>
        </w:trPr>
        <w:tc>
          <w:tcPr>
            <w:tcW w:type="dxa" w:w="32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20"/>
                <w:szCs w:val="20"/>
              </w:rPr>
              <w:t xml:space="preserve">Ensayo que no ha terminado al cerrar la corrida</w:t>
            </w:r>
          </w:p>
        </w:tc>
        <w:tc>
          <w:tcPr>
            <w:tcW w:type="dxa" w:w="30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20"/>
                <w:szCs w:val="20"/>
              </w:rPr>
              <w:t xml:space="preserve">Ninguno: se cuenta en el resumen de la corrida</w:t>
            </w:r>
          </w:p>
        </w:tc>
        <w:tc>
          <w:tcPr>
            <w:tcW w:type="dxa" w:w="2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20"/>
                <w:szCs w:val="20"/>
              </w:rPr>
              <w:t xml:space="preserve">Regla de este documento</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Un ensayo pedido es la pareja muestra–método; una ejecución es cada vez que ese ensayo pasa por un equipo. Los supuestos están en la hoja «Supuestos» del Excel de parámetros.</w:t>
      </w:r>
    </w:p>
    <w:p>
      <w:pPr>
        <w:spacing w:after="120" w:before="0" w:line="288"/>
        <w:jc w:val="left"/>
      </w:pPr>
      <w:r>
        <w:rPr>
          <w:rFonts w:ascii="Times New Roman" w:cs="Times New Roman" w:eastAsia="Times New Roman" w:hAnsi="Times New Roman"/>
          <w:sz w:val="24"/>
          <w:szCs w:val="24"/>
        </w:rPr>
        <w:t xml:space="preserve">Las repeticiones son registros nuevos (supuesto S27) para que cada registro conserve un solo equipo y un solo analista, como en Martins et al. (2023, pp. 182–183), y para que su duración no mezcle dos ejecuciones. Un reanálisis vuelve a preparar la muestra y a correr el método, así que es una ejecución completa, con su propia duración. Un ensayo interrumpido por una falla, en cambio, queda con una duración parcial: su registro sirve para medir la ocupación de los recursos, pero no entra al entrenamiento de los modelos del O2. Se admite un reanálisis por ensayo, con resultado definitivo, y el reanálisis conserva el plazo de la muestra.</w:t>
      </w:r>
    </w:p>
    <w:p>
      <w:pPr>
        <w:spacing w:after="120" w:before="0" w:line="288"/>
        <w:jc w:val="left"/>
      </w:pPr>
      <w:r>
        <w:rPr>
          <w:rFonts w:ascii="Times New Roman" w:cs="Times New Roman" w:eastAsia="Times New Roman" w:hAnsi="Times New Roman"/>
          <w:sz w:val="24"/>
          <w:szCs w:val="24"/>
        </w:rPr>
        <w:t xml:space="preserve">La preparación y la idoneidad del sistema son distintas: alistan el equipo para un método, y Costigliola et al. (2017, p. 9017) asumen que la idoneidad vale 24 horas y no se repite mientras el equipo siga con el mismo método. Por eso no son registros: el ensayo que las necesitó las suma a su duración y queda marcado, y los siguientes del mismo método en ese equipo no las repiten. Cada cuánto se repiten es una decisión abierta (sección 1.8).</w:t>
      </w:r>
    </w:p>
    <w:p>
      <w:pPr>
        <w:pStyle w:val="Heading2"/>
        <w:keepNext/>
      </w:pPr>
      <w:r>
        <w:rPr>
          <w:rFonts w:ascii="Times New Roman" w:cs="Times New Roman" w:eastAsia="Times New Roman" w:hAnsi="Times New Roman"/>
          <w:b/>
          <w:bCs/>
          <w:sz w:val="24"/>
          <w:szCs w:val="24"/>
        </w:rPr>
        <w:t xml:space="preserve">1.3 Qué duración se predice</w:t>
      </w:r>
    </w:p>
    <w:p>
      <w:pPr>
        <w:keepNext/>
        <w:spacing w:after="120" w:before="0" w:line="288"/>
        <w:jc w:val="left"/>
      </w:pPr>
      <w:r>
        <w:rPr>
          <w:rFonts w:ascii="Times New Roman" w:cs="Times New Roman" w:eastAsia="Times New Roman" w:hAnsi="Times New Roman"/>
          <w:sz w:val="24"/>
          <w:szCs w:val="24"/>
        </w:rPr>
        <w:t xml:space="preserve">Costigliola et al. (2017, p. 9018) distinguen el tiempo de proceso de cada tarea del tiempo que una muestra pasa en el laboratorio, que suma proceso y espera: en su Tabla 5, una muestra de HPLC pasa en promedio 31 horas en el sistema. Coito et al. (2021, p. 74), por su parte, reportan el tiempo total de tareas de cada ensayo: 529 minutos en promedio, con el 90 % de los ensayos entre 458 y 786. El registro guarda las dos clases de tiempo (Tabla 2).</w:t>
      </w:r>
    </w:p>
    <w:p>
      <w:pPr>
        <w:keepNext/>
        <w:spacing w:after="0" w:before="200" w:line="288"/>
        <w:jc w:val="left"/>
      </w:pPr>
      <w:r>
        <w:rPr>
          <w:rFonts w:ascii="Times New Roman" w:cs="Times New Roman" w:eastAsia="Times New Roman" w:hAnsi="Times New Roman"/>
          <w:b/>
          <w:bCs/>
          <w:sz w:val="24"/>
          <w:szCs w:val="24"/>
        </w:rPr>
        <w:t xml:space="preserve">Tabla 2</w:t>
      </w:r>
    </w:p>
    <w:p>
      <w:pPr>
        <w:keepNext/>
        <w:spacing w:after="80" w:before="0" w:line="288"/>
        <w:jc w:val="left"/>
      </w:pPr>
      <w:r>
        <w:rPr>
          <w:rFonts w:ascii="Times New Roman" w:cs="Times New Roman" w:eastAsia="Times New Roman" w:hAnsi="Times New Roman"/>
          <w:i/>
          <w:iCs/>
          <w:sz w:val="24"/>
          <w:szCs w:val="24"/>
        </w:rPr>
        <w:t xml:space="preserve">Medidas de tiempo de un registro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100"/>
        <w:gridCol w:w="4254"/>
        <w:gridCol w:w="2200"/>
      </w:tblGrid>
      <w:tr>
        <w:trPr>
          <w:cantSplit/>
          <w:tblHeader/>
        </w:trPr>
        <w:tc>
          <w:tcPr>
            <w:tcW w:type="dxa" w:w="21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Medida</w:t>
            </w:r>
          </w:p>
        </w:tc>
        <w:tc>
          <w:tcPr>
            <w:tcW w:type="dxa" w:w="42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Qué incluye</w:t>
            </w:r>
          </w:p>
        </w:tc>
        <w:tc>
          <w:tcPr>
            <w:tcW w:type="dxa" w:w="22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Uso</w:t>
            </w:r>
          </w:p>
        </w:tc>
      </w:tr>
      <w:tr>
        <w:trPr>
          <w:cantSplit/>
        </w:trPr>
        <w:tc>
          <w:tcPr>
            <w:tcW w:type="dxa" w:w="2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Tiempo de ejecución</w:t>
            </w:r>
          </w:p>
        </w:tc>
        <w:tc>
          <w:tcPr>
            <w:tcW w:type="dxa" w:w="4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Las tareas del ensayo, sin esperas; en HPLC y GC, también la preparación y la idoneidad del sistema si el equipo las necesitó</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Objetivo del O2: duración simulada de la actividad</w:t>
            </w:r>
          </w:p>
        </w:tc>
      </w:tr>
      <w:tr>
        <w:trPr>
          <w:cantSplit/>
        </w:trPr>
        <w:tc>
          <w:tcPr>
            <w:tcW w:type="dxa" w:w="2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Pausas internas</w:t>
            </w:r>
          </w:p>
        </w:tc>
        <w:tc>
          <w:tcPr>
            <w:tcW w:type="dxa" w:w="4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Esperas entre tareas del mismo ensayo, por ejemplo cuando la corrida termina fuera del turno del analista</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O3</w:t>
            </w:r>
          </w:p>
        </w:tc>
      </w:tr>
      <w:tr>
        <w:trPr>
          <w:cantSplit/>
        </w:trPr>
        <w:tc>
          <w:tcPr>
            <w:tcW w:type="dxa" w:w="2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Espera en cola</w:t>
            </w:r>
          </w:p>
        </w:tc>
        <w:tc>
          <w:tcPr>
            <w:tcW w:type="dxa" w:w="4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Desde la llegada del registro hasta el inicio de su primera tarea</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O3</w:t>
            </w:r>
          </w:p>
        </w:tc>
      </w:tr>
      <w:tr>
        <w:trPr>
          <w:cantSplit/>
        </w:trPr>
        <w:tc>
          <w:tcPr>
            <w:tcW w:type="dxa" w:w="21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20"/>
                <w:szCs w:val="20"/>
              </w:rPr>
              <w:t xml:space="preserve">Tiempo en el sistema</w:t>
            </w:r>
          </w:p>
        </w:tc>
        <w:tc>
          <w:tcPr>
            <w:tcW w:type="dxa" w:w="42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20"/>
                <w:szCs w:val="20"/>
              </w:rPr>
              <w:t xml:space="preserve">Desde la llegada del registro hasta el fin de su última tarea</w:t>
            </w:r>
          </w:p>
        </w:tc>
        <w:tc>
          <w:tcPr>
            <w:tcW w:type="dxa" w:w="22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20"/>
                <w:szCs w:val="20"/>
              </w:rPr>
              <w:t xml:space="preserve">O3: cumplimiento del plazo; se compara con la Tabla 5 de Costigliola et al. (2017)</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Tiempo en el sistema = espera en cola + tiempo de ejecución + pausas internas, en minutos. La llegada de un registro es la de su muestra o, en una repetición, el fin de la ejecución que se repite.</w:t>
      </w:r>
    </w:p>
    <w:p>
      <w:pPr>
        <w:spacing w:after="120" w:before="0" w:line="288"/>
        <w:jc w:val="left"/>
      </w:pPr>
      <w:r>
        <w:rPr>
          <w:rFonts w:ascii="Times New Roman" w:cs="Times New Roman" w:eastAsia="Times New Roman" w:hAnsi="Times New Roman"/>
          <w:sz w:val="24"/>
          <w:szCs w:val="24"/>
        </w:rPr>
        <w:t xml:space="preserve">El O2 predice el tiempo de ejecución porque es propio de la actividad y de los recursos que la ejecutan. La espera depende de la cola y de la regla de despacho que se evalúa en el O3, de modo que predecirla mezclaría los dos objetivos. El tiempo de ejecución sí depende del analista asignado (supuesto S07) y de si el equipo necesitó preparación e idoneidad; por eso el registro guarda los dos datos (sección 2), y la relación que aprende el O2 no cambia cuando cambia la regla de despacho.</w:t>
      </w:r>
    </w:p>
    <w:p>
      <w:pPr>
        <w:pStyle w:val="Heading2"/>
        <w:keepNext/>
      </w:pPr>
      <w:r>
        <w:rPr>
          <w:rFonts w:ascii="Times New Roman" w:cs="Times New Roman" w:eastAsia="Times New Roman" w:hAnsi="Times New Roman"/>
          <w:b/>
          <w:bCs/>
          <w:sz w:val="24"/>
          <w:szCs w:val="24"/>
        </w:rPr>
        <w:t xml:space="preserve">1.4 Clave e identificadores</w:t>
      </w:r>
    </w:p>
    <w:p>
      <w:pPr>
        <w:keepNext/>
        <w:spacing w:after="120" w:before="0" w:line="288"/>
        <w:jc w:val="left"/>
      </w:pPr>
      <w:r>
        <w:rPr>
          <w:rFonts w:ascii="Times New Roman" w:cs="Times New Roman" w:eastAsia="Times New Roman" w:hAnsi="Times New Roman"/>
          <w:sz w:val="24"/>
          <w:szCs w:val="24"/>
        </w:rPr>
        <w:t xml:space="preserve">Cinco campos identifican un registro en todo el conjunto: el escenario, la semilla, la muestra, el método y el intento (Tabla 3). El intento separa la ejecución original de sus repeticiones, y otros dos campos enlazan cada repetición con la ejecución anterior. El identificador de la actividad junta muestra, método e intento en un texto legible, que no se repite dentro de una corrida.</w:t>
      </w:r>
    </w:p>
    <w:p>
      <w:pPr>
        <w:keepNext/>
        <w:spacing w:after="0" w:before="200" w:line="288"/>
        <w:jc w:val="left"/>
      </w:pPr>
      <w:r>
        <w:rPr>
          <w:rFonts w:ascii="Times New Roman" w:cs="Times New Roman" w:eastAsia="Times New Roman" w:hAnsi="Times New Roman"/>
          <w:b/>
          <w:bCs/>
          <w:sz w:val="24"/>
          <w:szCs w:val="24"/>
        </w:rPr>
        <w:t xml:space="preserve">Tabla 3</w:t>
      </w:r>
    </w:p>
    <w:p>
      <w:pPr>
        <w:keepNext/>
        <w:spacing w:after="80" w:before="0" w:line="288"/>
        <w:jc w:val="left"/>
      </w:pPr>
      <w:r>
        <w:rPr>
          <w:rFonts w:ascii="Times New Roman" w:cs="Times New Roman" w:eastAsia="Times New Roman" w:hAnsi="Times New Roman"/>
          <w:i/>
          <w:iCs/>
          <w:sz w:val="24"/>
          <w:szCs w:val="24"/>
        </w:rPr>
        <w:t xml:space="preserve">Campos que identifican y enlazan los registros</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150"/>
        <w:gridCol w:w="4204"/>
        <w:gridCol w:w="2200"/>
      </w:tblGrid>
      <w:tr>
        <w:trPr>
          <w:cantSplit/>
          <w:tblHeader/>
        </w:trPr>
        <w:tc>
          <w:tcPr>
            <w:tcW w:type="dxa" w:w="2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Campo</w:t>
            </w:r>
          </w:p>
        </w:tc>
        <w:tc>
          <w:tcPr>
            <w:tcW w:type="dxa" w:w="420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Qué es</w:t>
            </w:r>
          </w:p>
        </w:tc>
        <w:tc>
          <w:tcPr>
            <w:tcW w:type="dxa" w:w="22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Ejemplo</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escenario</w:t>
            </w:r>
          </w:p>
        </w:tc>
        <w:tc>
          <w:tcPr>
            <w:tcW w:type="dxa" w:w="4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Escenario de carga de la corrida: baja, base o alta</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base</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semilla</w:t>
            </w:r>
          </w:p>
        </w:tc>
        <w:tc>
          <w:tcPr>
            <w:tcW w:type="dxa" w:w="4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Semilla de la corrida</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2026</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id_muestra</w:t>
            </w:r>
          </w:p>
        </w:tc>
        <w:tc>
          <w:tcPr>
            <w:tcW w:type="dxa" w:w="4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Tipo de muestra y número consecutivo dentro de la corrida</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PT-000123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metodo</w:t>
            </w:r>
          </w:p>
        </w:tc>
        <w:tc>
          <w:tcPr>
            <w:tcW w:type="dxa" w:w="4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Método del catálogo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M02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intento</w:t>
            </w:r>
          </w:p>
        </w:tc>
        <w:tc>
          <w:tcPr>
            <w:tcW w:type="dxa" w:w="4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1 en la ejecución original; 2, 3… en las repeticiones</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id_actividad</w:t>
            </w:r>
          </w:p>
        </w:tc>
        <w:tc>
          <w:tcPr>
            <w:tcW w:type="dxa" w:w="4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Muestra, método e intento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PT-000123-M02-2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id_actividad_origen</w:t>
            </w:r>
          </w:p>
        </w:tc>
        <w:tc>
          <w:tcPr>
            <w:tcW w:type="dxa" w:w="4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Ejecución que se repite; vacío si el intento es 1</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PT-000123-M02-1</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causa_repeticion</w:t>
            </w:r>
          </w:p>
        </w:tc>
        <w:tc>
          <w:tcPr>
            <w:tcW w:type="dxa" w:w="4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Reanálisis o falla de equipo; vacío si el intento es 1</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reanálisis</w:t>
            </w:r>
          </w:p>
        </w:tc>
      </w:tr>
      <w:tr>
        <w:trPr>
          <w:cantSplit/>
        </w:trPr>
        <w:tc>
          <w:tcPr>
            <w:tcW w:type="dxa" w:w="2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20"/>
                <w:szCs w:val="20"/>
              </w:rPr>
              <w:t xml:space="preserve">resultado</w:t>
            </w:r>
          </w:p>
        </w:tc>
        <w:tc>
          <w:tcPr>
            <w:tcW w:type="dxa" w:w="420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20"/>
                <w:szCs w:val="20"/>
              </w:rPr>
              <w:t xml:space="preserve">Cumple, fuera de especificación o interrumpido</w:t>
            </w:r>
          </w:p>
        </w:tc>
        <w:tc>
          <w:tcPr>
            <w:tcW w:type="dxa" w:w="22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20"/>
                <w:szCs w:val="20"/>
              </w:rPr>
              <w:t xml:space="preserve">cumple</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cinco primeros campos forman la clave. Los ejemplos corresponden al reanálisis de la Tabla 4.</w:t>
      </w:r>
    </w:p>
    <w:p>
      <w:pPr>
        <w:keepNext/>
        <w:spacing w:after="120" w:before="0" w:line="288"/>
        <w:jc w:val="left"/>
      </w:pPr>
      <w:r>
        <w:rPr>
          <w:rFonts w:ascii="Times New Roman" w:cs="Times New Roman" w:eastAsia="Times New Roman" w:hAnsi="Times New Roman"/>
          <w:sz w:val="24"/>
          <w:szCs w:val="24"/>
        </w:rPr>
        <w:t xml:space="preserve">La Tabla 4 muestra cómo quedan dos muestras: una de producto terminado con dos ensayos, uno de los cuales sale fuera de especificación, y una de control en proceso cuyo único ensayo se interrumpe por una falla del equipo.</w:t>
      </w:r>
    </w:p>
    <w:p>
      <w:pPr>
        <w:keepNext/>
        <w:spacing w:after="0" w:before="200" w:line="288"/>
        <w:jc w:val="left"/>
      </w:pPr>
      <w:r>
        <w:rPr>
          <w:rFonts w:ascii="Times New Roman" w:cs="Times New Roman" w:eastAsia="Times New Roman" w:hAnsi="Times New Roman"/>
          <w:b/>
          <w:bCs/>
          <w:sz w:val="24"/>
          <w:szCs w:val="24"/>
        </w:rPr>
        <w:t xml:space="preserve">Tabla 4</w:t>
      </w:r>
    </w:p>
    <w:p>
      <w:pPr>
        <w:keepNext/>
        <w:spacing w:after="80" w:before="0" w:line="288"/>
        <w:jc w:val="left"/>
      </w:pPr>
      <w:r>
        <w:rPr>
          <w:rFonts w:ascii="Times New Roman" w:cs="Times New Roman" w:eastAsia="Times New Roman" w:hAnsi="Times New Roman"/>
          <w:i/>
          <w:iCs/>
          <w:sz w:val="24"/>
          <w:szCs w:val="24"/>
        </w:rPr>
        <w:t xml:space="preserve">Ejemplo: dos muestras y sus registros</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1650"/>
        <w:gridCol w:w="1904"/>
        <w:gridCol w:w="900"/>
        <w:gridCol w:w="1650"/>
        <w:gridCol w:w="1050"/>
        <w:gridCol w:w="1400"/>
      </w:tblGrid>
      <w:tr>
        <w:trPr>
          <w:cantSplit/>
          <w:tblHeader/>
        </w:trPr>
        <w:tc>
          <w:tcPr>
            <w:tcW w:type="dxa" w:w="16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id_actividad</w:t>
            </w:r>
          </w:p>
        </w:tc>
        <w:tc>
          <w:tcPr>
            <w:tcW w:type="dxa" w:w="190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Ensayo</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Intento</w:t>
            </w:r>
          </w:p>
        </w:tc>
        <w:tc>
          <w:tcPr>
            <w:tcW w:type="dxa" w:w="16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Origen</w:t>
            </w:r>
          </w:p>
        </w:tc>
        <w:tc>
          <w:tcPr>
            <w:tcW w:type="dxa" w:w="10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Causa</w:t>
            </w:r>
          </w:p>
        </w:tc>
        <w:tc>
          <w:tcPr>
            <w:tcW w:type="dxa" w:w="14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Resultado</w:t>
            </w:r>
          </w:p>
        </w:tc>
      </w:tr>
      <w:tr>
        <w:trPr>
          <w:cantSplit/>
        </w:trPr>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PT-000123-M02-1</w:t>
            </w:r>
          </w:p>
        </w:tc>
        <w:tc>
          <w:tcPr>
            <w:tcW w:type="dxa" w:w="1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Sustancias relacionadas (HPLC)</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(vacío)</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(vacío)</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Fuera de especificación</w:t>
            </w:r>
          </w:p>
        </w:tc>
      </w:tr>
      <w:tr>
        <w:trPr>
          <w:cantSplit/>
        </w:trPr>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PT-000123-M07-1</w:t>
            </w:r>
          </w:p>
        </w:tc>
        <w:tc>
          <w:tcPr>
            <w:tcW w:type="dxa" w:w="1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Agua por KF volumétrico</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(vacío)</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(vacío)</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Cumple</w:t>
            </w:r>
          </w:p>
        </w:tc>
      </w:tr>
      <w:tr>
        <w:trPr>
          <w:cantSplit/>
        </w:trPr>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PT-000123-M02-2</w:t>
            </w:r>
          </w:p>
        </w:tc>
        <w:tc>
          <w:tcPr>
            <w:tcW w:type="dxa" w:w="1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Sustancias relacionadas (HPLC)</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2</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PT-000123-M02-1</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Reanálisis</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Cumple</w:t>
            </w:r>
          </w:p>
        </w:tc>
      </w:tr>
      <w:tr>
        <w:trPr>
          <w:cantSplit/>
        </w:trPr>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IN-000457-M04-1</w:t>
            </w:r>
          </w:p>
        </w:tc>
        <w:tc>
          <w:tcPr>
            <w:tcW w:type="dxa" w:w="1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Solventes residuales (GC)</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(vacío)</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(vacío)</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Interrumpido</w:t>
            </w:r>
          </w:p>
        </w:tc>
      </w:tr>
      <w:tr>
        <w:trPr>
          <w:cantSplit/>
        </w:trPr>
        <w:tc>
          <w:tcPr>
            <w:tcW w:type="dxa" w:w="16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IN-000457-M04-2</w:t>
            </w:r>
          </w:p>
        </w:tc>
        <w:tc>
          <w:tcPr>
            <w:tcW w:type="dxa" w:w="190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Solventes residuales (GC)</w:t>
            </w:r>
          </w:p>
        </w:tc>
        <w:tc>
          <w:tcPr>
            <w:tcW w:type="dxa" w:w="9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2</w:t>
            </w:r>
          </w:p>
        </w:tc>
        <w:tc>
          <w:tcPr>
            <w:tcW w:type="dxa" w:w="16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IN-000457-M04-1</w:t>
            </w:r>
          </w:p>
        </w:tc>
        <w:tc>
          <w:tcPr>
            <w:tcW w:type="dxa" w:w="10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Falla de equipo</w:t>
            </w:r>
          </w:p>
        </w:tc>
        <w:tc>
          <w:tcPr>
            <w:tcW w:type="dxa" w:w="14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Cumple</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Tres ensayos pedidos y cinco registros. El registro interrumpido no entra al entrenamiento del O2. Es el mismo ejemplo de las pruebas del repositorio (tests/test_registro.py).</w:t>
      </w:r>
    </w:p>
    <w:p>
      <w:pPr>
        <w:pStyle w:val="Heading2"/>
        <w:keepNext/>
      </w:pPr>
      <w:r>
        <w:rPr>
          <w:rFonts w:ascii="Times New Roman" w:cs="Times New Roman" w:eastAsia="Times New Roman" w:hAnsi="Times New Roman"/>
          <w:b/>
          <w:bCs/>
          <w:sz w:val="24"/>
          <w:szCs w:val="24"/>
        </w:rPr>
        <w:t xml:space="preserve">1.5 La unidad en las fuentes y en las instancias de contraste</w:t>
      </w:r>
    </w:p>
    <w:p>
      <w:pPr>
        <w:keepNext/>
        <w:spacing w:after="120" w:before="0" w:line="288"/>
        <w:jc w:val="left"/>
      </w:pPr>
      <w:r>
        <w:rPr>
          <w:rFonts w:ascii="Times New Roman" w:cs="Times New Roman" w:eastAsia="Times New Roman" w:hAnsi="Times New Roman"/>
          <w:sz w:val="24"/>
          <w:szCs w:val="24"/>
        </w:rPr>
        <w:t xml:space="preserve">Las cinco fuentes usan la misma unidad con nombres distintos (Tabla 5). Esa correspondencia es la que permite comparar la estructura del conjunto con las instancias públicas de Martins et al. (2023) y del TLSP en el contraste estructural del 1 de noviembre.</w:t>
      </w:r>
    </w:p>
    <w:p>
      <w:pPr>
        <w:keepNext/>
        <w:spacing w:after="0" w:before="200" w:line="288"/>
        <w:jc w:val="left"/>
      </w:pPr>
      <w:r>
        <w:rPr>
          <w:rFonts w:ascii="Times New Roman" w:cs="Times New Roman" w:eastAsia="Times New Roman" w:hAnsi="Times New Roman"/>
          <w:b/>
          <w:bCs/>
          <w:sz w:val="24"/>
          <w:szCs w:val="24"/>
        </w:rPr>
        <w:t xml:space="preserve">Tabla 5</w:t>
      </w:r>
    </w:p>
    <w:p>
      <w:pPr>
        <w:keepNext/>
        <w:spacing w:after="80" w:before="0" w:line="288"/>
        <w:jc w:val="left"/>
      </w:pPr>
      <w:r>
        <w:rPr>
          <w:rFonts w:ascii="Times New Roman" w:cs="Times New Roman" w:eastAsia="Times New Roman" w:hAnsi="Times New Roman"/>
          <w:i/>
          <w:iCs/>
          <w:sz w:val="24"/>
          <w:szCs w:val="24"/>
        </w:rPr>
        <w:t xml:space="preserve">La unidad de análisis en las fuentes</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1650"/>
        <w:gridCol w:w="1350"/>
        <w:gridCol w:w="1900"/>
        <w:gridCol w:w="2154"/>
        <w:gridCol w:w="1500"/>
      </w:tblGrid>
      <w:tr>
        <w:trPr>
          <w:cantSplit/>
          <w:tblHeader/>
        </w:trPr>
        <w:tc>
          <w:tcPr>
            <w:tcW w:type="dxa" w:w="16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Fuente</w:t>
            </w:r>
          </w:p>
        </w:tc>
        <w:tc>
          <w:tcPr>
            <w:tcW w:type="dxa" w:w="13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Agrupa en</w:t>
            </w:r>
          </w:p>
        </w:tc>
        <w:tc>
          <w:tcPr>
            <w:tcW w:type="dxa" w:w="1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Unidad</w:t>
            </w:r>
          </w:p>
        </w:tc>
        <w:tc>
          <w:tcPr>
            <w:tcW w:type="dxa" w:w="21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Partes de la unidad</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Orden entre unidades</w:t>
            </w:r>
          </w:p>
        </w:tc>
      </w:tr>
      <w:tr>
        <w:trPr>
          <w:cantSplit/>
        </w:trPr>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Costigliola et al. (2017)</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Muestra</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Pareja análisis/muestra, en un solo equipo (p. 9017)</w:t>
            </w:r>
          </w:p>
        </w:tc>
        <w:tc>
          <w:tcPr>
            <w:tcW w:type="dxa" w:w="2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Preparación e idoneidad del sistema, preparación de la muestra, análisis y procesamiento de datos (p. 9017)</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Ninguno: cada pareja es una entidad (p. 9017)</w:t>
            </w:r>
          </w:p>
        </w:tc>
      </w:tr>
      <w:tr>
        <w:trPr>
          <w:cantSplit/>
        </w:trPr>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Coito et al. (2021)</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Muestra: una muestra puede pedir varios ensayos (p. 75)</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Trabajo o ensayo (p. 72)</w:t>
            </w:r>
          </w:p>
        </w:tc>
        <w:tc>
          <w:tcPr>
            <w:tcW w:type="dxa" w:w="2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Seis tareas, de la preparación del sistema a la revisión (p. 72)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No se describe</w:t>
            </w:r>
          </w:p>
        </w:tc>
      </w:tr>
      <w:tr>
        <w:trPr>
          <w:cantSplit/>
        </w:trPr>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Cunha et al. (2019)</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Trabajo (muestra)</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Ensayo u operación (p. 1423)</w:t>
            </w:r>
          </w:p>
        </w:tc>
        <w:tc>
          <w:tcPr>
            <w:tcW w:type="dxa" w:w="2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Intervenciones del analista (Tabla 2, p. 1424)</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Sí, en los trabajos de más de un ensayo (pp. 1423–1424)</w:t>
            </w:r>
          </w:p>
        </w:tc>
      </w:tr>
      <w:tr>
        <w:trPr>
          <w:cantSplit/>
        </w:trPr>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Martins et al. (2023)</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Trabajo (muestra)</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Operación (ensayo), en una máquina y con un analista (p. 182)</w:t>
            </w:r>
          </w:p>
        </w:tc>
        <w:tc>
          <w:tcPr>
            <w:tcW w:type="dxa" w:w="2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Intervenciones del analista: montaje, preparación y procesamiento de datos (p. 183)</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Sí (p. 185)</w:t>
            </w:r>
          </w:p>
        </w:tc>
      </w:tr>
      <w:tr>
        <w:trPr>
          <w:cantSplit/>
        </w:trPr>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Mischek y Musliu (2021)</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Proyecto (p. 538); las tareas se agrupan en trabajos (p. 534)</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Tarea (pp. 538–539)</w:t>
            </w:r>
          </w:p>
        </w:tc>
        <w:tc>
          <w:tcPr>
            <w:tcW w:type="dxa" w:w="2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Ninguna: una duración por tarea (p. 539)</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Opcional, dentro del proyecto (p. 539)</w:t>
            </w:r>
          </w:p>
        </w:tc>
      </w:tr>
      <w:tr>
        <w:trPr>
          <w:cantSplit/>
        </w:trPr>
        <w:tc>
          <w:tcPr>
            <w:tcW w:type="dxa" w:w="16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Este trabajo</w:t>
            </w:r>
          </w:p>
        </w:tc>
        <w:tc>
          <w:tcPr>
            <w:tcW w:type="dxa" w:w="13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Muestra</w:t>
            </w:r>
          </w:p>
        </w:tc>
        <w:tc>
          <w:tcPr>
            <w:tcW w:type="dxa" w:w="19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Ejecución de un ensayo sobre una muestra</w:t>
            </w:r>
          </w:p>
        </w:tc>
        <w:tc>
          <w:tcPr>
            <w:tcW w:type="dxa" w:w="21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Las tareas de Costigliola, con la revisión de Coito dentro del procesamiento (S09), como partes de la duración</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Ninguno (S28)</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En inglés, las fuentes hablan de job, operation, task y project. Las equivalencias con las instancias están también en datos/instancias_martins/LEEME.txt y datos/instancias_tlsp/LEEME.txt.</w:t>
      </w:r>
    </w:p>
    <w:p>
      <w:pPr>
        <w:pStyle w:val="Heading2"/>
        <w:keepNext/>
      </w:pPr>
      <w:r>
        <w:rPr>
          <w:rFonts w:ascii="Times New Roman" w:cs="Times New Roman" w:eastAsia="Times New Roman" w:hAnsi="Times New Roman"/>
          <w:b/>
          <w:bCs/>
          <w:sz w:val="24"/>
          <w:szCs w:val="24"/>
        </w:rPr>
        <w:t xml:space="preserve">1.6 Tamaño esperado</w:t>
      </w:r>
    </w:p>
    <w:p>
      <w:pPr>
        <w:spacing w:after="120" w:before="0" w:line="288"/>
        <w:jc w:val="left"/>
      </w:pPr>
      <w:r>
        <w:rPr>
          <w:rFonts w:ascii="Times New Roman" w:cs="Times New Roman" w:eastAsia="Times New Roman" w:hAnsi="Times New Roman"/>
          <w:sz w:val="24"/>
          <w:szCs w:val="24"/>
        </w:rPr>
        <w:t xml:space="preserve">El volumen sale de la demanda del laboratorio de referencia: en el escenario base, 15 323 ensayos al año (Costigliola et al., 2017, Tabla 4, p. 9018), de 12 769 muestras con 1,2 ensayos en promedio (Cunha et al., 2019, p. 1425). Con la tasa de reanálisis del 2 % (S01) se agregan unos 306 registros. Las repeticiones por falla no se cuentan: son pocas, porque los equipos pasan la mayor parte del tiempo libres (diseño del laboratorio, sección 3). La Tabla 6 da el resultado por escenario.</w:t>
      </w:r>
    </w:p>
    <w:p>
      <w:pPr>
        <w:keepNext/>
        <w:spacing w:after="0" w:before="200" w:line="288"/>
        <w:jc w:val="left"/>
      </w:pPr>
      <w:r>
        <w:rPr>
          <w:rFonts w:ascii="Times New Roman" w:cs="Times New Roman" w:eastAsia="Times New Roman" w:hAnsi="Times New Roman"/>
          <w:b/>
          <w:bCs/>
          <w:sz w:val="24"/>
          <w:szCs w:val="24"/>
        </w:rPr>
        <w:t xml:space="preserve">Tabla 6</w:t>
      </w:r>
    </w:p>
    <w:p>
      <w:pPr>
        <w:keepNext/>
        <w:spacing w:after="80" w:before="0" w:line="288"/>
        <w:jc w:val="left"/>
      </w:pPr>
      <w:r>
        <w:rPr>
          <w:rFonts w:ascii="Times New Roman" w:cs="Times New Roman" w:eastAsia="Times New Roman" w:hAnsi="Times New Roman"/>
          <w:i/>
          <w:iCs/>
          <w:sz w:val="24"/>
          <w:szCs w:val="24"/>
        </w:rPr>
        <w:t xml:space="preserve">Registros esperados por año simulado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1554"/>
        <w:gridCol w:w="1000"/>
        <w:gridCol w:w="1500"/>
        <w:gridCol w:w="1500"/>
        <w:gridCol w:w="1500"/>
        <w:gridCol w:w="1500"/>
      </w:tblGrid>
      <w:tr>
        <w:trPr>
          <w:cantSplit/>
          <w:tblHeader/>
        </w:trPr>
        <w:tc>
          <w:tcPr>
            <w:tcW w:type="dxa" w:w="15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Escenario</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Carga</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Muestras</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Ensayos pedidos</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Reanálisis</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Registros</w:t>
            </w:r>
          </w:p>
        </w:tc>
      </w:tr>
      <w:tr>
        <w:trPr>
          <w:cantSplit/>
        </w:trPr>
        <w:tc>
          <w:tcPr>
            <w:tcW w:type="dxa" w:w="1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Baja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20"/>
                <w:szCs w:val="20"/>
              </w:rPr>
              <w:t xml:space="preserve">× 0,7</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20"/>
                <w:szCs w:val="20"/>
              </w:rPr>
              <w:t xml:space="preserve">8 938</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20"/>
                <w:szCs w:val="20"/>
              </w:rPr>
              <w:t xml:space="preserve">10 726</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20"/>
                <w:szCs w:val="20"/>
              </w:rPr>
              <w:t xml:space="preserve">215</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20"/>
                <w:szCs w:val="20"/>
              </w:rPr>
              <w:t xml:space="preserve">10 941</w:t>
            </w:r>
          </w:p>
        </w:tc>
      </w:tr>
      <w:tr>
        <w:trPr>
          <w:cantSplit/>
        </w:trPr>
        <w:tc>
          <w:tcPr>
            <w:tcW w:type="dxa" w:w="1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20"/>
                <w:szCs w:val="20"/>
              </w:rPr>
              <w:t xml:space="preserve">Base</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20"/>
                <w:szCs w:val="20"/>
              </w:rPr>
              <w:t xml:space="preserve">× 1,0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20"/>
                <w:szCs w:val="20"/>
              </w:rPr>
              <w:t xml:space="preserve">12 769</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20"/>
                <w:szCs w:val="20"/>
              </w:rPr>
              <w:t xml:space="preserve">15 323</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20"/>
                <w:szCs w:val="20"/>
              </w:rPr>
              <w:t xml:space="preserve">306</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20"/>
                <w:szCs w:val="20"/>
              </w:rPr>
              <w:t xml:space="preserve">15 629</w:t>
            </w:r>
          </w:p>
        </w:tc>
      </w:tr>
      <w:tr>
        <w:trPr>
          <w:cantSplit/>
        </w:trPr>
        <w:tc>
          <w:tcPr>
            <w:tcW w:type="dxa" w:w="15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20"/>
                <w:szCs w:val="20"/>
              </w:rPr>
              <w:t xml:space="preserve">Alta</w:t>
            </w:r>
          </w:p>
        </w:tc>
        <w:tc>
          <w:tcPr>
            <w:tcW w:type="dxa" w:w="10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20"/>
                <w:szCs w:val="20"/>
              </w:rPr>
              <w:t xml:space="preserve">× 1,5</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20"/>
                <w:szCs w:val="20"/>
              </w:rPr>
              <w:t xml:space="preserve">19 154</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20"/>
                <w:szCs w:val="20"/>
              </w:rPr>
              <w:t xml:space="preserve">22 985</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20"/>
                <w:szCs w:val="20"/>
              </w:rPr>
              <w:t xml:space="preserve">460</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20"/>
                <w:szCs w:val="20"/>
              </w:rPr>
              <w:t xml:space="preserve">23 445</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Ensayos pedidos = 15 323 × carga; muestras = ensayos ÷ 1,2; reanálisis = ensayos × 2 % (S01); registros = ensayos + reanálisis, sin las repeticiones por falla. Carga de cada escenario: hoja «Demanda».</w:t>
      </w:r>
    </w:p>
    <w:p>
      <w:pPr>
        <w:spacing w:after="120" w:before="0" w:line="288"/>
        <w:jc w:val="left"/>
      </w:pPr>
      <w:r>
        <w:rPr>
          <w:rFonts w:ascii="Times New Roman" w:cs="Times New Roman" w:eastAsia="Times New Roman" w:hAnsi="Times New Roman"/>
          <w:sz w:val="24"/>
          <w:szCs w:val="24"/>
        </w:rPr>
        <w:t xml:space="preserve">Cuántas corridas se hacen por escenario y qué horizonte tiene cada una se decide en el bloque de escenarios de carga y semillas (30 de octubre).</w:t>
      </w:r>
    </w:p>
    <w:p>
      <w:pPr>
        <w:pStyle w:val="Heading2"/>
        <w:keepNext/>
      </w:pPr>
      <w:r>
        <w:rPr>
          <w:rFonts w:ascii="Times New Roman" w:cs="Times New Roman" w:eastAsia="Times New Roman" w:hAnsi="Times New Roman"/>
          <w:b/>
          <w:bCs/>
          <w:sz w:val="24"/>
          <w:szCs w:val="24"/>
        </w:rPr>
        <w:t xml:space="preserve">1.7 Uso en el generador</w:t>
      </w:r>
    </w:p>
    <w:p>
      <w:pPr>
        <w:keepNext/>
        <w:spacing w:after="60" w:before="0" w:line="288"/>
        <w:jc w:val="left"/>
      </w:pPr>
      <w:r>
        <w:rPr>
          <w:rFonts w:ascii="Times New Roman" w:cs="Times New Roman" w:eastAsia="Times New Roman" w:hAnsi="Times New Roman"/>
          <w:sz w:val="24"/>
          <w:szCs w:val="24"/>
        </w:rPr>
        <w:t xml:space="preserve">El generador arma los registros así:</w:t>
      </w:r>
    </w:p>
    <w:p>
      <w:pPr>
        <w:pStyle w:val="ListParagraph"/>
        <w:numPr>
          <w:ilvl w:val="0"/>
          <w:numId w:val="3"/>
        </w:numPr>
        <w:spacing w:after="80" w:line="288"/>
      </w:pPr>
      <w:r>
        <w:rPr>
          <w:rFonts w:ascii="Times New Roman" w:cs="Times New Roman" w:eastAsia="Times New Roman" w:hAnsi="Times New Roman"/>
          <w:sz w:val="24"/>
          <w:szCs w:val="24"/>
        </w:rPr>
        <w:t xml:space="preserve">Crea las muestras de la corrida, con su tipo, llegada, plazo y urgencia, y numera cada una dentro de su tipo (id_muestra).</w:t>
      </w:r>
    </w:p>
    <w:p>
      <w:pPr>
        <w:pStyle w:val="ListParagraph"/>
        <w:numPr>
          <w:ilvl w:val="0"/>
          <w:numId w:val="3"/>
        </w:numPr>
        <w:spacing w:after="80" w:line="288"/>
      </w:pPr>
      <w:r>
        <w:rPr>
          <w:rFonts w:ascii="Times New Roman" w:cs="Times New Roman" w:eastAsia="Times New Roman" w:hAnsi="Times New Roman"/>
          <w:sz w:val="24"/>
          <w:szCs w:val="24"/>
        </w:rPr>
        <w:t xml:space="preserve">Sortea los ensayos de cada muestra (diseño del laboratorio, sección 2) y crea un registro por ensayo, con intento 1.</w:t>
      </w:r>
    </w:p>
    <w:p>
      <w:pPr>
        <w:pStyle w:val="ListParagraph"/>
        <w:numPr>
          <w:ilvl w:val="0"/>
          <w:numId w:val="3"/>
        </w:numPr>
        <w:spacing w:after="80" w:line="288"/>
      </w:pPr>
      <w:r>
        <w:rPr>
          <w:rFonts w:ascii="Times New Roman" w:cs="Times New Roman" w:eastAsia="Times New Roman" w:hAnsi="Times New Roman"/>
          <w:sz w:val="24"/>
          <w:szCs w:val="24"/>
        </w:rPr>
        <w:t xml:space="preserve">Cuando una ejecución termina fuera de especificación, crea el reanálisis, que llega en ese momento con el plazo de la muestra; cuando una falla interrumpe una ejecución, crea la repetición, que se asigna a otro equipo.</w:t>
      </w:r>
    </w:p>
    <w:p>
      <w:pPr>
        <w:pStyle w:val="ListParagraph"/>
        <w:numPr>
          <w:ilvl w:val="0"/>
          <w:numId w:val="3"/>
        </w:numPr>
        <w:spacing w:after="80" w:line="288"/>
      </w:pPr>
      <w:r>
        <w:rPr>
          <w:rFonts w:ascii="Times New Roman" w:cs="Times New Roman" w:eastAsia="Times New Roman" w:hAnsi="Times New Roman"/>
          <w:sz w:val="24"/>
          <w:szCs w:val="24"/>
        </w:rPr>
        <w:t xml:space="preserve">Al cerrar la corrida guarda las ejecuciones que terminaron, incluidas las interrumpidas, y cuenta aparte los ensayos que quedaron en cola o en curso.</w:t>
      </w:r>
    </w:p>
    <w:p>
      <w:pPr>
        <w:pStyle w:val="ListParagraph"/>
        <w:numPr>
          <w:ilvl w:val="0"/>
          <w:numId w:val="3"/>
        </w:numPr>
        <w:spacing w:after="80" w:line="288"/>
      </w:pPr>
      <w:r>
        <w:rPr>
          <w:rFonts w:ascii="Times New Roman" w:cs="Times New Roman" w:eastAsia="Times New Roman" w:hAnsi="Times New Roman"/>
          <w:sz w:val="24"/>
          <w:szCs w:val="24"/>
        </w:rPr>
        <w:t xml:space="preserve">Antes de guardar, verifica las reglas de esta sección con chequear_unidad (src/generador/registro.py).</w:t>
      </w:r>
    </w:p>
    <w:p>
      <w:pPr>
        <w:spacing w:after="120" w:before="60" w:line="288"/>
        <w:jc w:val="left"/>
      </w:pPr>
      <w:r>
        <w:rPr>
          <w:rFonts w:ascii="Times New Roman" w:cs="Times New Roman" w:eastAsia="Times New Roman" w:hAnsi="Times New Roman"/>
          <w:sz w:val="24"/>
          <w:szCs w:val="24"/>
        </w:rPr>
        <w:t xml:space="preserve">Las pruebas del repositorio (tests/test_registro.py) arman el ejemplo de la Tabla 4, verifican que cumpla todas las reglas y que se detecten una clave repetida, una repetición mal enlazada, un segundo reanálisis, una muestra con cuatro ensayos o con dos tipos y valores fuera de las listas. El sábado 31 de octubre esas mismas reglas alimentan el indicador «porcentaje de registros que cumplen las restricciones establecidas» del sistema de variables.</w:t>
      </w:r>
    </w:p>
    <w:p>
      <w:pPr>
        <w:pStyle w:val="Heading2"/>
        <w:keepNext/>
      </w:pPr>
      <w:r>
        <w:rPr>
          <w:rFonts w:ascii="Times New Roman" w:cs="Times New Roman" w:eastAsia="Times New Roman" w:hAnsi="Times New Roman"/>
          <w:b/>
          <w:bCs/>
          <w:sz w:val="24"/>
          <w:szCs w:val="24"/>
        </w:rPr>
        <w:t xml:space="preserve">1.8 Decisiones abiertas</w:t>
      </w:r>
    </w:p>
    <w:p>
      <w:pPr>
        <w:pStyle w:val="ListParagraph"/>
        <w:numPr>
          <w:ilvl w:val="0"/>
          <w:numId w:val="2"/>
        </w:numPr>
        <w:spacing w:after="80" w:line="288"/>
      </w:pPr>
      <w:r>
        <w:rPr>
          <w:rFonts w:ascii="Times New Roman" w:cs="Times New Roman" w:eastAsia="Times New Roman" w:hAnsi="Times New Roman"/>
          <w:b/>
          <w:bCs/>
          <w:sz w:val="24"/>
          <w:szCs w:val="24"/>
        </w:rPr>
        <w:t xml:space="preserve">Repeticiones como registros. </w:t>
      </w:r>
      <w:r>
        <w:rPr>
          <w:rFonts w:ascii="Times New Roman" w:cs="Times New Roman" w:eastAsia="Times New Roman" w:hAnsi="Times New Roman"/>
          <w:sz w:val="24"/>
          <w:szCs w:val="24"/>
        </w:rPr>
        <w:t xml:space="preserve">Si en la asesoría se prefiere una fila por ensayo pedido, el reanálisis y la repetición por falla pasan a ser columnas del registro original y su tiempo se suma a la duración; el conjunto pierde cerca del 2 % de las filas.</w:t>
      </w:r>
    </w:p>
    <w:p>
      <w:pPr>
        <w:pStyle w:val="ListParagraph"/>
        <w:numPr>
          <w:ilvl w:val="0"/>
          <w:numId w:val="2"/>
        </w:numPr>
        <w:spacing w:after="80" w:line="288"/>
      </w:pPr>
      <w:r>
        <w:rPr>
          <w:rFonts w:ascii="Times New Roman" w:cs="Times New Roman" w:eastAsia="Times New Roman" w:hAnsi="Times New Roman"/>
          <w:b/>
          <w:bCs/>
          <w:sz w:val="24"/>
          <w:szCs w:val="24"/>
        </w:rPr>
        <w:t xml:space="preserve">Frecuencia de la preparación y la idoneidad del sistema. </w:t>
      </w:r>
      <w:r>
        <w:rPr>
          <w:rFonts w:ascii="Times New Roman" w:cs="Times New Roman" w:eastAsia="Times New Roman" w:hAnsi="Times New Roman"/>
          <w:sz w:val="24"/>
          <w:szCs w:val="24"/>
        </w:rPr>
        <w:t xml:space="preserve">El laboratorio de Coito et al. (2021, p. 74) tiene más de 2000 ensayos distintos, y su tiempo total por ensayo incluye la preparación y la idoneidad del sistema. El de referencia tiene dos métodos por técnica, así que la regla de 24 horas de Costigliola et al. (2017, p. 9017) ahorraría la idoneidad mucho más seguido que en un laboratorio real. El bloque de duraciones se cerró sin fijarla (generador de datos, sección 1.10), así que sigue pendiente decidir si cada método del catálogo se trata como una familia de métodos por producto, de modo que casi todos los ensayos de HPLC y GC la necesiten, o si se aplica la regla tal cual.</w:t>
      </w:r>
    </w:p>
    <w:p>
      <w:pPr>
        <w:pStyle w:val="ListParagraph"/>
        <w:numPr>
          <w:ilvl w:val="0"/>
          <w:numId w:val="2"/>
        </w:numPr>
        <w:spacing w:after="80" w:line="288"/>
      </w:pPr>
      <w:r>
        <w:rPr>
          <w:rFonts w:ascii="Times New Roman" w:cs="Times New Roman" w:eastAsia="Times New Roman" w:hAnsi="Times New Roman"/>
          <w:b/>
          <w:bCs/>
          <w:sz w:val="24"/>
          <w:szCs w:val="24"/>
        </w:rPr>
        <w:t xml:space="preserve">Calentamiento. </w:t>
      </w:r>
      <w:r>
        <w:rPr>
          <w:rFonts w:ascii="Times New Roman" w:cs="Times New Roman" w:eastAsia="Times New Roman" w:hAnsi="Times New Roman"/>
          <w:sz w:val="24"/>
          <w:szCs w:val="24"/>
        </w:rPr>
        <w:t xml:space="preserve">El laboratorio arranca vacío y, en los primeros días, las colas son más cortas que en régimen. El tiempo de ejecución no depende de la cola, pero los indicadores del O3 sí; el periodo que se descarta se fija con los escenarios de carga.</w:t>
      </w:r>
    </w:p>
    <w:p>
      <w:pPr>
        <w:pStyle w:val="Heading1"/>
        <w:keepNext/>
      </w:pPr>
      <w:r>
        <w:rPr>
          <w:rFonts w:ascii="Times New Roman" w:cs="Times New Roman" w:eastAsia="Times New Roman" w:hAnsi="Times New Roman"/>
          <w:b/>
          <w:bCs/>
          <w:sz w:val="26"/>
          <w:szCs w:val="26"/>
        </w:rPr>
        <w:t xml:space="preserve">2. Campos del registro</w:t>
      </w:r>
    </w:p>
    <w:p>
      <w:pPr>
        <w:keepNext/>
        <w:spacing w:after="120" w:before="0" w:line="288"/>
        <w:jc w:val="left"/>
      </w:pPr>
      <w:r>
        <w:rPr>
          <w:rFonts w:ascii="Times New Roman" w:cs="Times New Roman" w:eastAsia="Times New Roman" w:hAnsi="Times New Roman"/>
          <w:sz w:val="24"/>
          <w:szCs w:val="24"/>
        </w:rPr>
        <w:t xml:space="preserve">El registro tiene 51 campos, agrupados en 10 bloques (Tabla 7). Para cada campo, la hoja «Diccionario» del Excel de parámetros da el tipo, la unidad, los valores posibles, el momento en que se conoce (antes de la corrida, al llegar el registro, al asignarle analista y equipo, o al terminar), su papel en el O2, su origen y la regla que lo verifica; las tablas de esta sección salen de esa hoja. Los tiempos se miden en minutos, y los momentos, en minutos desde el lunes a las 0:00 en que empieza la corrida, que es también el primer día del calendario de turnos (diseño del laboratorio, sección 4).</w:t>
      </w:r>
    </w:p>
    <w:p>
      <w:pPr>
        <w:keepNext/>
        <w:spacing w:after="0" w:before="200" w:line="288"/>
        <w:jc w:val="left"/>
      </w:pPr>
      <w:r>
        <w:rPr>
          <w:rFonts w:ascii="Times New Roman" w:cs="Times New Roman" w:eastAsia="Times New Roman" w:hAnsi="Times New Roman"/>
          <w:b/>
          <w:bCs/>
          <w:sz w:val="24"/>
          <w:szCs w:val="24"/>
        </w:rPr>
        <w:t xml:space="preserve">Tabla 7</w:t>
      </w:r>
    </w:p>
    <w:p>
      <w:pPr>
        <w:keepNext/>
        <w:spacing w:after="80" w:before="0" w:line="288"/>
        <w:jc w:val="left"/>
      </w:pPr>
      <w:r>
        <w:rPr>
          <w:rFonts w:ascii="Times New Roman" w:cs="Times New Roman" w:eastAsia="Times New Roman" w:hAnsi="Times New Roman"/>
          <w:i/>
          <w:iCs/>
          <w:sz w:val="24"/>
          <w:szCs w:val="24"/>
        </w:rPr>
        <w:t xml:space="preserve">Bloques del registro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1900"/>
        <w:gridCol w:w="3654"/>
        <w:gridCol w:w="1300"/>
        <w:gridCol w:w="1700"/>
      </w:tblGrid>
      <w:tr>
        <w:trPr>
          <w:cantSplit/>
          <w:tblHeader/>
        </w:trPr>
        <w:tc>
          <w:tcPr>
            <w:tcW w:type="dxa" w:w="1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Bloque</w:t>
            </w:r>
          </w:p>
        </w:tc>
        <w:tc>
          <w:tcPr>
            <w:tcW w:type="dxa" w:w="36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Campos</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Se conocen</w:t>
            </w:r>
          </w:p>
        </w:tc>
        <w:tc>
          <w:tcPr>
            <w:tcW w:type="dxa" w:w="17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Para qué</w:t>
            </w:r>
          </w:p>
        </w:tc>
      </w:tr>
      <w:tr>
        <w:trPr>
          <w:cantSplit/>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Corrida</w:t>
            </w:r>
          </w:p>
        </w:tc>
        <w:tc>
          <w:tcPr>
            <w:tcW w:type="dxa" w:w="3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escenario, carga, semilla</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Antes de la corrida</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Estratos de evaluación e identificación de la corrida</w:t>
            </w:r>
          </w:p>
        </w:tc>
      </w:tr>
      <w:tr>
        <w:trPr>
          <w:cantSplit/>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Identificación</w:t>
            </w:r>
          </w:p>
        </w:tc>
        <w:tc>
          <w:tcPr>
            <w:tcW w:type="dxa" w:w="3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id_actividad, id_muestra, metodo, intento, id_actividad_origen, causa_repeticion, resultado</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 al terminar</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Clave y enlaces de las repeticiones (sección 1)</w:t>
            </w:r>
          </w:p>
        </w:tc>
      </w:tr>
      <w:tr>
        <w:trPr>
          <w:cantSplit/>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Muestra</w:t>
            </w:r>
          </w:p>
        </w:tc>
        <w:tc>
          <w:tcPr>
            <w:tcW w:type="dxa" w:w="3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tipo_muestra, prioridad, llegada_muestra, plazo_min, vencimiento</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Prioridad y plazo, para el O3</w:t>
            </w:r>
          </w:p>
        </w:tc>
      </w:tr>
      <w:tr>
        <w:trPr>
          <w:cantSplit/>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Ensayo</w:t>
            </w:r>
          </w:p>
        </w:tc>
        <w:tc>
          <w:tcPr>
            <w:tcW w:type="dxa" w:w="3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tecnica, complejidad, n_soluciones, calificacion_exigida, equipo_requerido</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Atributos del ensayo; predictores del O2</w:t>
            </w:r>
          </w:p>
        </w:tc>
      </w:tr>
      <w:tr>
        <w:trPr>
          <w:cantSplit/>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Tiempos de tres puntos</w:t>
            </w:r>
          </w:p>
        </w:tc>
        <w:tc>
          <w:tcPr>
            <w:tcW w:type="dxa" w:w="3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t_optimista, t_mas_probable, t_pesimista</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asignar</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Estimación de la duración y línea base del O2</w:t>
            </w:r>
          </w:p>
        </w:tc>
      </w:tr>
      <w:tr>
        <w:trPr>
          <w:cantSplit/>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Asignación</w:t>
            </w:r>
          </w:p>
        </w:tc>
        <w:tc>
          <w:tcPr>
            <w:tcW w:type="dxa" w:w="3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 nivel_analista, equipo, configuracion, idoneidad_ejecutada</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asignar</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Recurso que ejecuta el registro</w:t>
            </w:r>
          </w:p>
        </w:tc>
      </w:tr>
      <w:tr>
        <w:trPr>
          <w:cantSplit/>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Duración simulada</w:t>
            </w:r>
          </w:p>
        </w:tc>
        <w:tc>
          <w:tcPr>
            <w:tcW w:type="dxa" w:w="3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duracion_simulada, t_prep_sistema, t_idoneidad, t_preparacion, t_montaje, t_corrida, t_procesamiento</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Objetivo del O2 y sus partes</w:t>
            </w:r>
          </w:p>
        </w:tc>
      </w:tr>
      <w:tr>
        <w:trPr>
          <w:cantSplit/>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Tiempos de la corrida</w:t>
            </w:r>
          </w:p>
        </w:tc>
        <w:tc>
          <w:tcPr>
            <w:tcW w:type="dxa" w:w="3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llegada, inicio, fin, espera, pausas, tiempo_en_sistema, tardanza</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 al asignar; al terminar</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Espera, tiempo en el sistema y tardanza, para el O3</w:t>
            </w:r>
          </w:p>
        </w:tc>
      </w:tr>
      <w:tr>
        <w:trPr>
          <w:cantSplit/>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Banderas de perturbación</w:t>
            </w:r>
          </w:p>
        </w:tc>
        <w:tc>
          <w:tcPr>
            <w:tcW w:type="dxa" w:w="3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urgente, bandera_reanalisis, bandera_falla</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 al terminar</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Perturbaciones del alcance II</w:t>
            </w:r>
          </w:p>
        </w:tc>
      </w:tr>
      <w:tr>
        <w:trPr>
          <w:cantSplit/>
        </w:trPr>
        <w:tc>
          <w:tcPr>
            <w:tcW w:type="dxa" w:w="19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Combinaciones analista–equipo</w:t>
            </w:r>
          </w:p>
        </w:tc>
        <w:tc>
          <w:tcPr>
            <w:tcW w:type="dxa" w:w="36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analistas_calificados, equipos_compatibles, combinaciones_factibles, analistas_libres, equipos_libres, recurso_faltante</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7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Disponibilidad cruzada de recursos</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Hoja «Diccionario» del Excel de parámetros, que trae además la unidad, los valores, el origen y la regla de validación de cada campo.</w:t>
      </w:r>
    </w:p>
    <w:p>
      <w:pPr>
        <w:pStyle w:val="Heading2"/>
        <w:keepNext/>
      </w:pPr>
      <w:r>
        <w:rPr>
          <w:rFonts w:ascii="Times New Roman" w:cs="Times New Roman" w:eastAsia="Times New Roman" w:hAnsi="Times New Roman"/>
          <w:b/>
          <w:bCs/>
          <w:sz w:val="24"/>
          <w:szCs w:val="24"/>
        </w:rPr>
        <w:t xml:space="preserve">2.1 Corrida e identificación</w:t>
      </w:r>
    </w:p>
    <w:p>
      <w:pPr>
        <w:keepNext/>
        <w:spacing w:after="120" w:before="0" w:line="288"/>
        <w:jc w:val="left"/>
      </w:pPr>
      <w:r>
        <w:rPr>
          <w:rFonts w:ascii="Times New Roman" w:cs="Times New Roman" w:eastAsia="Times New Roman" w:hAnsi="Times New Roman"/>
          <w:sz w:val="24"/>
          <w:szCs w:val="24"/>
        </w:rPr>
        <w:t xml:space="preserve">Son los campos de la sección 1 más la carga, el multiplicador de la demanda del escenario (Tabla 8).</w:t>
      </w:r>
    </w:p>
    <w:p>
      <w:pPr>
        <w:keepNext/>
        <w:spacing w:after="0" w:before="200" w:line="288"/>
        <w:jc w:val="left"/>
      </w:pPr>
      <w:r>
        <w:rPr>
          <w:rFonts w:ascii="Times New Roman" w:cs="Times New Roman" w:eastAsia="Times New Roman" w:hAnsi="Times New Roman"/>
          <w:b/>
          <w:bCs/>
          <w:sz w:val="24"/>
          <w:szCs w:val="24"/>
        </w:rPr>
        <w:t xml:space="preserve">Tabla 8</w:t>
      </w:r>
    </w:p>
    <w:p>
      <w:pPr>
        <w:keepNext/>
        <w:spacing w:after="80" w:before="0" w:line="288"/>
        <w:jc w:val="left"/>
      </w:pPr>
      <w:r>
        <w:rPr>
          <w:rFonts w:ascii="Times New Roman" w:cs="Times New Roman" w:eastAsia="Times New Roman" w:hAnsi="Times New Roman"/>
          <w:i/>
          <w:iCs/>
          <w:sz w:val="24"/>
          <w:szCs w:val="24"/>
        </w:rPr>
        <w:t xml:space="preserve">Campos de la corrida y de identificación</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150"/>
        <w:gridCol w:w="2454"/>
        <w:gridCol w:w="1750"/>
        <w:gridCol w:w="900"/>
        <w:gridCol w:w="1300"/>
      </w:tblGrid>
      <w:tr>
        <w:trPr>
          <w:cantSplit/>
          <w:tblHeader/>
        </w:trPr>
        <w:tc>
          <w:tcPr>
            <w:tcW w:type="dxa" w:w="2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Campo</w:t>
            </w:r>
          </w:p>
        </w:tc>
        <w:tc>
          <w:tcPr>
            <w:tcW w:type="dxa" w:w="24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Qué es</w:t>
            </w:r>
          </w:p>
        </w:tc>
        <w:tc>
          <w:tcPr>
            <w:tcW w:type="dxa" w:w="17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Tipo y valores</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Se conoce</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Origen</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escenario</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Escenario de carga de la corrida.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Categoría. baja · base · alta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Antes de la corrida</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Hoja Demanda; escenarios.py</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carga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Multiplicador de la demanda del escenario.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0,7 · 1,0 · 1,5</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Antes de la corrida</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 Demanda</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semilla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Semilla de números aleatorios de la corrida.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Entero. Entero mayor o igual que 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Antes de la corrida</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escenarios.py</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id_actividad</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Muestra, método e intento, por ejemplo PT-000123-M02-1.</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Texto. No se repite en la corrida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Diccionario, sección 1</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id_muestra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Tipo de muestra y número consecutivo dentro de la corrida.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Texto. Tipo y seis dígitos, por ejemplo PT-000123</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Diccionario, sección 1</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metodo</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Método del catálogo.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Categoría. M01 a M12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 Catálogo</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intento</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 en la ejecución original; 2, 3… en las repeticiones.</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Entero. Entero mayor o igual que 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Diccionario, sección 1; S27</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id_actividad_origen</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Ejecución que se repite; vacío si el intento es 1.</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Texto. id_actividad del intento anterior</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Diccionario, sección 1; S27</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causa_repeticion</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 qué se repite la ejecución; vacío si el intento es 1.</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Categoría. reanálisis · falla de equipo</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S27</w:t>
            </w:r>
          </w:p>
        </w:tc>
      </w:tr>
      <w:tr>
        <w:trPr>
          <w:cantSplit/>
        </w:trPr>
        <w:tc>
          <w:tcPr>
            <w:tcW w:type="dxa" w:w="2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resultado</w:t>
            </w:r>
          </w:p>
        </w:tc>
        <w:tc>
          <w:tcPr>
            <w:tcW w:type="dxa" w:w="24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Cómo terminó la ejecución.</w:t>
            </w:r>
          </w:p>
        </w:tc>
        <w:tc>
          <w:tcPr>
            <w:tcW w:type="dxa" w:w="17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Categoría. cumple · fuera de especificación · interrumpido</w:t>
            </w:r>
          </w:p>
        </w:tc>
        <w:tc>
          <w:tcPr>
            <w:tcW w:type="dxa" w:w="9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S01 y S02</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cinco campos de la clave son escenario, semilla, id_muestra, metodo e intento (sección 1.4). S27: hoja «Supuestos».</w:t>
      </w:r>
    </w:p>
    <w:p>
      <w:pPr>
        <w:pStyle w:val="Heading2"/>
        <w:keepNext/>
      </w:pPr>
      <w:r>
        <w:rPr>
          <w:rFonts w:ascii="Times New Roman" w:cs="Times New Roman" w:eastAsia="Times New Roman" w:hAnsi="Times New Roman"/>
          <w:b/>
          <w:bCs/>
          <w:sz w:val="24"/>
          <w:szCs w:val="24"/>
        </w:rPr>
        <w:t xml:space="preserve">2.2 Muestra y ensayo</w:t>
      </w:r>
    </w:p>
    <w:p>
      <w:pPr>
        <w:keepNext/>
        <w:spacing w:after="120" w:before="0" w:line="288"/>
        <w:jc w:val="left"/>
      </w:pPr>
      <w:r>
        <w:rPr>
          <w:rFonts w:ascii="Times New Roman" w:cs="Times New Roman" w:eastAsia="Times New Roman" w:hAnsi="Times New Roman"/>
          <w:sz w:val="24"/>
          <w:szCs w:val="24"/>
        </w:rPr>
        <w:t xml:space="preserve">Los campos de la muestra se repiten en todos sus registros (Tabla 9). La prioridad es la del tipo de muestra, salvo en las urgentes, que tienen la máxima. El plazo se guarda en minutos: 240 en el control en proceso y en las urgentes, cuyo plazo pasa a ser el del control en proceso (S03), y, en los demás tipos, el tiempo que hay hasta la misma hora del día hábil en que vence (S06). Así, una muestra de producto terminado que llega el martes a las 8:10 vence el jueves a la misma hora, y una de granel que llega un viernes vence el lunes. Los campos del ensayo salen del catálogo, salvo el número de soluciones, que se sortea en el rango de la complejidad del método (S08).</w:t>
      </w:r>
    </w:p>
    <w:p>
      <w:pPr>
        <w:keepNext/>
        <w:spacing w:after="0" w:before="200" w:line="288"/>
        <w:jc w:val="left"/>
      </w:pPr>
      <w:r>
        <w:rPr>
          <w:rFonts w:ascii="Times New Roman" w:cs="Times New Roman" w:eastAsia="Times New Roman" w:hAnsi="Times New Roman"/>
          <w:b/>
          <w:bCs/>
          <w:sz w:val="24"/>
          <w:szCs w:val="24"/>
        </w:rPr>
        <w:t xml:space="preserve">Tabla 9</w:t>
      </w:r>
    </w:p>
    <w:p>
      <w:pPr>
        <w:keepNext/>
        <w:spacing w:after="80" w:before="0" w:line="288"/>
        <w:jc w:val="left"/>
      </w:pPr>
      <w:r>
        <w:rPr>
          <w:rFonts w:ascii="Times New Roman" w:cs="Times New Roman" w:eastAsia="Times New Roman" w:hAnsi="Times New Roman"/>
          <w:i/>
          <w:iCs/>
          <w:sz w:val="24"/>
          <w:szCs w:val="24"/>
        </w:rPr>
        <w:t xml:space="preserve">Campos de la muestra y del ensayo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150"/>
        <w:gridCol w:w="2454"/>
        <w:gridCol w:w="1750"/>
        <w:gridCol w:w="900"/>
        <w:gridCol w:w="1300"/>
      </w:tblGrid>
      <w:tr>
        <w:trPr>
          <w:cantSplit/>
          <w:tblHeader/>
        </w:trPr>
        <w:tc>
          <w:tcPr>
            <w:tcW w:type="dxa" w:w="2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Campo</w:t>
            </w:r>
          </w:p>
        </w:tc>
        <w:tc>
          <w:tcPr>
            <w:tcW w:type="dxa" w:w="24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Qué es</w:t>
            </w:r>
          </w:p>
        </w:tc>
        <w:tc>
          <w:tcPr>
            <w:tcW w:type="dxa" w:w="17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Tipo y valores</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Se conoce</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Origen</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tipo_muestra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Tipo de la muestra.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Categoría. MP · IN · GR · PT · ES</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Hoja Tipos de muestra</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prioridad</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Prioridad de la muestra; 1 es la más alta.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Entero. 1 a 5; 1 si la muestra es urgente</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 Tipos de muestra; S03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llegada_muestra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Momento en que llega la muestra.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Minutos desde el lunes a las 0:00 en que empieza la corrida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S10</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plazo_min</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Tiempo entre la llegada de la muestra y su vencimiento.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240 en control en proceso y urgentes; en los demás, los días hábiles del tipo</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S06 y S03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vencimiento</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Momento en que vence la muestra: llegada_muestra + plazo_min.</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que llegada_muestra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S06</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tecnica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Técnica del método.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Categoría. HPLC · GC · PSA · KF · DSC · XRPD</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 Catálogo</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complejidad</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Complejidad del método.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Categoría. baja · media · alta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 Catálogo; S11</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n_soluciones</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Soluciones que hay que preparar, sorteadas en el rango de la complejidad del método.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Entero. 1–2, 3–4 o 5–6</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S08</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calificacion_exigida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Nivel mínimo que debe tener el analista.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Categoría. júnior · intermedio · sénior</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S12</w:t>
            </w:r>
          </w:p>
        </w:tc>
      </w:tr>
      <w:tr>
        <w:trPr>
          <w:cantSplit/>
        </w:trPr>
        <w:tc>
          <w:tcPr>
            <w:tcW w:type="dxa" w:w="2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equipo_requerido</w:t>
            </w:r>
          </w:p>
        </w:tc>
        <w:tc>
          <w:tcPr>
            <w:tcW w:type="dxa" w:w="24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Configuraciones de equipo compatibles con el método.</w:t>
            </w:r>
          </w:p>
        </w:tc>
        <w:tc>
          <w:tcPr>
            <w:tcW w:type="dxa" w:w="17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Texto. Códigos de la hoja Equipos separados por «|»</w:t>
            </w:r>
          </w:p>
        </w:tc>
        <w:tc>
          <w:tcPr>
            <w:tcW w:type="dxa" w:w="9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 Equipos; S22</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urgencia de la muestra está con las banderas de perturbación (Tabla 12). Los supuestos están en la hoja «Supuestos».</w:t>
      </w:r>
    </w:p>
    <w:p>
      <w:pPr>
        <w:pStyle w:val="Heading2"/>
        <w:keepNext/>
      </w:pPr>
      <w:r>
        <w:rPr>
          <w:rFonts w:ascii="Times New Roman" w:cs="Times New Roman" w:eastAsia="Times New Roman" w:hAnsi="Times New Roman"/>
          <w:b/>
          <w:bCs/>
          <w:sz w:val="24"/>
          <w:szCs w:val="24"/>
        </w:rPr>
        <w:t xml:space="preserve">2.3 Tiempos de tres puntos y duración simulada</w:t>
      </w:r>
    </w:p>
    <w:p>
      <w:pPr>
        <w:spacing w:after="120" w:before="0" w:line="288"/>
        <w:jc w:val="left"/>
      </w:pPr>
      <w:r>
        <w:rPr>
          <w:rFonts w:ascii="Times New Roman" w:cs="Times New Roman" w:eastAsia="Times New Roman" w:hAnsi="Times New Roman"/>
          <w:sz w:val="24"/>
          <w:szCs w:val="24"/>
        </w:rPr>
        <w:t xml:space="preserve">La duración simulada sigue el flujo de tareas de Costigliola et al. (2017): el analista prepara el sistema y monta el equipo, el equipo corre la idoneidad del sistema mientras el analista prepara el análisis, y después vienen la corrida y el procesamiento de datos (p. 9016, Fig. 1, y p. 9017, Fig. 3). Por eso la idoneidad y la preparación del análisis cuentan en paralelo: duracion_simulada = t_prep_sistema + t_montaje + máx(t_idoneidad, t_preparacion) + t_corrida + t_procesamiento (Tabla 10). Las tareas del analista se multiplican por el factor de su nivel: 0,90 en el sénior, 1,00 en el intermedio y 1,15 en el júnior (supuesto S07). La idoneidad y la corrida, que hace el equipo, no.</w:t>
      </w:r>
    </w:p>
    <w:p>
      <w:pPr>
        <w:spacing w:after="120" w:before="0" w:line="288"/>
        <w:jc w:val="left"/>
      </w:pPr>
      <w:r>
        <w:rPr>
          <w:rFonts w:ascii="Times New Roman" w:cs="Times New Roman" w:eastAsia="Times New Roman" w:hAnsi="Times New Roman"/>
          <w:sz w:val="24"/>
          <w:szCs w:val="24"/>
        </w:rPr>
        <w:t xml:space="preserve">Los tiempos de tres puntos son esa misma suma con el mínimo, la moda o el máximo de cada tarea, para un analista intermedio, cuyo factor es 1. La preparación del análisis es el tiempo por solución por el número de soluciones (Costigliola et al., 2017, p. 9019). En HPLC y GC la corrida va del 80 % al 120 % de la moda del método (S05 y S14); en las demás técnicas ocupa el tramo del método (S15), y su valor más probable es el punto de mayor densidad de la distribución de la técnica dentro del tramo, o el punto medio en DSC, cuya distribución es uniforme. Para PT-000123-M02-1 (sustancias relacionadas por HPLC, con 4 soluciones y sin alistamiento), el tiempo optimista es 4 × 5 + 25 + 124,6 + 2 = 171,6 minutos; el más probable, 4 × 40 + 50 + 155,7 + 5 = 370,7, y el pesimista, 4 × 100 + 65 + 186,9 + 10 = 661,9.</w:t>
      </w:r>
    </w:p>
    <w:p>
      <w:pPr>
        <w:keepNext/>
        <w:spacing w:after="120" w:before="0" w:line="288"/>
        <w:jc w:val="left"/>
      </w:pPr>
      <w:r>
        <w:rPr>
          <w:rFonts w:ascii="Times New Roman" w:cs="Times New Roman" w:eastAsia="Times New Roman" w:hAnsi="Times New Roman"/>
          <w:sz w:val="24"/>
          <w:szCs w:val="24"/>
        </w:rPr>
        <w:t xml:space="preserve">Cuando la ejecución termina, la duración simulada queda entre el tiempo optimista y el pesimista, corregidos por el factor del analista: nunca baja del 90 % del optimista con un sénior ni pasa del 115 % del pesimista con un júnior. La preparación y la idoneidad del sistema solo entran cuando el registro las necesita (idoneidad_ejecutada); sus tres puntos siguen pendientes y, mientras tanto, valen cero (generador de datos, secciones 1.7 y 1.10). Una repetición rehace todas las tareas (S27) y tiene los mismos tres puntos que la ejecución original, salvo que cambie idoneidad_ejecutada, porque el alistamiento solo entra cuando el equipo lo necesita.</w:t>
      </w:r>
    </w:p>
    <w:p>
      <w:pPr>
        <w:keepNext/>
        <w:spacing w:after="0" w:before="200" w:line="288"/>
        <w:jc w:val="left"/>
      </w:pPr>
      <w:r>
        <w:rPr>
          <w:rFonts w:ascii="Times New Roman" w:cs="Times New Roman" w:eastAsia="Times New Roman" w:hAnsi="Times New Roman"/>
          <w:b/>
          <w:bCs/>
          <w:sz w:val="24"/>
          <w:szCs w:val="24"/>
        </w:rPr>
        <w:t xml:space="preserve">Tabla 10</w:t>
      </w:r>
    </w:p>
    <w:p>
      <w:pPr>
        <w:keepNext/>
        <w:spacing w:after="80" w:before="0" w:line="288"/>
        <w:jc w:val="left"/>
      </w:pPr>
      <w:r>
        <w:rPr>
          <w:rFonts w:ascii="Times New Roman" w:cs="Times New Roman" w:eastAsia="Times New Roman" w:hAnsi="Times New Roman"/>
          <w:i/>
          <w:iCs/>
          <w:sz w:val="24"/>
          <w:szCs w:val="24"/>
        </w:rPr>
        <w:t xml:space="preserve">Tiempos de tres puntos y duración simulada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150"/>
        <w:gridCol w:w="2454"/>
        <w:gridCol w:w="1750"/>
        <w:gridCol w:w="900"/>
        <w:gridCol w:w="1300"/>
      </w:tblGrid>
      <w:tr>
        <w:trPr>
          <w:cantSplit/>
          <w:tblHeader/>
        </w:trPr>
        <w:tc>
          <w:tcPr>
            <w:tcW w:type="dxa" w:w="2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Campo</w:t>
            </w:r>
          </w:p>
        </w:tc>
        <w:tc>
          <w:tcPr>
            <w:tcW w:type="dxa" w:w="24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Qué es</w:t>
            </w:r>
          </w:p>
        </w:tc>
        <w:tc>
          <w:tcPr>
            <w:tcW w:type="dxa" w:w="17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Tipo y valores</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Se conoce</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Origen</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t_optimista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Tiempo de ejecución con el mínimo de cada tarea, para un analista intermedio.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Real, min. Mayor que 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Al asignar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Hojas Duraciones y Catálogo</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t_mas_probable</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Tiempo de ejecución con la moda de cada tarea, para un analista intermedio.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Entre t_optimista y t_pesimista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asignar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Hojas Duraciones y Catálogo</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t_pesimista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Tiempo de ejecución con el máximo de cada tarea, para un analista intermedio.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o igual que t_mas_probable</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asignar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Hojas Duraciones y Catálogo</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duracion_simulada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Tiempo de ejecución: t_prep_sistema + t_montaje + máx(t_idoneidad, t_preparacion) + t_corrida + t_procesamiento.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Si la ejecución terminó, entre los tiempos optimista y pesimista corregidos por el factor del analista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Diccionario, sección 1; Costigliola et al. (2017, pp. 9016–9017)</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t_prep_sistema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Preparación del sistema (analista).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0 si el equipo no necesitó idoneidad</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Costigliola et al. (2017, p. 9019)</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t_idoneidad</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Idoneidad del sistema (equipo), en paralelo con la preparación del análisis.</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0 si el equipo no necesitó idoneidad</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Costigliola et al. (2017, p. 9017)</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t_preparacion</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Preparación del análisis: tiempo por solución × n_soluciones (analista).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o igual que 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Costigliola et al. (2017, p. 9019)</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t_montaje</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Montaje del equipo (analista).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o igual que 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Costigliola et al. (2017, p. 9016)</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t_corrida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Corrida analítica (equipo).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o igual que 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 Catálogo; S05, S14 y S15</w:t>
            </w:r>
          </w:p>
        </w:tc>
      </w:tr>
      <w:tr>
        <w:trPr>
          <w:cantSplit/>
        </w:trPr>
        <w:tc>
          <w:tcPr>
            <w:tcW w:type="dxa" w:w="2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t_procesamiento</w:t>
            </w:r>
          </w:p>
        </w:tc>
        <w:tc>
          <w:tcPr>
            <w:tcW w:type="dxa" w:w="24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Procesamiento de datos, con la revisión (analista).</w:t>
            </w:r>
          </w:p>
        </w:tc>
        <w:tc>
          <w:tcPr>
            <w:tcW w:type="dxa" w:w="17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o igual que 0</w:t>
            </w:r>
          </w:p>
        </w:tc>
        <w:tc>
          <w:tcPr>
            <w:tcW w:type="dxa" w:w="9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Costigliola et al. (2017, p. 9016); S09</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Analista: preparación del sistema, montaje, preparación del análisis y procesamiento de datos. Equipo: idoneidad y corrida (Costigliola et al., 2017, p. 9016, Fig. 1).</w:t>
      </w:r>
    </w:p>
    <w:p>
      <w:pPr>
        <w:pStyle w:val="Heading2"/>
        <w:keepNext/>
      </w:pPr>
      <w:r>
        <w:rPr>
          <w:rFonts w:ascii="Times New Roman" w:cs="Times New Roman" w:eastAsia="Times New Roman" w:hAnsi="Times New Roman"/>
          <w:b/>
          <w:bCs/>
          <w:sz w:val="24"/>
          <w:szCs w:val="24"/>
        </w:rPr>
        <w:t xml:space="preserve">2.4 Asignación y tiempos de la corrida</w:t>
      </w:r>
    </w:p>
    <w:p>
      <w:pPr>
        <w:keepNext/>
        <w:spacing w:after="120" w:before="0" w:line="288"/>
        <w:jc w:val="left"/>
      </w:pPr>
      <w:r>
        <w:rPr>
          <w:rFonts w:ascii="Times New Roman" w:cs="Times New Roman" w:eastAsia="Times New Roman" w:hAnsi="Times New Roman"/>
          <w:sz w:val="24"/>
          <w:szCs w:val="24"/>
        </w:rPr>
        <w:t xml:space="preserve">Cada registro tiene un solo analista, que hace todas sus tareas, y una sola unidad de equipo (sección 1). El nivel del analista y la configuración del equipo son predictores; su identidad no, porque el nivel ya resume su efecto. El campo idoneidad_ejecutada dice si el equipo necesitó alistarse para el método, lo que solo pasa en HPLC y GC. Los tiempos de la corrida son las medidas de la Tabla 2 con sus identidades: espera = inicio − llegada, pausas = fin − inicio − duración, tiempo en el sistema = fin − llegada y tardanza = máx(0, fin − vencimiento) (Tabla 11).</w:t>
      </w:r>
    </w:p>
    <w:p>
      <w:pPr>
        <w:keepNext/>
        <w:spacing w:after="0" w:before="200" w:line="288"/>
        <w:jc w:val="left"/>
      </w:pPr>
      <w:r>
        <w:rPr>
          <w:rFonts w:ascii="Times New Roman" w:cs="Times New Roman" w:eastAsia="Times New Roman" w:hAnsi="Times New Roman"/>
          <w:b/>
          <w:bCs/>
          <w:sz w:val="24"/>
          <w:szCs w:val="24"/>
        </w:rPr>
        <w:t xml:space="preserve">Tabla 11</w:t>
      </w:r>
    </w:p>
    <w:p>
      <w:pPr>
        <w:keepNext/>
        <w:spacing w:after="80" w:before="0" w:line="288"/>
        <w:jc w:val="left"/>
      </w:pPr>
      <w:r>
        <w:rPr>
          <w:rFonts w:ascii="Times New Roman" w:cs="Times New Roman" w:eastAsia="Times New Roman" w:hAnsi="Times New Roman"/>
          <w:i/>
          <w:iCs/>
          <w:sz w:val="24"/>
          <w:szCs w:val="24"/>
        </w:rPr>
        <w:t xml:space="preserve">Campos de la asignación y tiempos de la corrida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150"/>
        <w:gridCol w:w="2454"/>
        <w:gridCol w:w="1750"/>
        <w:gridCol w:w="900"/>
        <w:gridCol w:w="1300"/>
      </w:tblGrid>
      <w:tr>
        <w:trPr>
          <w:cantSplit/>
          <w:tblHeader/>
        </w:trPr>
        <w:tc>
          <w:tcPr>
            <w:tcW w:type="dxa" w:w="2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Campo</w:t>
            </w:r>
          </w:p>
        </w:tc>
        <w:tc>
          <w:tcPr>
            <w:tcW w:type="dxa" w:w="24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Qué es</w:t>
            </w:r>
          </w:p>
        </w:tc>
        <w:tc>
          <w:tcPr>
            <w:tcW w:type="dxa" w:w="17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Tipo y valores</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Se conoce</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Origen</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analista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Analista que hace todas las tareas del registro.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Categoría. A01 a A20, calificado en el método</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Al asignar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Hoja Analistas; Martins et al. (2023, p. 183)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nivel_analista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Nivel del analista asignado; fija el factor de sus tareas.</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Categoría. júnior · intermedio · sénior; no menor que calificacion_exigida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asignar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 Analistas; S07 y S19</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Unidad de equipo asignada.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Texto. Configuración y número, por ejemplo HPLC-G04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asignar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 Equipos</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configuracion</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Configuración del equipo asignado.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Categoría. Una de las de equipo_requerido</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asignar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 Equipos</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idoneidad_ejecutada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El equipo necesitó preparación e idoneidad del sistema para este registro.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Booleano. Solo en HPLC y GC</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asignar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Costigliola et al. (2017, p. 9017)</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llegada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Llegada del registro: la de su muestra o, en una repetición, el fin de la ejecución que se repite.</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o igual que llegada_muestra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Diccionario, sección 1</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inicio</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Inicio de la primera tarea.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o igual que llegada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asignar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Generador</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fin</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Fin de la última tarea o de la interrupción.</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o igual que inicio + duracion_simulada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Generador</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espera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Espera en cola: inicio − llegada.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o igual que 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asignar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Diccionario, sección 1</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pausas</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Pausas internas: fin − inicio − duracion_simulada.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o igual que 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Diccionario, sección 1</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tiempo_en_sistema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Tiempo en el sistema: fin − llegada.</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o igual que duracion_simulada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Diccionario, sección 1; Costigliola et al. (2017, p. 9018)</w:t>
            </w:r>
          </w:p>
        </w:tc>
      </w:tr>
      <w:tr>
        <w:trPr>
          <w:cantSplit/>
        </w:trPr>
        <w:tc>
          <w:tcPr>
            <w:tcW w:type="dxa" w:w="2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tardanza</w:t>
            </w:r>
          </w:p>
        </w:tc>
        <w:tc>
          <w:tcPr>
            <w:tcW w:type="dxa" w:w="24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máx(0, fin − vencimiento); 0 si se cumplió el plazo.</w:t>
            </w:r>
          </w:p>
        </w:tc>
        <w:tc>
          <w:tcPr>
            <w:tcW w:type="dxa" w:w="17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o igual que 0</w:t>
            </w:r>
          </w:p>
        </w:tc>
        <w:tc>
          <w:tcPr>
            <w:tcW w:type="dxa" w:w="9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WHO (2024, s. 4.15, p. 165)</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momentos (llegada, inicio y fin) van en minutos desde el lunes a las 0:00 en que empieza la corrida. WHO = World Health Organization.</w:t>
      </w:r>
    </w:p>
    <w:p>
      <w:pPr>
        <w:pStyle w:val="Heading2"/>
        <w:keepNext/>
      </w:pPr>
      <w:r>
        <w:rPr>
          <w:rFonts w:ascii="Times New Roman" w:cs="Times New Roman" w:eastAsia="Times New Roman" w:hAnsi="Times New Roman"/>
          <w:b/>
          <w:bCs/>
          <w:sz w:val="24"/>
          <w:szCs w:val="24"/>
        </w:rPr>
        <w:t xml:space="preserve">2.5 Banderas de perturbación y combinaciones analista–equipo</w:t>
      </w:r>
    </w:p>
    <w:p>
      <w:pPr>
        <w:spacing w:after="120" w:before="0" w:line="288"/>
        <w:jc w:val="left"/>
      </w:pPr>
      <w:r>
        <w:rPr>
          <w:rFonts w:ascii="Times New Roman" w:cs="Times New Roman" w:eastAsia="Times New Roman" w:hAnsi="Times New Roman"/>
          <w:sz w:val="24"/>
          <w:szCs w:val="24"/>
        </w:rPr>
        <w:t xml:space="preserve">Hay una bandera por cada perturbación del alcance II del anteproyecto: urgente, para las actividades no planificadas (S03); bandera_reanalisis, para el reanálisis (S01), y bandera_falla, para la indisponibilidad de equipos (S02). Las dos últimas repiten, en una forma más fácil de filtrar, lo que dicen causa_repeticion y resultado, y la regla de validación comprueba que coincidan.</w:t>
      </w:r>
    </w:p>
    <w:p>
      <w:pPr>
        <w:keepNext/>
        <w:spacing w:after="120" w:before="0" w:line="288"/>
        <w:jc w:val="left"/>
      </w:pPr>
      <w:r>
        <w:rPr>
          <w:rFonts w:ascii="Times New Roman" w:cs="Times New Roman" w:eastAsia="Times New Roman" w:hAnsi="Times New Roman"/>
          <w:sz w:val="24"/>
          <w:szCs w:val="24"/>
        </w:rPr>
        <w:t xml:space="preserve">Las combinaciones analista–equipo se guardan de dos maneras (Tabla 12). Las factibles salen de las matrices de calificación y compatibilidad, y son las mismas que resume el diseño del laboratorio (sección 3.3). Las libres se cuentan cuando llega el registro: un analista cuenta si está en turno y sin una tarea en curso, y un equipo, si está en servicio y sin uso, porque un analista disponible no genera capacidad efectiva si el equipo está en uso, en mantenimiento o fuera de servicio (anteproyecto, §6.1.3). El campo recurso_faltante resume si faltaba un analista, un equipo o ambos, y con él se calcula el porcentaje de actividades restringidas por falta de alguno de los recursos.</w:t>
      </w:r>
    </w:p>
    <w:p>
      <w:pPr>
        <w:keepNext/>
        <w:spacing w:after="0" w:before="200" w:line="288"/>
        <w:jc w:val="left"/>
      </w:pPr>
      <w:r>
        <w:rPr>
          <w:rFonts w:ascii="Times New Roman" w:cs="Times New Roman" w:eastAsia="Times New Roman" w:hAnsi="Times New Roman"/>
          <w:b/>
          <w:bCs/>
          <w:sz w:val="24"/>
          <w:szCs w:val="24"/>
        </w:rPr>
        <w:t xml:space="preserve">Tabla 12</w:t>
      </w:r>
    </w:p>
    <w:p>
      <w:pPr>
        <w:keepNext/>
        <w:spacing w:after="80" w:before="0" w:line="288"/>
        <w:jc w:val="left"/>
      </w:pPr>
      <w:r>
        <w:rPr>
          <w:rFonts w:ascii="Times New Roman" w:cs="Times New Roman" w:eastAsia="Times New Roman" w:hAnsi="Times New Roman"/>
          <w:i/>
          <w:iCs/>
          <w:sz w:val="24"/>
          <w:szCs w:val="24"/>
        </w:rPr>
        <w:t xml:space="preserve">Banderas de perturbación y combinaciones analista–equipo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150"/>
        <w:gridCol w:w="2454"/>
        <w:gridCol w:w="1750"/>
        <w:gridCol w:w="900"/>
        <w:gridCol w:w="1300"/>
      </w:tblGrid>
      <w:tr>
        <w:trPr>
          <w:cantSplit/>
          <w:tblHeader/>
        </w:trPr>
        <w:tc>
          <w:tcPr>
            <w:tcW w:type="dxa" w:w="2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Campo</w:t>
            </w:r>
          </w:p>
        </w:tc>
        <w:tc>
          <w:tcPr>
            <w:tcW w:type="dxa" w:w="24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Qué es</w:t>
            </w:r>
          </w:p>
        </w:tc>
        <w:tc>
          <w:tcPr>
            <w:tcW w:type="dxa" w:w="17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Tipo y valores</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Se conoce</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Origen</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urgente</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La muestra llegó sin aviso, con prioridad máxima y el plazo del control en proceso.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Booleano. Solo en MP, GR y PT</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S03; Coito et al. (2021, p. 65)</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bandera_reanalisis</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El registro es un reanálisis o salió fuera de especificación.</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Booleano. Coincide con causa_repeticion y resultado</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S01 y S13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bandera_falla</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Una falla del equipo interrumpió el registro, o el registro repite uno interrumpido.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Booleano. Coincide con causa_repeticion y resultado</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terminar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S02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analistas_calificados</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Analistas del laboratorio calificados en el método.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Entero. Mayor o igual que 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 Analistas</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equipos_compatibles</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Unidades de equipo compatibles con el método.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Entero. Mayor o igual que 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Hoja Equipos</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combinaciones_factibles</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analistas_calificados × equipos_compatibles.</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Entero. Mayor o igual que 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Diseño del laboratorio, sección 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analistas_libres</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Analistas calificados en turno y sin una tarea en curso cuando llega el registro.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Entero. De 0 a analistas_calificados</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Generador; S23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equipos_libres</w:t>
            </w:r>
          </w:p>
        </w:tc>
        <w:tc>
          <w:tcPr>
            <w:tcW w:type="dxa" w:w="24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Equipos compatibles en servicio y sin uso cuando llega el registro.</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Entero. De 0 a equipos_compatibles</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Generador; S02 y S26</w:t>
            </w:r>
          </w:p>
        </w:tc>
      </w:tr>
      <w:tr>
        <w:trPr>
          <w:cantSplit/>
        </w:trPr>
        <w:tc>
          <w:tcPr>
            <w:tcW w:type="dxa" w:w="2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recurso_faltante</w:t>
            </w:r>
          </w:p>
        </w:tc>
        <w:tc>
          <w:tcPr>
            <w:tcW w:type="dxa" w:w="24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Qué faltaba cuando llegó el registro.</w:t>
            </w:r>
          </w:p>
        </w:tc>
        <w:tc>
          <w:tcPr>
            <w:tcW w:type="dxa" w:w="17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Categoría. ninguno · analista · equipo · ambos</w:t>
            </w:r>
          </w:p>
        </w:tc>
        <w:tc>
          <w:tcPr>
            <w:tcW w:type="dxa" w:w="9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Al llegar</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Anteproyecto, §6.1.3</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supuestos están en la hoja «Supuestos»; las combinaciones factibles de cada método, en la hoja «Calibración de recursos».</w:t>
      </w:r>
    </w:p>
    <w:p>
      <w:pPr>
        <w:pStyle w:val="Heading2"/>
        <w:keepNext/>
      </w:pPr>
      <w:r>
        <w:rPr>
          <w:rFonts w:ascii="Times New Roman" w:cs="Times New Roman" w:eastAsia="Times New Roman" w:hAnsi="Times New Roman"/>
          <w:b/>
          <w:bCs/>
          <w:sz w:val="24"/>
          <w:szCs w:val="24"/>
        </w:rPr>
        <w:t xml:space="preserve">2.6 Un registro completo</w:t>
      </w:r>
    </w:p>
    <w:p>
      <w:pPr>
        <w:keepNext/>
        <w:spacing w:after="120" w:before="0" w:line="288"/>
        <w:jc w:val="left"/>
      </w:pPr>
      <w:r>
        <w:rPr>
          <w:rFonts w:ascii="Times New Roman" w:cs="Times New Roman" w:eastAsia="Times New Roman" w:hAnsi="Times New Roman"/>
          <w:sz w:val="24"/>
          <w:szCs w:val="24"/>
        </w:rPr>
        <w:t xml:space="preserve">La Tabla 13 trae los 51 campos del primer registro del ejemplo de la Tabla 4. La muestra llegó el martes a las 8:10, y el ensayo esperó 30 minutos porque en ese momento ningún analista calificado en sustancias relacionadas estaba libre (recurso_faltante = analista). Su reanálisis, PT-000123-M02-2, llegó a las 14:39, cuando terminó esta ejecución; lo hizo un analista sénior, cuyo factor es 0,90, y duró 313,8 minutos.</w:t>
      </w:r>
    </w:p>
    <w:p>
      <w:pPr>
        <w:keepNext/>
        <w:spacing w:after="0" w:before="200" w:line="288"/>
        <w:jc w:val="left"/>
      </w:pPr>
      <w:r>
        <w:rPr>
          <w:rFonts w:ascii="Times New Roman" w:cs="Times New Roman" w:eastAsia="Times New Roman" w:hAnsi="Times New Roman"/>
          <w:b/>
          <w:bCs/>
          <w:sz w:val="24"/>
          <w:szCs w:val="24"/>
        </w:rPr>
        <w:t xml:space="preserve">Tabla 13</w:t>
      </w:r>
    </w:p>
    <w:p>
      <w:pPr>
        <w:keepNext/>
        <w:spacing w:after="80" w:before="0" w:line="288"/>
        <w:jc w:val="left"/>
      </w:pPr>
      <w:r>
        <w:rPr>
          <w:rFonts w:ascii="Times New Roman" w:cs="Times New Roman" w:eastAsia="Times New Roman" w:hAnsi="Times New Roman"/>
          <w:i/>
          <w:iCs/>
          <w:sz w:val="24"/>
          <w:szCs w:val="24"/>
        </w:rPr>
        <w:t xml:space="preserve">Ejemplo: el registro PT-000123-M02-1, campo por campo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150"/>
        <w:gridCol w:w="2127"/>
        <w:gridCol w:w="2150"/>
        <w:gridCol w:w="2127"/>
      </w:tblGrid>
      <w:tr>
        <w:trPr>
          <w:cantSplit/>
          <w:tblHeader/>
        </w:trPr>
        <w:tc>
          <w:tcPr>
            <w:tcW w:type="dxa" w:w="2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Campo</w:t>
            </w:r>
          </w:p>
        </w:tc>
        <w:tc>
          <w:tcPr>
            <w:tcW w:type="dxa" w:w="2127"/>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Valor</w:t>
            </w:r>
          </w:p>
        </w:tc>
        <w:tc>
          <w:tcPr>
            <w:tcW w:type="dxa" w:w="2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Campo</w:t>
            </w:r>
          </w:p>
        </w:tc>
        <w:tc>
          <w:tcPr>
            <w:tcW w:type="dxa" w:w="2127"/>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Valor</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escenario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base</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configuracion</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HPLC-G</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carga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1,0</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idoneidad_ejecutada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no</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semilla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2026</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duracion_simulada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359,2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id_actividad</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PT-000123-M02-1</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t_prep_sistema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0,0</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id_muestra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PT-000123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t_idoneidad</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0,0</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metodo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M02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t_preparacion</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148,0</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intento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t_montaje</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47,0</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id_actividad_origen</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(vacío)</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t_corrida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158,2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causa_repeticion</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(vacío)</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t_procesamiento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6,0</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resultado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fuera de especificación</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llegada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1 930,0 (mar. 8:10)</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tipo_muestra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PT</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inicio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1 960,0 (mar. 8:40)</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prioridad</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fin</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2 319,2 (mar. 14:39)</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llegada_muestra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1 930,0 (mar. 8:10)</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espera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30,0</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plazo_min</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2 880,0</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pausas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0,0</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vencimiento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4 810,0 (jue. 8:10)</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tiempo_en_sistema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389,2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tecnica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HPLC</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tardanza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0,0</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complejidad</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media</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urgente</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no</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n_soluciones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4</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bandera_reanalisis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sí</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calificacion_exigida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intermedio</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bandera_falla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no</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equipo_requerido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HPLC-G</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analistas_calificados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11</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t_optimista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171,6</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equipos_compatibles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15</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t_mas_probable</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370,7</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combinaciones_factibles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165</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t_pesimista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661,9</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analistas_libres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0</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A03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equipos_libres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nivel_analista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intermedio</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recurso_faltante</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w:t>
            </w:r>
          </w:p>
        </w:tc>
      </w:tr>
      <w:tr>
        <w:trPr>
          <w:cantSplit/>
        </w:trPr>
        <w:tc>
          <w:tcPr>
            <w:tcW w:type="dxa" w:w="2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w:t>
            </w:r>
          </w:p>
        </w:tc>
        <w:tc>
          <w:tcPr>
            <w:tcW w:type="dxa" w:w="2127"/>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HPLC-G04</w:t>
            </w:r>
          </w:p>
        </w:tc>
        <w:tc>
          <w:tcPr>
            <w:tcW w:type="dxa" w:w="2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
            </w:r>
          </w:p>
        </w:tc>
        <w:tc>
          <w:tcPr>
            <w:tcW w:type="dxa" w:w="2127"/>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momentos van en minutos desde el lunes a las 0:00 en que empieza la corrida, con el día y la hora entre paréntesis. Los registros completos del ejemplo están en src/generador/registro.py (ejemplo_del_diccionario).</w:t>
      </w:r>
    </w:p>
    <w:p>
      <w:pPr>
        <w:pStyle w:val="Heading2"/>
        <w:keepNext/>
      </w:pPr>
      <w:r>
        <w:rPr>
          <w:rFonts w:ascii="Times New Roman" w:cs="Times New Roman" w:eastAsia="Times New Roman" w:hAnsi="Times New Roman"/>
          <w:b/>
          <w:bCs/>
          <w:sz w:val="24"/>
          <w:szCs w:val="24"/>
        </w:rPr>
        <w:t xml:space="preserve">2.7 Qué puede usar el O2</w:t>
      </w:r>
    </w:p>
    <w:p>
      <w:pPr>
        <w:spacing w:after="120" w:before="0" w:line="288"/>
        <w:jc w:val="left"/>
      </w:pPr>
      <w:r>
        <w:rPr>
          <w:rFonts w:ascii="Times New Roman" w:cs="Times New Roman" w:eastAsia="Times New Roman" w:hAnsi="Times New Roman"/>
          <w:sz w:val="24"/>
          <w:szCs w:val="24"/>
        </w:rPr>
        <w:t xml:space="preserve">La Tabla 14 agrupa los campos según su papel en el O2. Los predictores salen de los campos que se conocen al asignar el ensayo, antes de ejecutarlo. Las tareas de la duración quedan fuera porque suman el objetivo, y los tiempos de la corrida, las banderas de reanálisis y falla y los recursos libres, porque se conocen después o dependen de la cola y de la regla de despacho: usarlos como predictores le daría al modelo información que no tiene cuando debe predecir. También quedan fuera los campos que repiten a otro predictor, porque la prioridad y el plazo salen del tipo de muestra y de la urgencia, y los analistas calificados, los equipos compatibles y las combinaciones factibles son fijos para cada método. Tampoco entran los momentos de la muestra, que ubican el registro en la corrida pero no describen la actividad.</w:t>
      </w:r>
    </w:p>
    <w:p>
      <w:pPr>
        <w:keepNext/>
        <w:spacing w:after="120" w:before="0" w:line="288"/>
        <w:jc w:val="left"/>
      </w:pPr>
      <w:r>
        <w:rPr>
          <w:rFonts w:ascii="Times New Roman" w:cs="Times New Roman" w:eastAsia="Times New Roman" w:hAnsi="Times New Roman"/>
          <w:sz w:val="24"/>
          <w:szCs w:val="24"/>
        </w:rPr>
        <w:t xml:space="preserve">Los tiempos de tres puntos sí son predictores legítimos, porque un laboratorio los conoce de antemano como tiempos estándar de cada método. Si el O2 los usa, la media PERT, (t_optimista + 4 · t_mas_probable + t_pesimista) / 6, es la línea base que los modelos deben superar. El escenario y la carga no son predictores sino estratos: sirven para evaluar los modelos en cada condición de carga, como pide el alcance II.</w:t>
      </w:r>
    </w:p>
    <w:p>
      <w:pPr>
        <w:keepNext/>
        <w:spacing w:after="0" w:before="200" w:line="288"/>
        <w:jc w:val="left"/>
      </w:pPr>
      <w:r>
        <w:rPr>
          <w:rFonts w:ascii="Times New Roman" w:cs="Times New Roman" w:eastAsia="Times New Roman" w:hAnsi="Times New Roman"/>
          <w:b/>
          <w:bCs/>
          <w:sz w:val="24"/>
          <w:szCs w:val="24"/>
        </w:rPr>
        <w:t xml:space="preserve">Tabla 14</w:t>
      </w:r>
    </w:p>
    <w:p>
      <w:pPr>
        <w:keepNext/>
        <w:spacing w:after="80" w:before="0" w:line="288"/>
        <w:jc w:val="left"/>
      </w:pPr>
      <w:r>
        <w:rPr>
          <w:rFonts w:ascii="Times New Roman" w:cs="Times New Roman" w:eastAsia="Times New Roman" w:hAnsi="Times New Roman"/>
          <w:i/>
          <w:iCs/>
          <w:sz w:val="24"/>
          <w:szCs w:val="24"/>
        </w:rPr>
        <w:t xml:space="preserve">Papel de los campos en el O2</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1500"/>
        <w:gridCol w:w="4554"/>
        <w:gridCol w:w="2500"/>
      </w:tblGrid>
      <w:tr>
        <w:trPr>
          <w:cantSplit/>
          <w:tblHeader/>
        </w:trPr>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Papel</w:t>
            </w:r>
          </w:p>
        </w:tc>
        <w:tc>
          <w:tcPr>
            <w:tcW w:type="dxa" w:w="45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Campos</w:t>
            </w:r>
          </w:p>
        </w:tc>
        <w:tc>
          <w:tcPr>
            <w:tcW w:type="dxa" w:w="2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Por qué</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Objetivo</w:t>
            </w:r>
          </w:p>
        </w:tc>
        <w:tc>
          <w:tcPr>
            <w:tcW w:type="dxa" w:w="4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duracion_simulada</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Es lo que predice el O2: el tiempo de ejecución (sección 1.3).</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Predictor</w:t>
            </w:r>
          </w:p>
        </w:tc>
        <w:tc>
          <w:tcPr>
            <w:tcW w:type="dxa" w:w="4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metodo, intento, causa_repeticion, tipo_muestra, tecnica, complejidad, n_soluciones, calificacion_exigida, equipo_requerido, t_optimista, t_mas_probable, t_pesimista, nivel_analista, configuracion, idoneidad_ejecutada, urgente</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Se conocen al asignar el ensayo, antes de ejecutarlo.</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Estrato</w:t>
            </w:r>
          </w:p>
        </w:tc>
        <w:tc>
          <w:tcPr>
            <w:tcW w:type="dxa" w:w="4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escenario, carga</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Sirven para evaluar los modelos en cada condición de carga (alcance II).</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Identificador</w:t>
            </w:r>
          </w:p>
        </w:tc>
        <w:tc>
          <w:tcPr>
            <w:tcW w:type="dxa" w:w="4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semilla, id_actividad, id_muestra, id_actividad_origen, analista, equipo</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Identifican la corrida, el registro o el recurso; el nivel del analista y la configuración del equipo resumen el efecto del recurso.</w:t>
            </w:r>
          </w:p>
        </w:tc>
      </w:tr>
      <w:tr>
        <w:trPr>
          <w:cantSplit/>
        </w:trPr>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O3 y validación</w:t>
            </w:r>
          </w:p>
        </w:tc>
        <w:tc>
          <w:tcPr>
            <w:tcW w:type="dxa" w:w="45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resultado, prioridad, llegada_muestra, plazo_min, vencimiento, t_prep_sistema, t_idoneidad, t_preparacion, t_montaje, t_corrida, t_procesamiento, llegada, inicio, fin, espera, pausas, tiempo_en_sistema, tardanza, bandera_reanalisis, bandera_falla, analistas_calificados, equipos_compatibles, combinaciones_factibles, analistas_libres, equipos_libres, recurso_faltante</w:t>
            </w:r>
          </w:p>
        </w:tc>
        <w:tc>
          <w:tcPr>
            <w:tcW w:type="dxa" w:w="2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Se conocen al terminar, dependen de la cola y de la regla de despacho, son partes del objetivo, repiten a otro predictor o son momentos de la muestra.</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Columna «Rol en el O2» de la hoja «Diccionario».</w:t>
      </w:r>
    </w:p>
    <w:p>
      <w:pPr>
        <w:pStyle w:val="Heading2"/>
        <w:keepNext/>
      </w:pPr>
      <w:r>
        <w:rPr>
          <w:rFonts w:ascii="Times New Roman" w:cs="Times New Roman" w:eastAsia="Times New Roman" w:hAnsi="Times New Roman"/>
          <w:b/>
          <w:bCs/>
          <w:sz w:val="24"/>
          <w:szCs w:val="24"/>
        </w:rPr>
        <w:t xml:space="preserve">2.8 Uso en el generador</w:t>
      </w:r>
    </w:p>
    <w:p>
      <w:pPr>
        <w:keepNext/>
        <w:spacing w:after="60" w:before="0" w:line="288"/>
        <w:jc w:val="left"/>
      </w:pPr>
      <w:r>
        <w:rPr>
          <w:rFonts w:ascii="Times New Roman" w:cs="Times New Roman" w:eastAsia="Times New Roman" w:hAnsi="Times New Roman"/>
          <w:sz w:val="24"/>
          <w:szCs w:val="24"/>
        </w:rPr>
        <w:t xml:space="preserve">El generador llena los campos en el orden en que se conocen:</w:t>
      </w:r>
    </w:p>
    <w:p>
      <w:pPr>
        <w:pStyle w:val="ListParagraph"/>
        <w:numPr>
          <w:ilvl w:val="0"/>
          <w:numId w:val="4"/>
        </w:numPr>
        <w:spacing w:after="80" w:line="288"/>
      </w:pPr>
      <w:r>
        <w:rPr>
          <w:rFonts w:ascii="Times New Roman" w:cs="Times New Roman" w:eastAsia="Times New Roman" w:hAnsi="Times New Roman"/>
          <w:sz w:val="24"/>
          <w:szCs w:val="24"/>
        </w:rPr>
        <w:t xml:space="preserve">Antes de la corrida: escenario, carga y semilla.</w:t>
      </w:r>
    </w:p>
    <w:p>
      <w:pPr>
        <w:pStyle w:val="ListParagraph"/>
        <w:numPr>
          <w:ilvl w:val="0"/>
          <w:numId w:val="4"/>
        </w:numPr>
        <w:spacing w:after="80" w:line="288"/>
      </w:pPr>
      <w:r>
        <w:rPr>
          <w:rFonts w:ascii="Times New Roman" w:cs="Times New Roman" w:eastAsia="Times New Roman" w:hAnsi="Times New Roman"/>
          <w:sz w:val="24"/>
          <w:szCs w:val="24"/>
        </w:rPr>
        <w:t xml:space="preserve">Al llegar el registro: identificación, muestra y urgencia, ensayo, llegada, combinaciones factibles y recursos libres.</w:t>
      </w:r>
    </w:p>
    <w:p>
      <w:pPr>
        <w:pStyle w:val="ListParagraph"/>
        <w:numPr>
          <w:ilvl w:val="0"/>
          <w:numId w:val="4"/>
        </w:numPr>
        <w:spacing w:after="80" w:line="288"/>
      </w:pPr>
      <w:r>
        <w:rPr>
          <w:rFonts w:ascii="Times New Roman" w:cs="Times New Roman" w:eastAsia="Times New Roman" w:hAnsi="Times New Roman"/>
          <w:sz w:val="24"/>
          <w:szCs w:val="24"/>
        </w:rPr>
        <w:t xml:space="preserve">Al asignarlo: analista, equipo, idoneidad, tiempos de tres puntos, inicio y espera.</w:t>
      </w:r>
    </w:p>
    <w:p>
      <w:pPr>
        <w:pStyle w:val="ListParagraph"/>
        <w:numPr>
          <w:ilvl w:val="0"/>
          <w:numId w:val="4"/>
        </w:numPr>
        <w:spacing w:after="80" w:line="288"/>
      </w:pPr>
      <w:r>
        <w:rPr>
          <w:rFonts w:ascii="Times New Roman" w:cs="Times New Roman" w:eastAsia="Times New Roman" w:hAnsi="Times New Roman"/>
          <w:sz w:val="24"/>
          <w:szCs w:val="24"/>
        </w:rPr>
        <w:t xml:space="preserve">Al terminar: resultado, tareas, duración, fin, pausas, tiempo en el sistema, tardanza y banderas de reanálisis y falla.</w:t>
      </w:r>
    </w:p>
    <w:p>
      <w:pPr>
        <w:pStyle w:val="ListParagraph"/>
        <w:numPr>
          <w:ilvl w:val="0"/>
          <w:numId w:val="4"/>
        </w:numPr>
        <w:spacing w:after="80" w:line="288"/>
      </w:pPr>
      <w:r>
        <w:rPr>
          <w:rFonts w:ascii="Times New Roman" w:cs="Times New Roman" w:eastAsia="Times New Roman" w:hAnsi="Times New Roman"/>
          <w:sz w:val="24"/>
          <w:szCs w:val="24"/>
        </w:rPr>
        <w:t xml:space="preserve">Antes de guardar la corrida, verifica las 17 reglas de las secciones 1 y 2 con chequear_registro (src/generador/registro.py).</w:t>
      </w:r>
    </w:p>
    <w:p>
      <w:pPr>
        <w:spacing w:after="120" w:before="60" w:line="288"/>
        <w:jc w:val="left"/>
      </w:pPr>
      <w:r>
        <w:rPr>
          <w:rFonts w:ascii="Times New Roman" w:cs="Times New Roman" w:eastAsia="Times New Roman" w:hAnsi="Times New Roman"/>
          <w:sz w:val="24"/>
          <w:szCs w:val="24"/>
        </w:rPr>
        <w:t xml:space="preserve">Las pruebas del repositorio (tests/test_campos.py) comprueban que la hoja «Diccionario» y el código tengan los mismos campos en el mismo orden, que los predictores se conozcan antes de ejecutar, que el ejemplo cumpla todas las reglas y que cada regla de los campos detecte un error típico: un número de soluciones fuera de rango, un analista no calificado, un equipo que no existe, tres puntos desordenados, una duración que no es la suma de sus tareas, una espera mal calculada, una bandera que no coincide, recursos libres que no cuadran con recurso_faltante, una carga que no es la del escenario, una muestra de control en proceso marcada como urgente o un campo obligatorio vacío.</w:t>
      </w:r>
    </w:p>
    <w:p>
      <w:pPr>
        <w:pStyle w:val="Heading2"/>
        <w:keepNext/>
      </w:pPr>
      <w:r>
        <w:rPr>
          <w:rFonts w:ascii="Times New Roman" w:cs="Times New Roman" w:eastAsia="Times New Roman" w:hAnsi="Times New Roman"/>
          <w:b/>
          <w:bCs/>
          <w:sz w:val="24"/>
          <w:szCs w:val="24"/>
        </w:rPr>
        <w:t xml:space="preserve">2.9 Decisiones abiertas</w:t>
      </w:r>
    </w:p>
    <w:p>
      <w:pPr>
        <w:pStyle w:val="ListParagraph"/>
        <w:numPr>
          <w:ilvl w:val="0"/>
          <w:numId w:val="2"/>
        </w:numPr>
        <w:spacing w:after="80" w:line="288"/>
      </w:pPr>
      <w:r>
        <w:rPr>
          <w:rFonts w:ascii="Times New Roman" w:cs="Times New Roman" w:eastAsia="Times New Roman" w:hAnsi="Times New Roman"/>
          <w:b/>
          <w:bCs/>
          <w:sz w:val="24"/>
          <w:szCs w:val="24"/>
        </w:rPr>
        <w:t xml:space="preserve">Tres puntos como predictores. </w:t>
      </w:r>
      <w:r>
        <w:rPr>
          <w:rFonts w:ascii="Times New Roman" w:cs="Times New Roman" w:eastAsia="Times New Roman" w:hAnsi="Times New Roman"/>
          <w:sz w:val="24"/>
          <w:szCs w:val="24"/>
        </w:rPr>
        <w:t xml:space="preserve">Si el O2 los usa, los modelos compiten contra la media PERT; si no, aprenden la duración solo de los atributos del ensayo y del recurso. Se decide en el protocolo de validación del O2 (4 de noviembre).</w:t>
      </w:r>
    </w:p>
    <w:p>
      <w:pPr>
        <w:pStyle w:val="ListParagraph"/>
        <w:numPr>
          <w:ilvl w:val="0"/>
          <w:numId w:val="2"/>
        </w:numPr>
        <w:spacing w:after="80" w:line="288"/>
      </w:pPr>
      <w:r>
        <w:rPr>
          <w:rFonts w:ascii="Times New Roman" w:cs="Times New Roman" w:eastAsia="Times New Roman" w:hAnsi="Times New Roman"/>
          <w:b/>
          <w:bCs/>
          <w:sz w:val="24"/>
          <w:szCs w:val="24"/>
        </w:rPr>
        <w:t xml:space="preserve">Alistamiento en los tres puntos. </w:t>
      </w:r>
      <w:r>
        <w:rPr>
          <w:rFonts w:ascii="Times New Roman" w:cs="Times New Roman" w:eastAsia="Times New Roman" w:hAnsi="Times New Roman"/>
          <w:sz w:val="24"/>
          <w:szCs w:val="24"/>
        </w:rPr>
        <w:t xml:space="preserve">Incluyen la preparación y la idoneidad del sistema solo cuando el registro las necesita, para que sean comparables con la duración simulada. La alternativa es guardarlos siempre sin alistamiento y sumarlo aparte.</w:t>
      </w:r>
    </w:p>
    <w:p>
      <w:pPr>
        <w:pStyle w:val="ListParagraph"/>
        <w:numPr>
          <w:ilvl w:val="0"/>
          <w:numId w:val="2"/>
        </w:numPr>
        <w:spacing w:after="80" w:line="288"/>
      </w:pPr>
      <w:r>
        <w:rPr>
          <w:rFonts w:ascii="Times New Roman" w:cs="Times New Roman" w:eastAsia="Times New Roman" w:hAnsi="Times New Roman"/>
          <w:b/>
          <w:bCs/>
          <w:sz w:val="24"/>
          <w:szCs w:val="24"/>
        </w:rPr>
        <w:t xml:space="preserve">Recursos libres al llegar. </w:t>
      </w:r>
      <w:r>
        <w:rPr>
          <w:rFonts w:ascii="Times New Roman" w:cs="Times New Roman" w:eastAsia="Times New Roman" w:hAnsi="Times New Roman"/>
          <w:sz w:val="24"/>
          <w:szCs w:val="24"/>
        </w:rPr>
        <w:t xml:space="preserve">Se cuentan en el instante en que llega el registro; también podrían contarse al asignarlo o medirse como fracción del tiempo de espera.</w:t>
      </w:r>
    </w:p>
    <w:p>
      <w:pPr>
        <w:pStyle w:val="ListParagraph"/>
        <w:numPr>
          <w:ilvl w:val="0"/>
          <w:numId w:val="2"/>
        </w:numPr>
        <w:spacing w:after="80" w:line="288"/>
      </w:pPr>
      <w:r>
        <w:rPr>
          <w:rFonts w:ascii="Times New Roman" w:cs="Times New Roman" w:eastAsia="Times New Roman" w:hAnsi="Times New Roman"/>
          <w:b/>
          <w:bCs/>
          <w:sz w:val="24"/>
          <w:szCs w:val="24"/>
        </w:rPr>
        <w:t xml:space="preserve">Repetición por falla. </w:t>
      </w:r>
      <w:r>
        <w:rPr>
          <w:rFonts w:ascii="Times New Roman" w:cs="Times New Roman" w:eastAsia="Times New Roman" w:hAnsi="Times New Roman"/>
          <w:sz w:val="24"/>
          <w:szCs w:val="24"/>
        </w:rPr>
        <w:t xml:space="preserve">Rehace todas las tareas, incluida la preparación de la muestra (S27). Si las soluciones ya preparadas pudieran usarse en otro equipo, la repetición sería más corta.</w:t>
      </w:r>
    </w:p>
    <w:p>
      <w:pPr>
        <w:pStyle w:val="Heading1"/>
        <w:keepNext/>
      </w:pPr>
      <w:r>
        <w:rPr>
          <w:rFonts w:ascii="Times New Roman" w:cs="Times New Roman" w:eastAsia="Times New Roman" w:hAnsi="Times New Roman"/>
          <w:b/>
          <w:bCs/>
          <w:sz w:val="26"/>
          <w:szCs w:val="26"/>
        </w:rPr>
        <w:t xml:space="preserve">3. Amarre con el sistema de variables</w:t>
      </w:r>
    </w:p>
    <w:p>
      <w:pPr>
        <w:spacing w:after="120" w:before="0" w:line="288"/>
        <w:jc w:val="left"/>
      </w:pPr>
      <w:r>
        <w:rPr>
          <w:rFonts w:ascii="Times New Roman" w:cs="Times New Roman" w:eastAsia="Times New Roman" w:hAnsi="Times New Roman"/>
          <w:sz w:val="24"/>
          <w:szCs w:val="24"/>
        </w:rPr>
        <w:t xml:space="preserve">El sistema de variables del anteproyecto divide los datos sintéticos en cinco dimensiones con 22 indicadores (§8.5). Esta sección amarra el registro a ellos en las dos direcciones: cada indicador dice qué se calcula y contra qué se compara (Tabla 15; sus campos están en la hoja «Indicadores»), y cada campo dice qué indicadores alimenta (Tabla 16). Las dos tablas salen de las hojas «Indicadores» y «Diccionario» del Excel de parámetros, y las pruebas comprueban que digan lo mismo.</w:t>
      </w:r>
    </w:p>
    <w:p>
      <w:pPr>
        <w:pStyle w:val="Heading2"/>
        <w:keepNext/>
      </w:pPr>
      <w:r>
        <w:rPr>
          <w:rFonts w:ascii="Times New Roman" w:cs="Times New Roman" w:eastAsia="Times New Roman" w:hAnsi="Times New Roman"/>
          <w:b/>
          <w:bCs/>
          <w:sz w:val="24"/>
          <w:szCs w:val="24"/>
        </w:rPr>
        <w:t xml:space="preserve">3.1 Los indicadores y su cálculo</w:t>
      </w:r>
    </w:p>
    <w:p>
      <w:pPr>
        <w:spacing w:after="120" w:before="0" w:line="288"/>
        <w:jc w:val="left"/>
      </w:pPr>
      <w:r>
        <w:rPr>
          <w:rFonts w:ascii="Times New Roman" w:cs="Times New Roman" w:eastAsia="Times New Roman" w:hAnsi="Times New Roman"/>
          <w:sz w:val="24"/>
          <w:szCs w:val="24"/>
        </w:rPr>
        <w:t xml:space="preserve">Cada indicador lleva un código con una letra que identifica su dimensión (Tabla 15). Unos se leen en cada registro, como los tiempos de tres puntos o las combinaciones factibles; otros se calculan sobre la corrida completa, como la media y la dispersión de las duraciones o el porcentaje de actividades restringidas. La última columna dice qué se espera: algunos valores son exactos por construcción, como el 100 % de registros que cumplen las reglas, y otros se comparan con las fuentes, como la preparación del análisis frente a los tiempos promedio de Costigliola et al. (2017, Tabla 6, p. 9019).</w:t>
      </w:r>
    </w:p>
    <w:p>
      <w:pPr>
        <w:keepNext/>
        <w:spacing w:after="0" w:before="200" w:line="288"/>
        <w:jc w:val="left"/>
      </w:pPr>
      <w:r>
        <w:rPr>
          <w:rFonts w:ascii="Times New Roman" w:cs="Times New Roman" w:eastAsia="Times New Roman" w:hAnsi="Times New Roman"/>
          <w:b/>
          <w:bCs/>
          <w:sz w:val="24"/>
          <w:szCs w:val="24"/>
        </w:rPr>
        <w:t xml:space="preserve">Tabla 15</w:t>
      </w:r>
    </w:p>
    <w:p>
      <w:pPr>
        <w:keepNext/>
        <w:spacing w:after="80" w:before="0" w:line="288"/>
        <w:jc w:val="left"/>
      </w:pPr>
      <w:r>
        <w:rPr>
          <w:rFonts w:ascii="Times New Roman" w:cs="Times New Roman" w:eastAsia="Times New Roman" w:hAnsi="Times New Roman"/>
          <w:i/>
          <w:iCs/>
          <w:sz w:val="24"/>
          <w:szCs w:val="24"/>
        </w:rPr>
        <w:t xml:space="preserve">Indicadores del sistema de variables y su cálculo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800"/>
        <w:gridCol w:w="2150"/>
        <w:gridCol w:w="2904"/>
        <w:gridCol w:w="2700"/>
      </w:tblGrid>
      <w:tr>
        <w:trPr>
          <w:cantSplit/>
          <w:tblHeader/>
        </w:trPr>
        <w:tc>
          <w:tcPr>
            <w:tcW w:type="dxa" w:w="8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Código</w:t>
            </w:r>
          </w:p>
        </w:tc>
        <w:tc>
          <w:tcPr>
            <w:tcW w:type="dxa" w:w="2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Indicador</w:t>
            </w:r>
          </w:p>
        </w:tc>
        <w:tc>
          <w:tcPr>
            <w:tcW w:type="dxa" w:w="290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Qué se calcula</w:t>
            </w:r>
          </w:p>
        </w:tc>
        <w:tc>
          <w:tcPr>
            <w:tcW w:type="dxa" w:w="27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Referencia o criterio</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T1</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Tiempo optimista por actividad</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El valor de cada registro; por método, su mínimo, media y máximo.</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Suma de los mínimos de las tareas (Costigliola et al., 2017, Tabla 3, p. 9016); regla tres_puntos_ordenados.</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Tiempo más probable</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El valor de cada registro; por método, su media.</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Suma de las modas de las tareas; regla tres_puntos_ordenados.</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Tiempo pesimista</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El valor de cada registro; por método, su media.</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Suma de los máximos de las tareas; regla tres_puntos_ordenados.</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T4</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Duración simulada de la actividad</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El valor de cada registro, con sus seis tareas.</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Entre los tiempos optimista y pesimista corregidos por el factor del analista; regla duracion_coherente.</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T5</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Media y dispersión de las duraciones generadas</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Media y desviación estándar de la duración por técnica, método y escenario, y media de cada tarea por técnica.</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Preparación del análisis y corrida de HPLC y GC frente a los tiempos promedio de Costigliola et al. (2017, Tabla 6, p. 9019), cuyo procesamiento de datos y corrida de PSA y KF superan la media, y a veces el máximo, de las distribuciones de su Tabla 3 (p. 9016) y no sirven de referencia; media BetaPERT de los tres puntos con la forma λ elegida y la mezcla de niveles de analista; en HPLC y GC con alistamiento, contraste de orden de magnitud con Coito et al. (2021, p. 74), donde el 90 % de los ensayos dura entre 458 y 786 min sin procesamiento de datos ni revisión.</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H1</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Número de analistas disponibles</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Analistas en turno en cada franja y analistas calificados libres al llegar cada registro.</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2 analistas en turno a toda hora y hasta 14 en un día hábil (Costigliola et al., 2017, Tabla 1, p. 9015; diseño del laboratorio, Tabla 16).</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Calificación o elegibilidad del analista por actividad</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registros cuyo analista está calificado en el método y tiene el nivel exigido; analistas calificados por método.</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100 %; regla asignacion_coherente (S12).</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Disponibilidad temporal del analista</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Horas en turno de cada analista por semana y porcentaje de registros cuyo analista está en turno al empezar.</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56, 37,5 y 40 horas por semana según el turno; 886 horas-analista por semana (diseño del laboratorio, Tabla 15 y sección 4.2).</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H4</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Carga asignada al analista</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Suma de las tareas de analista por analista y semana, dividida entre sus horas en turno.</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Con 50 % más de carga faltan analistas (Costigliola et al., 2017, p. 9019): en el escenario alto la carga se acerca a las horas en turno.</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M1</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Número de equipos disponibles</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Unidades en servicio por configuración a lo largo de la corrida y equipos compatibles libres al llegar cada registro.</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70 equipos (Costigliola et al., 2017, p. 9015), al menos 2 por configuración (S21).</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Compatibilidad equipo–actividad</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registros asignados a una configuración compatible con su método.</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100 %; regla asignacion_coherente (S22).</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Disponibilidad temporal del equipo</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Fracción del tiempo en servicio de cada unidad y fracción en uso (montaje, idoneidad y corrida).</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Disponibilidad esperada de 94,8 % a 94,9 % (diseño del laboratorio, Tabla 17); sin la idoneidad, el diseño estima un uso menor que 5 % en el escenario base (sección 3.1).</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M4</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Condición de disponibilidad o indisponibilidad del equipo</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Estado de cada unidad en cada momento (en servicio, en ventana o en falla) y porcentaje de registros que interrumpió una falla.</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5 % del tiempo en falla (S02) y una ventana por trimestre (S26).</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C1</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Número de combinaciones factibles analista–equipo por actividad</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El valor de cada registro: analistas calificados × equipos compatibles.</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Las combinaciones de cada método del diseño del laboratorio (Tabla 13).</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actividades con al menos una combinación factible</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registros con al menos una combinación factible.</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100 % por diseño.</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Coincidencia temporal entre analista calificado y equipo compatible</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registros que, al llegar, tienen a la vez un analista calificado libre y un equipo compatible libre (recurso_faltante = ninguno).</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Cobertura en el tiempo del diseño: todas las horas, salvo M08 y M12, con analista calificado 125 de las 168 horas de la semana (diseño del laboratorio, sección 4.3).</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C4</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actividades restringidas por falta de alguno de los recursos requeridos</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registros con recurso_faltante distinto de «ninguno», separado en analista, equipo y ambos.</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Crece con la carga; con 50 % más faltan sobre todo analistas (Costigliola et al., 2017, p. 9019).</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V1</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Distribución de los tiempos simulados</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Histogramas y cuantiles de la duración y de cada tarea por técnica, ajuste de cada tarea a su BetaPERT y tiempo en el sistema por técnica.</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Distribuciones de la hoja Duraciones (Costigliola et al., 2017, Tabla 3, p. 9016); tiempo en el sistema por técnica (Tabla 5, p. 9018).</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Correlaciones entre variables definidas</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Correlación de rangos (Spearman) entre las seis tareas dentro de cada grupo de registros terminados (resultado distinto de «interrumpido») con el mismo método, número de soluciones, nivel del analista e idoneidad ejecutada, promediada con el número de registros de cada grupo (se omiten las tareas fijas en el grupo y los grupos de menos de 10 registros; duraciones sin redondear), frente a la que se espera con la matriz objetivo de la hoja Correlaciones y el tamaño de cada grupo; y correlación de rangos entre complejidad, número de soluciones, preparación y duración, en todo el dataset y dentro de cada técnica (correlacion.indicador_v2).</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Tareas: en cada par, la diferencia entre la correlación obtenida y la esperada queda dentro de cinco errores estándar, calculados con la varianza de la correlación de rangos de n pares independientes, 1/(n − 1), que es exacta en los pares independientes y mayor que la real en los correlacionados (Xu et al., 2010). La esperada sale de la matriz objetivo y del tamaño de cada grupo: la matriz da ρ = 0,5 entre las tareas del analista (S04, con sensibilidad de 0,3 y 0,7) y 0 con la idoneidad y la corrida, y con pocos registros la correlación de rangos sale más cerca de cero (Moran, 1948). Un par que se sale de su tolerancia no cumple; uno que cabe en ella pero no tiene registros para ver una correlación del tamaño de la de S04 (0,3 si la objetivo es cero) el 97,7 % de las veces, o que no tiene grupos de al menos 10 registros, queda sin datos suficientes, y entonces V2 no se da por cumplido (correlacion.veredicto_v2). Estructura: se reporta sin criterio de aceptación; en la mezcla de demanda con un solo nivel de analista y ρ = 0,5 (cuaderno 02), dentro de cada técnica, complejidad–número de soluciones 0,82, número de soluciones–preparación 0,72 y complejidad–duración 0,71, y en todo el dataset, complejidad–duración −0,06.</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registros que cumplen las restricciones establecidas</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registros que cumplen todas las reglas de las secciones 1 y 2 (chequear_registro).</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100 %.</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V4</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valores fuera de los rangos definidos</w:t>
            </w:r>
          </w:p>
        </w:tc>
        <w:tc>
          <w:tcPr>
            <w:tcW w:type="dxa" w:w="29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valores de cada campo fuera de su columna «Valores o rango» de la hoja Diccionario.</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0 %.</w:t>
            </w:r>
          </w:p>
        </w:tc>
      </w:tr>
      <w:tr>
        <w:trPr>
          <w:cantSplit/>
        </w:trPr>
        <w:tc>
          <w:tcPr>
            <w:tcW w:type="dxa" w:w="8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V5</w:t>
            </w:r>
          </w:p>
        </w:tc>
        <w:tc>
          <w:tcPr>
            <w:tcW w:type="dxa" w:w="2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parámetros con trazabilidad bibliográfica</w:t>
            </w:r>
          </w:p>
        </w:tc>
        <w:tc>
          <w:tcPr>
            <w:tcW w:type="dxa" w:w="290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Porcentaje de filas de las hojas Parámetros y Supuestos con fuente y página (dato de la literatura o derivado).</w:t>
            </w:r>
          </w:p>
        </w:tc>
        <w:tc>
          <w:tcPr>
            <w:tcW w:type="dxa" w:w="27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Hoy, 78 de 107 (73 %); los 29 restantes son supuestos: los 28 de la hoja Supuestos, con escenarios de sensibilidad, y la elección de los doce métodos (P60).</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T: tiempos de ejecución; H: recursos humanos; M: recursos materiales; C: disponibilidad cruzada de recursos; V: variabilidad y consistencia estructural. Los campos, las otras fuentes y el nivel de cálculo de cada indicador están en la hoja «Indicadores».</w:t>
      </w:r>
    </w:p>
    <w:p>
      <w:pPr>
        <w:pStyle w:val="Heading2"/>
        <w:keepNext/>
      </w:pPr>
      <w:r>
        <w:rPr>
          <w:rFonts w:ascii="Times New Roman" w:cs="Times New Roman" w:eastAsia="Times New Roman" w:hAnsi="Times New Roman"/>
          <w:b/>
          <w:bCs/>
          <w:sz w:val="24"/>
          <w:szCs w:val="24"/>
        </w:rPr>
        <w:t xml:space="preserve">3.2 Los indicadores de cada campo</w:t>
      </w:r>
    </w:p>
    <w:p>
      <w:pPr>
        <w:keepNext/>
        <w:spacing w:after="120" w:before="0" w:line="288"/>
        <w:jc w:val="left"/>
      </w:pPr>
      <w:r>
        <w:rPr>
          <w:rFonts w:ascii="Times New Roman" w:cs="Times New Roman" w:eastAsia="Times New Roman" w:hAnsi="Times New Roman"/>
          <w:sz w:val="24"/>
          <w:szCs w:val="24"/>
        </w:rPr>
        <w:t xml:space="preserve">La Tabla 16 da los indicadores de cada campo, en el orden del diccionario. Todos los campos entran además en V3 y V4, porque cada uno tiene una regla de validación y un rango; los que no alimentan otro indicador llevan V3, que es el que verifica su consistencia.</w:t>
      </w:r>
    </w:p>
    <w:p>
      <w:pPr>
        <w:keepNext/>
        <w:spacing w:after="0" w:before="200" w:line="288"/>
        <w:jc w:val="left"/>
      </w:pPr>
      <w:r>
        <w:rPr>
          <w:rFonts w:ascii="Times New Roman" w:cs="Times New Roman" w:eastAsia="Times New Roman" w:hAnsi="Times New Roman"/>
          <w:b/>
          <w:bCs/>
          <w:sz w:val="24"/>
          <w:szCs w:val="24"/>
        </w:rPr>
        <w:t xml:space="preserve">Tabla 16</w:t>
      </w:r>
    </w:p>
    <w:p>
      <w:pPr>
        <w:keepNext/>
        <w:spacing w:after="80" w:before="0" w:line="288"/>
        <w:jc w:val="left"/>
      </w:pPr>
      <w:r>
        <w:rPr>
          <w:rFonts w:ascii="Times New Roman" w:cs="Times New Roman" w:eastAsia="Times New Roman" w:hAnsi="Times New Roman"/>
          <w:i/>
          <w:iCs/>
          <w:sz w:val="24"/>
          <w:szCs w:val="24"/>
        </w:rPr>
        <w:t xml:space="preserve">Indicadores que alimenta cada campo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150"/>
        <w:gridCol w:w="2127"/>
        <w:gridCol w:w="2150"/>
        <w:gridCol w:w="2127"/>
      </w:tblGrid>
      <w:tr>
        <w:trPr>
          <w:cantSplit/>
          <w:tblHeader/>
        </w:trPr>
        <w:tc>
          <w:tcPr>
            <w:tcW w:type="dxa" w:w="2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Campo</w:t>
            </w:r>
          </w:p>
        </w:tc>
        <w:tc>
          <w:tcPr>
            <w:tcW w:type="dxa" w:w="2127"/>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Indicadores</w:t>
            </w:r>
          </w:p>
        </w:tc>
        <w:tc>
          <w:tcPr>
            <w:tcW w:type="dxa" w:w="2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Campo</w:t>
            </w:r>
          </w:p>
        </w:tc>
        <w:tc>
          <w:tcPr>
            <w:tcW w:type="dxa" w:w="2127"/>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Indicadores</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escenario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T5, C4</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configuracion</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carga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T5, C4</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idoneidad_ejecutada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T4, M3, V2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semilla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duracion_simulada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T4, T5, V1, V2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id_actividad</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t_prep_sistema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T4, T5, H4, V1, V2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id_muestra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t_idoneidad</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T4, T5, M3, V1, V2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metodo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C1, H2, M2, T1, T2, T3, T5, V2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t_preparacion</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T4, T5, H4, V1, V2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intento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t_montaje</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T4, T5, H4, M3, V1, V2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id_actividad_origen</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t_corrida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T4, T5, M3, V1, V2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causa_repeticion</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M4</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t_procesamiento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T4, T5, H4, V1, V2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resultado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M4, V2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llegada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tipo_muestra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inicio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H3, H4</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prioridad</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fin</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llegada_muestra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espera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C4</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plazo_min</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pausas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vencimiento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tiempo_en_sistema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V1</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tecnica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T5, V1, V2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tardanza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complejidad</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H2, V2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urgente</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n_soluciones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bandera_reanalisis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V3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calificacion_exigida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bandera_falla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M4</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equipo_requerido</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M2, C1</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analistas_calificados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H2, C1</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t_optimista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T1</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equipos_compatibles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M2, C1</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t_mas_probable</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combinaciones_factibles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C1, C2</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t_pesimista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T3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analistas_libres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H1, C3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analista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H2, H3, H4</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equipos_libres</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M1, C3</w:t>
            </w:r>
          </w:p>
        </w:tc>
      </w:tr>
      <w:tr>
        <w:trPr>
          <w:cantSplit/>
        </w:trPr>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nivel_analista</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H2, V2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recurso_faltante</w:t>
            </w:r>
          </w:p>
        </w:tc>
        <w:tc>
          <w:tcPr>
            <w:tcW w:type="dxa" w:w="2127"/>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C3, C4</w:t>
            </w:r>
          </w:p>
        </w:tc>
      </w:tr>
      <w:tr>
        <w:trPr>
          <w:cantSplit/>
        </w:trPr>
        <w:tc>
          <w:tcPr>
            <w:tcW w:type="dxa" w:w="2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equipo</w:t>
            </w:r>
          </w:p>
        </w:tc>
        <w:tc>
          <w:tcPr>
            <w:tcW w:type="dxa" w:w="2127"/>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M3, M4</w:t>
            </w:r>
          </w:p>
        </w:tc>
        <w:tc>
          <w:tcPr>
            <w:tcW w:type="dxa" w:w="2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
            </w:r>
          </w:p>
        </w:tc>
        <w:tc>
          <w:tcPr>
            <w:tcW w:type="dxa" w:w="2127"/>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Columna «Indicadores» de la hoja «Diccionario». Los códigos son los de la Tabla 15.</w:t>
      </w:r>
    </w:p>
    <w:p>
      <w:pPr>
        <w:spacing w:after="120" w:before="0" w:line="288"/>
        <w:jc w:val="left"/>
      </w:pPr>
      <w:r>
        <w:rPr>
          <w:rFonts w:ascii="Times New Roman" w:cs="Times New Roman" w:eastAsia="Times New Roman" w:hAnsi="Times New Roman"/>
          <w:sz w:val="24"/>
          <w:szCs w:val="24"/>
        </w:rPr>
        <w:t xml:space="preserve">Entre los que solo llevan V3 están los campos de la muestra (tipo, prioridad, llegada, plazo y vencimiento) y la tardanza. El sistema de variables del O1 no tiene indicadores de demanda ni de plazos, porque esos datos sirven a los indicadores de eficiencia operativa del O3, como el cumplimiento de plazos; en el O1 solo se verifica que sean coherentes.</w:t>
      </w:r>
    </w:p>
    <w:p>
      <w:pPr>
        <w:pStyle w:val="Heading2"/>
        <w:keepNext/>
      </w:pPr>
      <w:r>
        <w:rPr>
          <w:rFonts w:ascii="Times New Roman" w:cs="Times New Roman" w:eastAsia="Times New Roman" w:hAnsi="Times New Roman"/>
          <w:b/>
          <w:bCs/>
          <w:sz w:val="24"/>
          <w:szCs w:val="24"/>
        </w:rPr>
        <w:t xml:space="preserve">3.3 Lo que no está en el registro</w:t>
      </w:r>
    </w:p>
    <w:p>
      <w:pPr>
        <w:keepNext/>
        <w:spacing w:after="120" w:before="0" w:line="288"/>
        <w:jc w:val="left"/>
      </w:pPr>
      <w:r>
        <w:rPr>
          <w:rFonts w:ascii="Times New Roman" w:cs="Times New Roman" w:eastAsia="Times New Roman" w:hAnsi="Times New Roman"/>
          <w:sz w:val="24"/>
          <w:szCs w:val="24"/>
        </w:rPr>
        <w:t xml:space="preserve">Algunos indicadores necesitan datos que no son registros. El número y la disponibilidad temporal de los analistas y su carga (H1, H3 y H4) usan el calendario de turnos, que sale de las hojas «Rotación» y «Turnos» y es el mismo en todas las corridas. El número, la disponibilidad temporal y la condición de los equipos (M1, M3 y M4) usan sus ventanas de mantenimiento y sus fallas, que la sección 1 dejó fuera del registro porque son eventos del equipo. Las ventanas salen de la hoja «Mantenimiento», pero las fallas son aleatorias, así que el generador debe guardar en cada corrida una tabla de eventos de los equipos (Tabla 17).</w:t>
      </w:r>
    </w:p>
    <w:p>
      <w:pPr>
        <w:keepNext/>
        <w:spacing w:after="0" w:before="200" w:line="288"/>
        <w:jc w:val="left"/>
      </w:pPr>
      <w:r>
        <w:rPr>
          <w:rFonts w:ascii="Times New Roman" w:cs="Times New Roman" w:eastAsia="Times New Roman" w:hAnsi="Times New Roman"/>
          <w:b/>
          <w:bCs/>
          <w:sz w:val="24"/>
          <w:szCs w:val="24"/>
        </w:rPr>
        <w:t xml:space="preserve">Tabla 17</w:t>
      </w:r>
    </w:p>
    <w:p>
      <w:pPr>
        <w:keepNext/>
        <w:spacing w:after="80" w:before="0" w:line="288"/>
        <w:jc w:val="left"/>
      </w:pPr>
      <w:r>
        <w:rPr>
          <w:rFonts w:ascii="Times New Roman" w:cs="Times New Roman" w:eastAsia="Times New Roman" w:hAnsi="Times New Roman"/>
          <w:i/>
          <w:iCs/>
          <w:sz w:val="24"/>
          <w:szCs w:val="24"/>
        </w:rPr>
        <w:t xml:space="preserve">Tabla de eventos de los equipos</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000"/>
        <w:gridCol w:w="3854"/>
        <w:gridCol w:w="2700"/>
      </w:tblGrid>
      <w:tr>
        <w:trPr>
          <w:cantSplit/>
          <w:tblHeader/>
        </w:trPr>
        <w:tc>
          <w:tcPr>
            <w:tcW w:type="dxa" w:w="2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Campo</w:t>
            </w:r>
          </w:p>
        </w:tc>
        <w:tc>
          <w:tcPr>
            <w:tcW w:type="dxa" w:w="38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Qué es</w:t>
            </w:r>
          </w:p>
        </w:tc>
        <w:tc>
          <w:tcPr>
            <w:tcW w:type="dxa" w:w="27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Tipo y valores</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escenario</w:t>
            </w:r>
          </w:p>
        </w:tc>
        <w:tc>
          <w:tcPr>
            <w:tcW w:type="dxa" w:w="38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Escenario de carga de la corrida.</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Categoría. baja · base · alta</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semilla</w:t>
            </w:r>
          </w:p>
        </w:tc>
        <w:tc>
          <w:tcPr>
            <w:tcW w:type="dxa" w:w="38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Semilla de la corrida.</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Entero</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equipo</w:t>
            </w:r>
          </w:p>
        </w:tc>
        <w:tc>
          <w:tcPr>
            <w:tcW w:type="dxa" w:w="38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Unidad de equipo.</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Texto. Configuración y número, por ejemplo GC-H07</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configuracion</w:t>
            </w:r>
          </w:p>
        </w:tc>
        <w:tc>
          <w:tcPr>
            <w:tcW w:type="dxa" w:w="38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Configuración de la unidad.</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Categoría. Código de la hoja Equipos</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evento</w:t>
            </w:r>
          </w:p>
        </w:tc>
        <w:tc>
          <w:tcPr>
            <w:tcW w:type="dxa" w:w="38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Qué la sacó de servicio.</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Categoría. mantenimiento · verificación · falla</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inicio</w:t>
            </w:r>
          </w:p>
        </w:tc>
        <w:tc>
          <w:tcPr>
            <w:tcW w:type="dxa" w:w="38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Momento en que sale de servicio.</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Real, min</w:t>
            </w:r>
          </w:p>
        </w:tc>
      </w:tr>
      <w:tr>
        <w:trPr>
          <w:cantSplit/>
        </w:trPr>
        <w:tc>
          <w:tcPr>
            <w:tcW w:type="dxa" w:w="20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fin</w:t>
            </w:r>
          </w:p>
        </w:tc>
        <w:tc>
          <w:tcPr>
            <w:tcW w:type="dxa" w:w="38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Momento en que vuelve al servicio, ya reparada o verificada.</w:t>
            </w:r>
          </w:p>
        </w:tc>
        <w:tc>
          <w:tcPr>
            <w:tcW w:type="dxa" w:w="27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Real, min. Mayor que inicio</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Una fila por evento; la unidad está en servicio cuando no está dentro de ningún evento. Ventanas: hoja «Mantenimiento» (S26); fallas: S02.</w:t>
      </w:r>
    </w:p>
    <w:p>
      <w:pPr>
        <w:spacing w:after="120" w:before="0" w:line="288"/>
        <w:jc w:val="left"/>
      </w:pPr>
      <w:r>
        <w:rPr>
          <w:rFonts w:ascii="Times New Roman" w:cs="Times New Roman" w:eastAsia="Times New Roman" w:hAnsi="Times New Roman"/>
          <w:sz w:val="24"/>
          <w:szCs w:val="24"/>
        </w:rPr>
        <w:t xml:space="preserve">V5 no usa el conjunto de datos: se calcula con las hojas «Parámetros» y «Supuestos». Hoy, 78 de los 107 parámetros del generador tienen fuente y página (73 %); los 29 restantes son supuestos: los 28 de la hoja «Supuestos», con escenarios de sensibilidad, y la elección de los doce métodos del catálogo, dos por técnica (P60).</w:t>
      </w:r>
    </w:p>
    <w:p>
      <w:pPr>
        <w:pStyle w:val="Heading2"/>
        <w:keepNext/>
      </w:pPr>
      <w:r>
        <w:rPr>
          <w:rFonts w:ascii="Times New Roman" w:cs="Times New Roman" w:eastAsia="Times New Roman" w:hAnsi="Times New Roman"/>
          <w:b/>
          <w:bCs/>
          <w:sz w:val="24"/>
          <w:szCs w:val="24"/>
        </w:rPr>
        <w:t xml:space="preserve">3.4 Uso en la validación</w:t>
      </w:r>
    </w:p>
    <w:p>
      <w:pPr>
        <w:spacing w:after="120" w:before="0" w:line="288"/>
        <w:jc w:val="left"/>
      </w:pPr>
      <w:r>
        <w:rPr>
          <w:rFonts w:ascii="Times New Roman" w:cs="Times New Roman" w:eastAsia="Times New Roman" w:hAnsi="Times New Roman"/>
          <w:sz w:val="24"/>
          <w:szCs w:val="24"/>
        </w:rPr>
        <w:t xml:space="preserve">El sábado 31 de octubre, la función indicadores de src/generador/validacion.py calcula la Tabla 15 para cada corrida: los indicadores de registro con sus campos, los de corrida agregando por técnica, método, escenario o analista, y V3 y V4 con chequear_registro y los rangos de la hoja «Diccionario». La columna de referencia de la hoja «Indicadores» dice con qué valor o con qué fuente se compara cada resultado.</w:t>
      </w:r>
    </w:p>
    <w:p>
      <w:pPr>
        <w:spacing w:after="120" w:before="0" w:line="288"/>
        <w:jc w:val="left"/>
      </w:pPr>
      <w:r>
        <w:rPr>
          <w:rFonts w:ascii="Times New Roman" w:cs="Times New Roman" w:eastAsia="Times New Roman" w:hAnsi="Times New Roman"/>
          <w:sz w:val="24"/>
          <w:szCs w:val="24"/>
        </w:rPr>
        <w:t xml:space="preserve">Las pruebas del repositorio (tests/test_indicadores.py) comprueban que estén los 22 indicadores del anteproyecto, con su dimensión y en su orden; que cada campo del registro alimente al menos un indicador, y que cada indicador liste exactamente los campos que lo alimentan según la hoja «Diccionario», salvo V3 y V4, que usan todos los campos, y V5, que no usa ninguno.</w:t>
      </w:r>
    </w:p>
    <w:p>
      <w:pPr>
        <w:pStyle w:val="Heading2"/>
        <w:keepNext/>
      </w:pPr>
      <w:r>
        <w:rPr>
          <w:rFonts w:ascii="Times New Roman" w:cs="Times New Roman" w:eastAsia="Times New Roman" w:hAnsi="Times New Roman"/>
          <w:b/>
          <w:bCs/>
          <w:sz w:val="24"/>
          <w:szCs w:val="24"/>
        </w:rPr>
        <w:t xml:space="preserve">3.5 Decisiones abiertas</w:t>
      </w:r>
    </w:p>
    <w:p>
      <w:pPr>
        <w:pStyle w:val="ListParagraph"/>
        <w:numPr>
          <w:ilvl w:val="0"/>
          <w:numId w:val="2"/>
        </w:numPr>
        <w:spacing w:after="80" w:line="288"/>
      </w:pPr>
      <w:r>
        <w:rPr>
          <w:rFonts w:ascii="Times New Roman" w:cs="Times New Roman" w:eastAsia="Times New Roman" w:hAnsi="Times New Roman"/>
          <w:b/>
          <w:bCs/>
          <w:sz w:val="24"/>
          <w:szCs w:val="24"/>
        </w:rPr>
        <w:t xml:space="preserve">Tabla de eventos de los equipos. </w:t>
      </w:r>
      <w:r>
        <w:rPr>
          <w:rFonts w:ascii="Times New Roman" w:cs="Times New Roman" w:eastAsia="Times New Roman" w:hAnsi="Times New Roman"/>
          <w:sz w:val="24"/>
          <w:szCs w:val="24"/>
        </w:rPr>
        <w:t xml:space="preserve">Es una salida nueva del generador. Sin ella, M1, M3 y M4 solo podrían calcularse con las ventanas planificadas, sin las fallas.</w:t>
      </w:r>
    </w:p>
    <w:p>
      <w:pPr>
        <w:pStyle w:val="ListParagraph"/>
        <w:numPr>
          <w:ilvl w:val="0"/>
          <w:numId w:val="2"/>
        </w:numPr>
        <w:spacing w:after="80" w:line="288"/>
      </w:pPr>
      <w:r>
        <w:rPr>
          <w:rFonts w:ascii="Times New Roman" w:cs="Times New Roman" w:eastAsia="Times New Roman" w:hAnsi="Times New Roman"/>
          <w:b/>
          <w:bCs/>
          <w:sz w:val="24"/>
          <w:szCs w:val="24"/>
        </w:rPr>
        <w:t xml:space="preserve">Tolerancias. </w:t>
      </w:r>
      <w:r>
        <w:rPr>
          <w:rFonts w:ascii="Times New Roman" w:cs="Times New Roman" w:eastAsia="Times New Roman" w:hAnsi="Times New Roman"/>
          <w:sz w:val="24"/>
          <w:szCs w:val="24"/>
        </w:rPr>
        <w:t xml:space="preserve">Los indicadores exactos (H2, M2, C2 y V3 en 100 % y V4 en 0 %) sirven como pruebas del generador. Para los que se comparan con las fuentes, como la media de la preparación del análisis frente a la Tabla 6 de Costigliola et al. (2017), hay que acordar con Bravo qué diferencia se acepta.</w:t>
      </w:r>
    </w:p>
    <w:p>
      <w:pPr>
        <w:pStyle w:val="ListParagraph"/>
        <w:numPr>
          <w:ilvl w:val="0"/>
          <w:numId w:val="2"/>
        </w:numPr>
        <w:spacing w:after="80" w:line="288"/>
      </w:pPr>
      <w:r>
        <w:rPr>
          <w:rFonts w:ascii="Times New Roman" w:cs="Times New Roman" w:eastAsia="Times New Roman" w:hAnsi="Times New Roman"/>
          <w:b/>
          <w:bCs/>
          <w:sz w:val="24"/>
          <w:szCs w:val="24"/>
        </w:rPr>
        <w:t xml:space="preserve">Plazos en el O1. </w:t>
      </w:r>
      <w:r>
        <w:rPr>
          <w:rFonts w:ascii="Times New Roman" w:cs="Times New Roman" w:eastAsia="Times New Roman" w:hAnsi="Times New Roman"/>
          <w:sz w:val="24"/>
          <w:szCs w:val="24"/>
        </w:rPr>
        <w:t xml:space="preserve">Los campos de la muestra y la tardanza solo se amarran a la consistencia. Si en la asesoría se pide un indicador de plazos en el O1, habría que agregarlo al sistema de variables del anteproyecto.</w:t>
      </w:r>
    </w:p>
    <w:p>
      <w:pPr>
        <w:pStyle w:val="Heading1"/>
        <w:keepNext/>
      </w:pPr>
      <w:r>
        <w:rPr>
          <w:rFonts w:ascii="Times New Roman" w:cs="Times New Roman" w:eastAsia="Times New Roman" w:hAnsi="Times New Roman"/>
          <w:b/>
          <w:bCs/>
          <w:sz w:val="26"/>
          <w:szCs w:val="26"/>
        </w:rPr>
        <w:t xml:space="preserve">Referencias</w:t>
      </w:r>
    </w:p>
    <w:p>
      <w:pPr>
        <w:spacing w:after="120" w:line="288"/>
        <w:ind w:left="720" w:hanging="720"/>
      </w:pPr>
      <w:r>
        <w:rPr>
          <w:rFonts w:ascii="Times New Roman" w:cs="Times New Roman" w:eastAsia="Times New Roman" w:hAnsi="Times New Roman"/>
          <w:sz w:val="24"/>
          <w:szCs w:val="24"/>
        </w:rPr>
        <w:t xml:space="preserve">Coito, T., Firme, B., Martins, M. S. E., Vieira, S. M., Figueiredo, J., &amp; Sousa, J. M. C. (2021). Intelligent sensors for real-time decision-making. </w:t>
      </w:r>
      <w:r>
        <w:rPr>
          <w:rFonts w:ascii="Times New Roman" w:cs="Times New Roman" w:eastAsia="Times New Roman" w:hAnsi="Times New Roman"/>
          <w:i/>
          <w:iCs/>
          <w:sz w:val="24"/>
          <w:szCs w:val="24"/>
        </w:rPr>
        <w:t xml:space="preserve">Automation, 2</w:t>
      </w:r>
      <w:r>
        <w:rPr>
          <w:rFonts w:ascii="Times New Roman" w:cs="Times New Roman" w:eastAsia="Times New Roman" w:hAnsi="Times New Roman"/>
          <w:sz w:val="24"/>
          <w:szCs w:val="24"/>
        </w:rPr>
        <w:t xml:space="preserve">(2), 62–82. https://doi.org/10.3390/automation2020004</w:t>
      </w:r>
    </w:p>
    <w:p>
      <w:pPr>
        <w:spacing w:after="120" w:line="288"/>
        <w:ind w:left="720" w:hanging="720"/>
      </w:pPr>
      <w:r>
        <w:rPr>
          <w:rFonts w:ascii="Times New Roman" w:cs="Times New Roman" w:eastAsia="Times New Roman" w:hAnsi="Times New Roman"/>
          <w:sz w:val="24"/>
          <w:szCs w:val="24"/>
        </w:rPr>
        <w:t xml:space="preserve">Costigliola, A., Ataíde, F. A. P., Vieira, S. M., &amp; Sousa, J. M. C. (2017). Simulation model of a quality control laboratory in pharmaceutical industry. </w:t>
      </w:r>
      <w:r>
        <w:rPr>
          <w:rFonts w:ascii="Times New Roman" w:cs="Times New Roman" w:eastAsia="Times New Roman" w:hAnsi="Times New Roman"/>
          <w:i/>
          <w:iCs/>
          <w:sz w:val="24"/>
          <w:szCs w:val="24"/>
        </w:rPr>
        <w:t xml:space="preserve">IFAC-PapersOnLine, 50</w:t>
      </w:r>
      <w:r>
        <w:rPr>
          <w:rFonts w:ascii="Times New Roman" w:cs="Times New Roman" w:eastAsia="Times New Roman" w:hAnsi="Times New Roman"/>
          <w:sz w:val="24"/>
          <w:szCs w:val="24"/>
        </w:rPr>
        <w:t xml:space="preserve">(1), 9014–9019. https://doi.org/10.1016/j.ifacol.2017.08.1582</w:t>
      </w:r>
    </w:p>
    <w:p>
      <w:pPr>
        <w:spacing w:after="120" w:line="288"/>
        <w:ind w:left="720" w:hanging="720"/>
      </w:pPr>
      <w:r>
        <w:rPr>
          <w:rFonts w:ascii="Times New Roman" w:cs="Times New Roman" w:eastAsia="Times New Roman" w:hAnsi="Times New Roman"/>
          <w:sz w:val="24"/>
          <w:szCs w:val="24"/>
        </w:rPr>
        <w:t xml:space="preserve">Cunha, M. M., Viegas, J. L., Martins, M. S. E., Coito, T., Costigliola, A., Figueiredo, J., Sousa, J. M. C., &amp; Vieira, S. M. (2019). Dual resource constrained scheduling for quality control laboratories. </w:t>
      </w:r>
      <w:r>
        <w:rPr>
          <w:rFonts w:ascii="Times New Roman" w:cs="Times New Roman" w:eastAsia="Times New Roman" w:hAnsi="Times New Roman"/>
          <w:i/>
          <w:iCs/>
          <w:sz w:val="24"/>
          <w:szCs w:val="24"/>
        </w:rPr>
        <w:t xml:space="preserve">IFAC-PapersOnLine, 52</w:t>
      </w:r>
      <w:r>
        <w:rPr>
          <w:rFonts w:ascii="Times New Roman" w:cs="Times New Roman" w:eastAsia="Times New Roman" w:hAnsi="Times New Roman"/>
          <w:sz w:val="24"/>
          <w:szCs w:val="24"/>
        </w:rPr>
        <w:t xml:space="preserve">(13), 1421–1426. https://doi.org/10.1016/j.ifacol.2019.11.398</w:t>
      </w:r>
    </w:p>
    <w:p>
      <w:pPr>
        <w:spacing w:after="120" w:line="288"/>
        <w:ind w:left="720" w:hanging="720"/>
      </w:pPr>
      <w:r>
        <w:rPr>
          <w:rFonts w:ascii="Times New Roman" w:cs="Times New Roman" w:eastAsia="Times New Roman" w:hAnsi="Times New Roman"/>
          <w:sz w:val="24"/>
          <w:szCs w:val="24"/>
        </w:rPr>
        <w:t xml:space="preserve">Martins, M. S. E., Viegas, J. L., Coito, T., Firme, B., Costigliola, A., Figueiredo, J., Vieira, S. M., &amp; Sousa, J. M. C. (2023). Minimizing total completion time in large-sized pharmaceutical quality control scheduling. </w:t>
      </w:r>
      <w:r>
        <w:rPr>
          <w:rFonts w:ascii="Times New Roman" w:cs="Times New Roman" w:eastAsia="Times New Roman" w:hAnsi="Times New Roman"/>
          <w:i/>
          <w:iCs/>
          <w:sz w:val="24"/>
          <w:szCs w:val="24"/>
        </w:rPr>
        <w:t xml:space="preserve">Journal of Heuristics, 29</w:t>
      </w:r>
      <w:r>
        <w:rPr>
          <w:rFonts w:ascii="Times New Roman" w:cs="Times New Roman" w:eastAsia="Times New Roman" w:hAnsi="Times New Roman"/>
          <w:sz w:val="24"/>
          <w:szCs w:val="24"/>
        </w:rPr>
        <w:t xml:space="preserve">(1), 177–206. https://doi.org/10.1007/s10732-023-09509-8</w:t>
      </w:r>
    </w:p>
    <w:p>
      <w:pPr>
        <w:spacing w:after="120" w:line="288"/>
        <w:ind w:left="720" w:hanging="720"/>
      </w:pPr>
      <w:r>
        <w:rPr>
          <w:rFonts w:ascii="Times New Roman" w:cs="Times New Roman" w:eastAsia="Times New Roman" w:hAnsi="Times New Roman"/>
          <w:sz w:val="24"/>
          <w:szCs w:val="24"/>
        </w:rPr>
        <w:t xml:space="preserve">Mischek, F., &amp; Musliu, N. (2021). A local search framework for industrial test laboratory scheduling. </w:t>
      </w:r>
      <w:r>
        <w:rPr>
          <w:rFonts w:ascii="Times New Roman" w:cs="Times New Roman" w:eastAsia="Times New Roman" w:hAnsi="Times New Roman"/>
          <w:i/>
          <w:iCs/>
          <w:sz w:val="24"/>
          <w:szCs w:val="24"/>
        </w:rPr>
        <w:t xml:space="preserve">Annals of Operations Research, 302</w:t>
      </w:r>
      <w:r>
        <w:rPr>
          <w:rFonts w:ascii="Times New Roman" w:cs="Times New Roman" w:eastAsia="Times New Roman" w:hAnsi="Times New Roman"/>
          <w:sz w:val="24"/>
          <w:szCs w:val="24"/>
        </w:rPr>
        <w:t xml:space="preserve">(2), 533–562. https://doi.org/10.1007/s10479-021-04007-1</w:t>
      </w:r>
    </w:p>
    <w:p>
      <w:pPr>
        <w:spacing w:after="120" w:line="288"/>
        <w:ind w:left="720" w:hanging="720"/>
      </w:pPr>
      <w:r>
        <w:rPr>
          <w:rFonts w:ascii="Times New Roman" w:cs="Times New Roman" w:eastAsia="Times New Roman" w:hAnsi="Times New Roman"/>
          <w:sz w:val="24"/>
          <w:szCs w:val="24"/>
        </w:rPr>
        <w:t xml:space="preserve">Moran, P. A. P. (1948). Rank correlation and product-moment correlation. </w:t>
      </w:r>
      <w:r>
        <w:rPr>
          <w:rFonts w:ascii="Times New Roman" w:cs="Times New Roman" w:eastAsia="Times New Roman" w:hAnsi="Times New Roman"/>
          <w:i/>
          <w:iCs/>
          <w:sz w:val="24"/>
          <w:szCs w:val="24"/>
        </w:rPr>
        <w:t xml:space="preserve">Biometrika, 35</w:t>
      </w:r>
      <w:r>
        <w:rPr>
          <w:rFonts w:ascii="Times New Roman" w:cs="Times New Roman" w:eastAsia="Times New Roman" w:hAnsi="Times New Roman"/>
          <w:sz w:val="24"/>
          <w:szCs w:val="24"/>
        </w:rPr>
        <w:t xml:space="preserve">(1–2), 203–206. https://doi.org/10.1093/biomet/35.1-2.203</w:t>
      </w:r>
    </w:p>
    <w:p>
      <w:pPr>
        <w:spacing w:after="120" w:line="288"/>
        <w:ind w:left="720" w:hanging="720"/>
      </w:pPr>
      <w:r>
        <w:rPr>
          <w:rFonts w:ascii="Times New Roman" w:cs="Times New Roman" w:eastAsia="Times New Roman" w:hAnsi="Times New Roman"/>
          <w:sz w:val="24"/>
          <w:szCs w:val="24"/>
        </w:rPr>
        <w:t xml:space="preserve">World Health Organization. (2024). WHO good practices for pharmaceutical quality control laboratories. En </w:t>
      </w:r>
      <w:r>
        <w:rPr>
          <w:rFonts w:ascii="Times New Roman" w:cs="Times New Roman" w:eastAsia="Times New Roman" w:hAnsi="Times New Roman"/>
          <w:i/>
          <w:iCs/>
          <w:sz w:val="24"/>
          <w:szCs w:val="24"/>
        </w:rPr>
        <w:t xml:space="preserve">WHO Expert Committee on Specifications for Pharmaceutical Preparations: Fifty-seventh report</w:t>
      </w:r>
      <w:r>
        <w:rPr>
          <w:rFonts w:ascii="Times New Roman" w:cs="Times New Roman" w:eastAsia="Times New Roman" w:hAnsi="Times New Roman"/>
          <w:sz w:val="24"/>
          <w:szCs w:val="24"/>
        </w:rPr>
        <w:t xml:space="preserve"> (WHO Technical Report Series, No. 1052, Annex 4). World Health Organization. https://www.who.int/publications/m/item/who-good-practices-for-pharmaceutical-quality-control-laboratories</w:t>
      </w:r>
    </w:p>
    <w:p>
      <w:pPr>
        <w:spacing w:after="120" w:line="288"/>
        <w:ind w:left="720" w:hanging="720"/>
      </w:pPr>
      <w:r>
        <w:rPr>
          <w:rFonts w:ascii="Times New Roman" w:cs="Times New Roman" w:eastAsia="Times New Roman" w:hAnsi="Times New Roman"/>
          <w:sz w:val="24"/>
          <w:szCs w:val="24"/>
        </w:rPr>
        <w:t xml:space="preserve">Xu, W., Hou, Y., Hung, Y. S., &amp; Zou, Y. (2010). </w:t>
      </w:r>
      <w:r>
        <w:rPr>
          <w:rFonts w:ascii="Times New Roman" w:cs="Times New Roman" w:eastAsia="Times New Roman" w:hAnsi="Times New Roman"/>
          <w:i/>
          <w:iCs/>
          <w:sz w:val="24"/>
          <w:szCs w:val="24"/>
        </w:rPr>
        <w:t xml:space="preserve">Comparison of Spearman's rho and Kendall's tau in normal and contaminated normal models</w:t>
      </w:r>
      <w:r>
        <w:rPr>
          <w:rFonts w:ascii="Times New Roman" w:cs="Times New Roman" w:eastAsia="Times New Roman" w:hAnsi="Times New Roman"/>
          <w:sz w:val="24"/>
          <w:szCs w:val="24"/>
        </w:rPr>
        <w:t xml:space="preserve"> (arXiv:1011.2009). arXiv. https://doi.org/10.48550/arXiv.1011.2009</w:t>
      </w:r>
    </w:p>
    <w:sectPr>
      <w:footerReference w:type="default" r:id="rId6"/>
      <w:pgSz w:w="12240" w:h="15840" w:orient="portrait"/>
      <w:pgMar w:top="1418" w:right="1418" w:bottom="1418" w:left="226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808080"/>
        <w:sz w:val="18"/>
        <w:szCs w:val="18"/>
      </w:rPr>
      <w:t xml:space="preserve">Estructura del dataset y diccionario de datos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del dataset y diccionario de datos</dc:title>
  <dc:creator>Carlos Campo y Aldair Cétares</dc:creator>
  <cp:lastModifiedBy>Un-named</cp:lastModifiedBy>
  <cp:revision>1</cp:revision>
  <dcterms:created xsi:type="dcterms:W3CDTF">2026-10-28T19:42:08.782Z</dcterms:created>
  <dcterms:modified xsi:type="dcterms:W3CDTF">2026-10-28T19:42:08.783Z</dcterms:modified>
</cp:coreProperties>
</file>

<file path=docProps/custom.xml><?xml version="1.0" encoding="utf-8"?>
<Properties xmlns="http://schemas.openxmlformats.org/officeDocument/2006/custom-properties" xmlns:vt="http://schemas.openxmlformats.org/officeDocument/2006/docPropsVTypes"/>
</file>