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8"/>
        <w:jc w:val="center"/>
      </w:pPr>
      <w:r>
        <w:rPr>
          <w:rFonts w:ascii="Times New Roman" w:cs="Times New Roman" w:eastAsia="Times New Roman" w:hAnsi="Times New Roman"/>
          <w:b/>
          <w:bCs/>
          <w:sz w:val="32"/>
          <w:szCs w:val="32"/>
        </w:rPr>
        <w:t xml:space="preserve">Diseño del laboratorio de referencia</w:t>
      </w:r>
    </w:p>
    <w:p>
      <w:pPr>
        <w:spacing w:after="60" w:before="0" w:line="288"/>
        <w:jc w:val="center"/>
      </w:pPr>
      <w:r>
        <w:rPr>
          <w:rFonts w:ascii="Times New Roman" w:cs="Times New Roman" w:eastAsia="Times New Roman" w:hAnsi="Times New Roman"/>
          <w:i/>
          <w:iCs/>
          <w:sz w:val="24"/>
          <w:szCs w:val="24"/>
        </w:rPr>
        <w:t xml:space="preserve">Objetivo específico 1 · insumo para los resultados del O1</w:t>
      </w:r>
    </w:p>
    <w:p>
      <w:pPr>
        <w:spacing w:after="0" w:before="0" w:line="288"/>
        <w:jc w:val="center"/>
      </w:pPr>
      <w:r>
        <w:rPr>
          <w:rFonts w:ascii="Times New Roman" w:cs="Times New Roman" w:eastAsia="Times New Roman" w:hAnsi="Times New Roman"/>
          <w:sz w:val="22"/>
          <w:szCs w:val="22"/>
        </w:rPr>
        <w:t xml:space="preserve">Carlos Campo y Aldair Cétares · Tutor: Dr. Antonio José Bravo Valero</w:t>
      </w:r>
    </w:p>
    <w:p>
      <w:pPr>
        <w:spacing w:after="60" w:before="0" w:line="288"/>
        <w:jc w:val="center"/>
      </w:pPr>
      <w:r>
        <w:rPr>
          <w:rFonts w:ascii="Times New Roman" w:cs="Times New Roman" w:eastAsia="Times New Roman" w:hAnsi="Times New Roman"/>
          <w:sz w:val="22"/>
          <w:szCs w:val="22"/>
        </w:rPr>
        <w:t xml:space="preserve">Maestría en Ciencia de Datos, Universidad Simón Bolívar</w:t>
      </w:r>
    </w:p>
    <w:p>
      <w:pPr>
        <w:pBdr>
          <w:bottom w:val="single" w:color="808080" w:sz="6" w:space="8"/>
        </w:pBdr>
        <w:spacing w:after="240" w:before="0" w:line="288"/>
        <w:jc w:val="center"/>
      </w:pPr>
      <w:r>
        <w:rPr>
          <w:rFonts w:ascii="Times New Roman" w:cs="Times New Roman" w:eastAsia="Times New Roman" w:hAnsi="Times New Roman"/>
          <w:color w:val="595959"/>
          <w:sz w:val="20"/>
          <w:szCs w:val="20"/>
        </w:rPr>
        <w:t xml:space="preserve">Versión del 29 de octubre de 2026 · documento completo (secciones 1 a 4)</w:t>
      </w:r>
    </w:p>
    <w:p>
      <w:pPr>
        <w:spacing w:after="120" w:before="0" w:line="288"/>
        <w:jc w:val="left"/>
      </w:pPr>
      <w:r>
        <w:rPr>
          <w:rFonts w:ascii="Times New Roman" w:cs="Times New Roman" w:eastAsia="Times New Roman" w:hAnsi="Times New Roman"/>
          <w:sz w:val="24"/>
          <w:szCs w:val="24"/>
        </w:rPr>
        <w:t xml:space="preserve">El caso de estudio del trabajo es un laboratorio de control de calidad farmacéutico de referencia, construido con parámetros publicados en la literatura (anteproyecto, §1.4). Este documento fija su diseño en cuatro partes: el catálogo de ensayos, los tipos de muestra, los equipos y analistas, y los turnos con sus ventanas de mantenimiento y calibración. Cada decisión remite a una fuente o queda declarada como supuesto en la hoja de parámetros del repositorio (datos/parametros/Parametros_generador_tesis.xlsx, hojas «Demanda», «Duraciones», «Catálogo», «Calibración del catálogo», «Tipos de muestra», «Calibración de tipos», «Equipos», «Analistas», «Calibración de recursos», «Turnos», «Rotación», «Mantenimiento», «Calibración de turnos» y «Supuestos»), y alimenta las dimensiones de recursos humanos, recursos materiales y disponibilidad cruzada de recursos del sistema de variables.</w:t>
      </w:r>
    </w:p>
    <w:p>
      <w:pPr>
        <w:keepNext/>
        <w:spacing w:after="60" w:before="0" w:line="288"/>
        <w:jc w:val="left"/>
      </w:pPr>
      <w:r>
        <w:rPr>
          <w:rFonts w:ascii="Times New Roman" w:cs="Times New Roman" w:eastAsia="Times New Roman" w:hAnsi="Times New Roman"/>
          <w:b/>
          <w:bCs/>
          <w:sz w:val="24"/>
          <w:szCs w:val="24"/>
        </w:rPr>
        <w:t xml:space="preserve">Lo que queda decidido:</w:t>
      </w:r>
    </w:p>
    <w:p>
      <w:pPr>
        <w:pStyle w:val="ListParagraph"/>
        <w:numPr>
          <w:ilvl w:val="0"/>
          <w:numId w:val="2"/>
        </w:numPr>
        <w:spacing w:after="80" w:line="288"/>
      </w:pPr>
      <w:r>
        <w:rPr>
          <w:rFonts w:ascii="Times New Roman" w:cs="Times New Roman" w:eastAsia="Times New Roman" w:hAnsi="Times New Roman"/>
          <w:sz w:val="24"/>
          <w:szCs w:val="24"/>
        </w:rPr>
        <w:t xml:space="preserve">Doce métodos, dos por técnica, elegidos entre los ensayos que exige una especificación (ICH Q6A) y referidos a su capítulo general de la USP.</w:t>
      </w:r>
    </w:p>
    <w:p>
      <w:pPr>
        <w:pStyle w:val="ListParagraph"/>
        <w:numPr>
          <w:ilvl w:val="0"/>
          <w:numId w:val="2"/>
        </w:numPr>
        <w:spacing w:after="80" w:line="288"/>
      </w:pPr>
      <w:r>
        <w:rPr>
          <w:rFonts w:ascii="Times New Roman" w:cs="Times New Roman" w:eastAsia="Times New Roman" w:hAnsi="Times New Roman"/>
          <w:sz w:val="24"/>
          <w:szCs w:val="24"/>
        </w:rPr>
        <w:t xml:space="preserve">La complejidad se mide por el número de soluciones que hay que preparar (1–2, 3–4 o 5–6) y fija la calificación mínima del analista y la probabilidad de reanálisis.</w:t>
      </w:r>
    </w:p>
    <w:p>
      <w:pPr>
        <w:pStyle w:val="ListParagraph"/>
        <w:numPr>
          <w:ilvl w:val="0"/>
          <w:numId w:val="2"/>
        </w:numPr>
        <w:spacing w:after="80" w:line="288"/>
      </w:pPr>
      <w:r>
        <w:rPr>
          <w:rFonts w:ascii="Times New Roman" w:cs="Times New Roman" w:eastAsia="Times New Roman" w:hAnsi="Times New Roman"/>
          <w:sz w:val="24"/>
          <w:szCs w:val="24"/>
        </w:rPr>
        <w:t xml:space="preserve">La participación y la corrida de cada método se calibran para conservar los promedios por técnica de Costigliola et al. (2017).</w:t>
      </w:r>
    </w:p>
    <w:p>
      <w:pPr>
        <w:pStyle w:val="ListParagraph"/>
        <w:numPr>
          <w:ilvl w:val="0"/>
          <w:numId w:val="2"/>
        </w:numPr>
        <w:spacing w:after="80" w:line="288"/>
      </w:pPr>
      <w:r>
        <w:rPr>
          <w:rFonts w:ascii="Times New Roman" w:cs="Times New Roman" w:eastAsia="Times New Roman" w:hAnsi="Times New Roman"/>
          <w:sz w:val="24"/>
          <w:szCs w:val="24"/>
        </w:rPr>
        <w:t xml:space="preserve">Con esa calibración, el 46,3 % de los ensayos es de complejidad baja; el 50,3 %, de complejidad media, y el 3,4 %, de complejidad alta.</w:t>
      </w:r>
    </w:p>
    <w:p>
      <w:pPr>
        <w:pStyle w:val="ListParagraph"/>
        <w:numPr>
          <w:ilvl w:val="0"/>
          <w:numId w:val="2"/>
        </w:numPr>
        <w:spacing w:after="80" w:line="288"/>
      </w:pPr>
      <w:r>
        <w:rPr>
          <w:rFonts w:ascii="Times New Roman" w:cs="Times New Roman" w:eastAsia="Times New Roman" w:hAnsi="Times New Roman"/>
          <w:sz w:val="24"/>
          <w:szCs w:val="24"/>
        </w:rPr>
        <w:t xml:space="preserve">Cinco tipos de muestra (materia prima, control en proceso, granel, producto terminado y estabilidad), con las definiciones de la OMS salvo la de estabilidad, que es propia.</w:t>
      </w:r>
    </w:p>
    <w:p>
      <w:pPr>
        <w:pStyle w:val="ListParagraph"/>
        <w:numPr>
          <w:ilvl w:val="0"/>
          <w:numId w:val="2"/>
        </w:numPr>
        <w:spacing w:after="80" w:line="288"/>
      </w:pPr>
      <w:r>
        <w:rPr>
          <w:rFonts w:ascii="Times New Roman" w:cs="Times New Roman" w:eastAsia="Times New Roman" w:hAnsi="Times New Roman"/>
          <w:sz w:val="24"/>
          <w:szCs w:val="24"/>
        </w:rPr>
        <w:t xml:space="preserve">El control en proceso llega a toda hora y tiene 4 horas de plazo; lo demás llega de lunes a viernes, con plazos de 1 a 10 días hábiles.</w:t>
      </w:r>
    </w:p>
    <w:p>
      <w:pPr>
        <w:pStyle w:val="ListParagraph"/>
        <w:numPr>
          <w:ilvl w:val="0"/>
          <w:numId w:val="2"/>
        </w:numPr>
        <w:spacing w:after="80" w:line="288"/>
      </w:pPr>
      <w:r>
        <w:rPr>
          <w:rFonts w:ascii="Times New Roman" w:cs="Times New Roman" w:eastAsia="Times New Roman" w:hAnsi="Times New Roman"/>
          <w:sz w:val="24"/>
          <w:szCs w:val="24"/>
        </w:rPr>
        <w:t xml:space="preserve">La proporción de cada tipo es un supuesto (30 % de control en proceso en el escenario base), y la mezcla de métodos dentro de cada tipo se ajusta para conservar la mezcla de técnicas de Costigliola et al. (2017).</w:t>
      </w:r>
    </w:p>
    <w:p>
      <w:pPr>
        <w:pStyle w:val="ListParagraph"/>
        <w:numPr>
          <w:ilvl w:val="0"/>
          <w:numId w:val="2"/>
        </w:numPr>
        <w:spacing w:after="80" w:line="288"/>
      </w:pPr>
      <w:r>
        <w:rPr>
          <w:rFonts w:ascii="Times New Roman" w:cs="Times New Roman" w:eastAsia="Times New Roman" w:hAnsi="Times New Roman"/>
          <w:sz w:val="24"/>
          <w:szCs w:val="24"/>
        </w:rPr>
        <w:t xml:space="preserve">Setenta equipos en diez configuraciones (41 HPLC), repartidos según las horas de equipo que pide cada una, y veinte analistas en los tres turnos de Costigliola et al. (2017), con nivel de experiencia y área de trabajo.</w:t>
      </w:r>
    </w:p>
    <w:p>
      <w:pPr>
        <w:pStyle w:val="ListParagraph"/>
        <w:numPr>
          <w:ilvl w:val="0"/>
          <w:numId w:val="2"/>
        </w:numPr>
        <w:spacing w:after="80" w:line="288"/>
      </w:pPr>
      <w:r>
        <w:rPr>
          <w:rFonts w:ascii="Times New Roman" w:cs="Times New Roman" w:eastAsia="Times New Roman" w:hAnsi="Times New Roman"/>
          <w:sz w:val="24"/>
          <w:szCs w:val="24"/>
        </w:rPr>
        <w:t xml:space="preserve">La matriz de calificación sale de una regla (nivel suficiente y técnica dentro del área) y cubre todos los métodos; el turno 1 cubre todo el control en proceso.</w:t>
      </w:r>
    </w:p>
    <w:p>
      <w:pPr>
        <w:pStyle w:val="ListParagraph"/>
        <w:numPr>
          <w:ilvl w:val="0"/>
          <w:numId w:val="2"/>
        </w:numPr>
        <w:spacing w:after="80" w:line="288"/>
      </w:pPr>
      <w:r>
        <w:rPr>
          <w:rFonts w:ascii="Times New Roman" w:cs="Times New Roman" w:eastAsia="Times New Roman" w:hAnsi="Times New Roman"/>
          <w:sz w:val="24"/>
          <w:szCs w:val="24"/>
        </w:rPr>
        <w:t xml:space="preserve">Los turnos son los de la Tabla 1 de Costigliola et al. (2017), con una rotación que la reproduce: siempre hay al menos 2 analistas en turno y un día hábil llega a 14 entre las 8:00 y las 17:00.</w:t>
      </w:r>
    </w:p>
    <w:p>
      <w:pPr>
        <w:pStyle w:val="ListParagraph"/>
        <w:numPr>
          <w:ilvl w:val="0"/>
          <w:numId w:val="2"/>
        </w:numPr>
        <w:spacing w:after="80" w:line="288"/>
      </w:pPr>
      <w:r>
        <w:rPr>
          <w:rFonts w:ascii="Times New Roman" w:cs="Times New Roman" w:eastAsia="Times New Roman" w:hAnsi="Times New Roman"/>
          <w:sz w:val="24"/>
          <w:szCs w:val="24"/>
        </w:rPr>
        <w:t xml:space="preserve">Cada equipo sale de servicio una vez por trimestre por mantenimiento o verificación, y además está fuera de servicio por fallas aleatorias el 5 % del tiempo.</w:t>
      </w:r>
    </w:p>
    <w:p>
      <w:pPr>
        <w:pStyle w:val="Heading1"/>
        <w:keepNext/>
      </w:pPr>
      <w:r>
        <w:rPr>
          <w:rFonts w:ascii="Times New Roman" w:cs="Times New Roman" w:eastAsia="Times New Roman" w:hAnsi="Times New Roman"/>
          <w:b/>
          <w:bCs/>
          <w:sz w:val="26"/>
          <w:szCs w:val="26"/>
        </w:rPr>
        <w:t xml:space="preserve">1. Catálogo de ensayos y su complejidad</w:t>
      </w:r>
    </w:p>
    <w:p>
      <w:pPr>
        <w:pStyle w:val="Heading2"/>
        <w:keepNext/>
      </w:pPr>
      <w:r>
        <w:rPr>
          <w:rFonts w:ascii="Times New Roman" w:cs="Times New Roman" w:eastAsia="Times New Roman" w:hAnsi="Times New Roman"/>
          <w:b/>
          <w:bCs/>
          <w:sz w:val="24"/>
          <w:szCs w:val="24"/>
        </w:rPr>
        <w:t xml:space="preserve">1.1 Criterios de selección</w:t>
      </w:r>
    </w:p>
    <w:p>
      <w:pPr>
        <w:spacing w:after="120" w:before="0" w:line="288"/>
        <w:jc w:val="left"/>
      </w:pPr>
      <w:r>
        <w:rPr>
          <w:rFonts w:ascii="Times New Roman" w:cs="Times New Roman" w:eastAsia="Times New Roman" w:hAnsi="Times New Roman"/>
          <w:sz w:val="24"/>
          <w:szCs w:val="24"/>
        </w:rPr>
        <w:t xml:space="preserve">Las seis técnicas del catálogo son las del laboratorio que modelan Costigliola et al. (2017, p. 9015): cromatografía líquida de alta eficiencia (HPLC), cromatografía de gases (GC), análisis de tamaño de partícula (PSA), titulación Karl Fischer (KF), calorimetría diferencial de barrido (DSC) y difracción de rayos X de polvo (XRPD). Para cada técnica se eligieron dos ensayos típicos, uno simple y uno exigente, entre los que una especificación debe incluir: de los ensayos universales, la valoración y las impurezas (que comprenden los solventes residuales), y de los específicos del principio activo, el punto de fusión, el tamaño de partícula, la forma polimórfica y el contenido de agua (International Conference on Harmonisation of Technical Requirements for Registration of Pharmaceuticals for Human Use [ICH], 1999, §3.2.1 y §3.3.1). Cada ensayo se asocia al capítulo general de la Farmacopea de los Estados Unidos que lo describe (United States Pharmacopeial Convention [USP], s. f.).</w:t>
      </w:r>
    </w:p>
    <w:p>
      <w:pPr>
        <w:spacing w:after="120" w:before="0" w:line="288"/>
        <w:jc w:val="left"/>
      </w:pPr>
      <w:r>
        <w:rPr>
          <w:rFonts w:ascii="Times New Roman" w:cs="Times New Roman" w:eastAsia="Times New Roman" w:hAnsi="Times New Roman"/>
          <w:sz w:val="24"/>
          <w:szCs w:val="24"/>
        </w:rPr>
        <w:t xml:space="preserve">Dos métodos por técnica bastan para que el método sea una fuente de variación propia de la duración, en el orden que describen Coito et al. (2021, p. 74): la variabilidad viene primero de la técnica, luego del método y, por último, de la especificación del cliente. Quedan por fuera la descripción, que es una inspección visual sin equipo; la identificación por espectroscopía infrarroja, que no está entre las seis técnicas (la identificación por tiempo de retención sale de la misma corrida de la valoración por HPLC), y el desarrollo y la validación de métodos, que Costigliola et al. (2017, p. 9015) mencionan entre las tareas del laboratorio, pero que no son ensayos de rutina.</w:t>
      </w:r>
    </w:p>
    <w:p>
      <w:pPr>
        <w:keepNext/>
        <w:spacing w:after="0" w:before="200" w:line="288"/>
        <w:jc w:val="left"/>
      </w:pPr>
      <w:r>
        <w:rPr>
          <w:rFonts w:ascii="Times New Roman" w:cs="Times New Roman" w:eastAsia="Times New Roman" w:hAnsi="Times New Roman"/>
          <w:b/>
          <w:bCs/>
          <w:sz w:val="24"/>
          <w:szCs w:val="24"/>
        </w:rPr>
        <w:t xml:space="preserve">Tabla 1</w:t>
      </w:r>
    </w:p>
    <w:p>
      <w:pPr>
        <w:keepNext/>
        <w:spacing w:after="80" w:before="0" w:line="288"/>
        <w:jc w:val="left"/>
      </w:pPr>
      <w:r>
        <w:rPr>
          <w:rFonts w:ascii="Times New Roman" w:cs="Times New Roman" w:eastAsia="Times New Roman" w:hAnsi="Times New Roman"/>
          <w:i/>
          <w:iCs/>
          <w:sz w:val="24"/>
          <w:szCs w:val="24"/>
        </w:rPr>
        <w:t xml:space="preserve">Catálogo de métodos del laboratorio de referencia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560"/>
        <w:gridCol w:w="820"/>
        <w:gridCol w:w="2150"/>
        <w:gridCol w:w="3324"/>
        <w:gridCol w:w="1700"/>
      </w:tblGrid>
      <w:tr>
        <w:trPr>
          <w:cantSplit/>
          <w:tblHeader/>
        </w:trPr>
        <w:tc>
          <w:tcPr>
            <w:tcW w:type="dxa" w:w="56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ID</w:t>
            </w:r>
          </w:p>
        </w:tc>
        <w:tc>
          <w:tcPr>
            <w:tcW w:type="dxa" w:w="82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Técnica</w:t>
            </w:r>
          </w:p>
        </w:tc>
        <w:tc>
          <w:tcPr>
            <w:tcW w:type="dxa" w:w="2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Ensayo</w:t>
            </w:r>
          </w:p>
        </w:tc>
        <w:tc>
          <w:tcPr>
            <w:tcW w:type="dxa" w:w="332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Qué mide</w:t>
            </w:r>
          </w:p>
        </w:tc>
        <w:tc>
          <w:tcPr>
            <w:tcW w:type="dxa" w:w="1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Referencia</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M01</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Valoración del principio activo</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Contenido del principio activo frente a un estándar de referencia; la identificación por tiempo de retención sale de la misma corrida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&lt;621&gt;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M02</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Sustancias relacionadas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Impurezas orgánicas y productos de degradación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&lt;621&gt; y &lt;1086&gt;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M03</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Pureza de materias primas volátiles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Pureza de solventes y otras materias primas volátiles</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&lt;621&gt;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M04</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Solventes residuales</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Solventes orgánicos que quedan del proceso de fabricación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&lt;467&gt;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M05</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PSA</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Tamaño de partícula, vía seca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Distribución de tamaño por difracción láser, con la muestra dispersa en aire</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&lt;429&gt;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M06</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PSA</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Tamaño de partícula, vía húmeda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La misma distribución, con la muestra dispersa en un líquido</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&lt;429&gt;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M07</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KF</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Agua por KF volumétrico</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Contenido de agua por titulación directa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&lt;921&gt;, método Ia</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M08</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KF</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Agua por KF coulométrico con horno</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Agua en cantidades bajas, liberada en un horno y titulada por coulometría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&lt;921&gt;, método Ic</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M09</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DSC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Punto de fusión</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Temperatura de fusión, para identificar el material</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&lt;891&gt;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M10</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DSC</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Forma polimórfica y pureza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Forma cristalina y pureza a partir del pico de fusión</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&lt;891&gt;</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M11</w:t>
            </w:r>
          </w:p>
        </w:tc>
        <w:tc>
          <w:tcPr>
            <w:tcW w:type="dxa" w:w="82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XRPD</w:t>
            </w:r>
          </w:p>
        </w:tc>
        <w:tc>
          <w:tcPr>
            <w:tcW w:type="dxa" w:w="2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Identificación de la forma cristalina</w:t>
            </w:r>
          </w:p>
        </w:tc>
        <w:tc>
          <w:tcPr>
            <w:tcW w:type="dxa" w:w="332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Patrón de difracción para confirmar la forma cristalina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USP &lt;941&gt;</w:t>
            </w:r>
          </w:p>
        </w:tc>
      </w:tr>
      <w:tr>
        <w:trPr>
          <w:cantSplit/>
        </w:trPr>
        <w:tc>
          <w:tcPr>
            <w:tcW w:type="dxa" w:w="56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M12</w:t>
            </w:r>
          </w:p>
        </w:tc>
        <w:tc>
          <w:tcPr>
            <w:tcW w:type="dxa" w:w="82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XRPD</w:t>
            </w:r>
          </w:p>
        </w:tc>
        <w:tc>
          <w:tcPr>
            <w:tcW w:type="dxa" w:w="2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Cuantificación de fases</w:t>
            </w:r>
          </w:p>
        </w:tc>
        <w:tc>
          <w:tcPr>
            <w:tcW w:type="dxa" w:w="332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Porcentaje de una forma no deseada o de material amorfo, con curva de calibración</w:t>
            </w:r>
          </w:p>
        </w:tc>
        <w:tc>
          <w:tcPr>
            <w:tcW w:type="dxa" w:w="1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USP &lt;941&gt;</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Referencia = capítulo general de la USP–NF (USP, s. f.). En cada técnica, el primer método es el simple y el segundo, el exigente.</w:t>
      </w:r>
    </w:p>
    <w:p>
      <w:pPr>
        <w:pStyle w:val="Heading2"/>
        <w:keepNext/>
      </w:pPr>
      <w:r>
        <w:rPr>
          <w:rFonts w:ascii="Times New Roman" w:cs="Times New Roman" w:eastAsia="Times New Roman" w:hAnsi="Times New Roman"/>
          <w:b/>
          <w:bCs/>
          <w:sz w:val="24"/>
          <w:szCs w:val="24"/>
        </w:rPr>
        <w:t xml:space="preserve">1.2 Complejidad</w:t>
      </w:r>
    </w:p>
    <w:p>
      <w:pPr>
        <w:spacing w:after="120" w:before="0" w:line="288"/>
        <w:jc w:val="left"/>
      </w:pPr>
      <w:r>
        <w:rPr>
          <w:rFonts w:ascii="Times New Roman" w:cs="Times New Roman" w:eastAsia="Times New Roman" w:hAnsi="Times New Roman"/>
          <w:sz w:val="24"/>
          <w:szCs w:val="24"/>
        </w:rPr>
        <w:t xml:space="preserve">La complejidad de un método se define por el número de soluciones que hay que preparar para un ensayo: baja (1 o 2), media (3 o 4) y alta (5 o 6). Es la variable con la que Costigliola et al. (2017, p. 9019) escalan el tiempo de preparación: el tiempo de preparar el análisis es el tiempo de preparación por solución multiplicado por el número de soluciones. Así, la complejidad se conecta con la duración por una relación estructural y no por una correlación supuesta. Coito et al. (2021, p. 65) reseñan, además, un estudio que examina la duración de las tareas según varios factores, entre ellos la experiencia del operario y la complejidad tecnológica.</w:t>
      </w:r>
    </w:p>
    <w:p>
      <w:pPr>
        <w:spacing w:after="120" w:before="0" w:line="288"/>
        <w:jc w:val="left"/>
      </w:pPr>
      <w:r>
        <w:rPr>
          <w:rFonts w:ascii="Times New Roman" w:cs="Times New Roman" w:eastAsia="Times New Roman" w:hAnsi="Times New Roman"/>
          <w:sz w:val="24"/>
          <w:szCs w:val="24"/>
        </w:rPr>
        <w:t xml:space="preserve">En la fuente, el número de soluciones es fijo para cada método (Costigliola et al., 2017, p. 9016); aquí varía de manera uniforme dentro del rango de su nivel, para representar la tercera fuente de variabilidad de Coito et al. (2021, p. 74), la especificación del cliente. La complejidad mide el esfuerzo de preparación del analista; la diferencia de tiempo de equipo entre métodos se representa aparte, con la corrida (sección 1.4). Por eso sustancias relacionadas queda en complejidad media aunque tenga la corrida promedio más larga del catálogo.</w:t>
      </w:r>
    </w:p>
    <w:p>
      <w:pPr>
        <w:keepNext/>
        <w:spacing w:after="60" w:before="0" w:line="288"/>
        <w:jc w:val="left"/>
      </w:pPr>
      <w:r>
        <w:rPr>
          <w:rFonts w:ascii="Times New Roman" w:cs="Times New Roman" w:eastAsia="Times New Roman" w:hAnsi="Times New Roman"/>
          <w:sz w:val="24"/>
          <w:szCs w:val="24"/>
        </w:rPr>
        <w:t xml:space="preserve">La complejidad decide, además, dos atributos del ensayo, ambos declarados como supuestos:</w:t>
      </w:r>
    </w:p>
    <w:p>
      <w:pPr>
        <w:pStyle w:val="ListParagraph"/>
        <w:numPr>
          <w:ilvl w:val="0"/>
          <w:numId w:val="2"/>
        </w:numPr>
        <w:spacing w:after="80" w:line="288"/>
      </w:pPr>
      <w:r>
        <w:rPr>
          <w:rFonts w:ascii="Times New Roman" w:cs="Times New Roman" w:eastAsia="Times New Roman" w:hAnsi="Times New Roman"/>
          <w:b/>
          <w:bCs/>
          <w:sz w:val="24"/>
          <w:szCs w:val="24"/>
        </w:rPr>
        <w:t xml:space="preserve">La calificación mínima del analista. </w:t>
      </w:r>
      <w:r>
        <w:rPr>
          <w:rFonts w:ascii="Times New Roman" w:cs="Times New Roman" w:eastAsia="Times New Roman" w:hAnsi="Times New Roman"/>
          <w:sz w:val="24"/>
          <w:szCs w:val="24"/>
        </w:rPr>
        <w:t xml:space="preserve">Un analista júnior puede hacer métodos de complejidad baja; uno intermedio, de complejidad baja y media, y solo un sénior, los de complejidad alta (supuesto S12). La matriz de calificación de la sección 3 asigna los métodos concretos de cada analista dentro de esta regla, porque un mismo analista está calificado solo para algunos métodos (anteproyecto, §1.2).</w:t>
      </w:r>
    </w:p>
    <w:p>
      <w:pPr>
        <w:pStyle w:val="ListParagraph"/>
        <w:numPr>
          <w:ilvl w:val="0"/>
          <w:numId w:val="2"/>
        </w:numPr>
        <w:spacing w:after="80" w:line="288"/>
      </w:pPr>
      <w:r>
        <w:rPr>
          <w:rFonts w:ascii="Times New Roman" w:cs="Times New Roman" w:eastAsia="Times New Roman" w:hAnsi="Times New Roman"/>
          <w:b/>
          <w:bCs/>
          <w:sz w:val="24"/>
          <w:szCs w:val="24"/>
        </w:rPr>
        <w:t xml:space="preserve">La probabilidad de reanálisis. </w:t>
      </w:r>
      <w:r>
        <w:rPr>
          <w:rFonts w:ascii="Times New Roman" w:cs="Times New Roman" w:eastAsia="Times New Roman" w:hAnsi="Times New Roman"/>
          <w:sz w:val="24"/>
          <w:szCs w:val="24"/>
        </w:rPr>
        <w:t xml:space="preserve">Se asume que crece con la complejidad, porque más soluciones son más oportunidades de error. Los multiplicadores 0,5, 1 y 2 se aplican sobre la tasa base de reanálisis por resultados fuera de especificación (S01, 2 % en el escenario central) y se normalizan para que el promedio del laboratorio siga siendo esa tasa (supuesto S13). Coito et al. (2021, p. 74) confirman que algunas subtareas fallan y deben repetirse, pero no reportan tasas.</w:t>
      </w:r>
    </w:p>
    <w:p>
      <w:pPr>
        <w:keepNext/>
        <w:spacing w:after="0" w:before="200" w:line="288"/>
        <w:jc w:val="left"/>
      </w:pPr>
      <w:r>
        <w:rPr>
          <w:rFonts w:ascii="Times New Roman" w:cs="Times New Roman" w:eastAsia="Times New Roman" w:hAnsi="Times New Roman"/>
          <w:b/>
          <w:bCs/>
          <w:sz w:val="24"/>
          <w:szCs w:val="24"/>
        </w:rPr>
        <w:t xml:space="preserve">Tabla 2</w:t>
      </w:r>
    </w:p>
    <w:p>
      <w:pPr>
        <w:keepNext/>
        <w:spacing w:after="80" w:before="0" w:line="288"/>
        <w:jc w:val="left"/>
      </w:pPr>
      <w:r>
        <w:rPr>
          <w:rFonts w:ascii="Times New Roman" w:cs="Times New Roman" w:eastAsia="Times New Roman" w:hAnsi="Times New Roman"/>
          <w:i/>
          <w:iCs/>
          <w:sz w:val="24"/>
          <w:szCs w:val="24"/>
        </w:rPr>
        <w:t xml:space="preserve">Regla de complejidad y su peso en la demanda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300"/>
        <w:gridCol w:w="1700"/>
        <w:gridCol w:w="2254"/>
        <w:gridCol w:w="1650"/>
        <w:gridCol w:w="1650"/>
      </w:tblGrid>
      <w:tr>
        <w:trPr>
          <w:cantSplit/>
          <w:tblHeader/>
        </w:trPr>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Nivel</w:t>
            </w:r>
          </w:p>
        </w:tc>
        <w:tc>
          <w:tcPr>
            <w:tcW w:type="dxa" w:w="1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Soluciones por ensayo</w:t>
            </w:r>
          </w:p>
        </w:tc>
        <w:tc>
          <w:tcPr>
            <w:tcW w:type="dxa" w:w="22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Calificación mínima</w:t>
            </w:r>
          </w:p>
        </w:tc>
        <w:tc>
          <w:tcPr>
            <w:tcW w:type="dxa" w:w="16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Probabilidad de reanálisis</w:t>
            </w:r>
          </w:p>
        </w:tc>
        <w:tc>
          <w:tcPr>
            <w:tcW w:type="dxa" w:w="16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Participación en la demanda</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Baja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 o 2</w:t>
            </w:r>
          </w:p>
        </w:tc>
        <w:tc>
          <w:tcPr>
            <w:tcW w:type="dxa" w:w="2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Júnior o superior</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1,25 %</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46,3 %</w:t>
            </w:r>
          </w:p>
        </w:tc>
      </w:tr>
      <w:tr>
        <w:trPr>
          <w:cantSplit/>
        </w:trPr>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Media</w:t>
            </w:r>
          </w:p>
        </w:tc>
        <w:tc>
          <w:tcPr>
            <w:tcW w:type="dxa" w:w="1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3 o 4</w:t>
            </w:r>
          </w:p>
        </w:tc>
        <w:tc>
          <w:tcPr>
            <w:tcW w:type="dxa" w:w="2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Intermedio o superior</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2,49 %</w:t>
            </w:r>
          </w:p>
        </w:tc>
        <w:tc>
          <w:tcPr>
            <w:tcW w:type="dxa" w:w="16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50,3 %</w:t>
            </w:r>
          </w:p>
        </w:tc>
      </w:tr>
      <w:tr>
        <w:trPr>
          <w:cantSplit/>
        </w:trPr>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Alta</w:t>
            </w:r>
          </w:p>
        </w:tc>
        <w:tc>
          <w:tcPr>
            <w:tcW w:type="dxa" w:w="1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5 o 6</w:t>
            </w:r>
          </w:p>
        </w:tc>
        <w:tc>
          <w:tcPr>
            <w:tcW w:type="dxa" w:w="22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Solo sénior</w:t>
            </w:r>
          </w:p>
        </w:tc>
        <w:tc>
          <w:tcPr>
            <w:tcW w:type="dxa" w:w="16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4,99 %</w:t>
            </w:r>
          </w:p>
        </w:tc>
        <w:tc>
          <w:tcPr>
            <w:tcW w:type="dxa" w:w="16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3,4 %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Probabilidades calculadas con la tasa base del escenario central (S01 = 2 %). La participación sale de la calibración de la sección 1.3.</w:t>
      </w:r>
    </w:p>
    <w:p>
      <w:pPr>
        <w:pStyle w:val="Heading2"/>
        <w:keepNext/>
      </w:pPr>
      <w:r>
        <w:rPr>
          <w:rFonts w:ascii="Times New Roman" w:cs="Times New Roman" w:eastAsia="Times New Roman" w:hAnsi="Times New Roman"/>
          <w:b/>
          <w:bCs/>
          <w:sz w:val="24"/>
          <w:szCs w:val="24"/>
        </w:rPr>
        <w:t xml:space="preserve">1.3 Participación de cada método</w:t>
      </w:r>
    </w:p>
    <w:p>
      <w:pPr>
        <w:spacing w:after="120" w:before="0" w:line="288"/>
        <w:jc w:val="left"/>
      </w:pPr>
      <w:r>
        <w:rPr>
          <w:rFonts w:ascii="Times New Roman" w:cs="Times New Roman" w:eastAsia="Times New Roman" w:hAnsi="Times New Roman"/>
          <w:sz w:val="24"/>
          <w:szCs w:val="24"/>
        </w:rPr>
        <w:t xml:space="preserve">Costigliola et al. (2017) no publican el número de soluciones de cada método, pero sus tablas permiten deducir el promedio por técnica: el tiempo promedio de preparación del análisis (Tabla 6, p. 9019) dividido entre la media de la preparación por solución (Tabla 3, p. 9016). Con ese promedio se reparte la demanda de cada técnica entre sus dos métodos: la participación del método simple es la que iguala el promedio ponderado de soluciones de los dos métodos al de la fuente:</w:t>
      </w:r>
    </w:p>
    <w:p>
      <w:pPr>
        <w:spacing w:after="160" w:before="60" w:line="288"/>
        <w:jc w:val="center"/>
      </w:pPr>
      <w:r>
        <w:rPr>
          <w:rFonts w:ascii="Times New Roman" w:cs="Times New Roman" w:eastAsia="Times New Roman" w:hAnsi="Times New Roman"/>
          <w:i/>
          <w:iCs/>
          <w:sz w:val="24"/>
          <w:szCs w:val="24"/>
        </w:rPr>
        <w:t xml:space="preserve">participación del simple = (media del exigente − promedio de la técnica) ÷ (media del exigente − media del simple)</w:t>
      </w:r>
    </w:p>
    <w:p>
      <w:pPr>
        <w:spacing w:after="120" w:before="0" w:line="288"/>
        <w:jc w:val="left"/>
      </w:pPr>
      <w:r>
        <w:rPr>
          <w:rFonts w:ascii="Times New Roman" w:cs="Times New Roman" w:eastAsia="Times New Roman" w:hAnsi="Times New Roman"/>
          <w:sz w:val="24"/>
          <w:szCs w:val="24"/>
        </w:rPr>
        <w:t xml:space="preserve">De esta manera el catálogo desagrega por método sin cambiar los promedios que la fuente publica por técnica. La participación de cada método en la demanda total (columna «Demanda» de la Tabla 4) es la de su técnica (Costigliola et al., 2017, Tabla 2, p. 9016) multiplicada por su participación dentro de la técnica (Tabla 3).</w:t>
      </w:r>
    </w:p>
    <w:p>
      <w:pPr>
        <w:keepNext/>
        <w:spacing w:after="0" w:before="200" w:line="288"/>
        <w:jc w:val="left"/>
      </w:pPr>
      <w:r>
        <w:rPr>
          <w:rFonts w:ascii="Times New Roman" w:cs="Times New Roman" w:eastAsia="Times New Roman" w:hAnsi="Times New Roman"/>
          <w:b/>
          <w:bCs/>
          <w:sz w:val="24"/>
          <w:szCs w:val="24"/>
        </w:rPr>
        <w:t xml:space="preserve">Tabla 3</w:t>
      </w:r>
    </w:p>
    <w:p>
      <w:pPr>
        <w:keepNext/>
        <w:spacing w:after="80" w:before="0" w:line="288"/>
        <w:jc w:val="left"/>
      </w:pPr>
      <w:r>
        <w:rPr>
          <w:rFonts w:ascii="Times New Roman" w:cs="Times New Roman" w:eastAsia="Times New Roman" w:hAnsi="Times New Roman"/>
          <w:i/>
          <w:iCs/>
          <w:sz w:val="24"/>
          <w:szCs w:val="24"/>
        </w:rPr>
        <w:t xml:space="preserve">Soluciones promedio por técnica y participación de cada método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850"/>
        <w:gridCol w:w="1300"/>
        <w:gridCol w:w="1300"/>
        <w:gridCol w:w="1100"/>
        <w:gridCol w:w="2002"/>
        <w:gridCol w:w="2002"/>
      </w:tblGrid>
      <w:tr>
        <w:trPr>
          <w:cantSplit/>
          <w:tblHeader/>
        </w:trPr>
        <w:tc>
          <w:tcPr>
            <w:tcW w:type="dxa" w:w="8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Técnica</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Prep. del análisis, Tabla 6 (min)</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Media por solución, Tabla 3 (min)</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Soluciones promedio</w:t>
            </w:r>
          </w:p>
        </w:tc>
        <w:tc>
          <w:tcPr>
            <w:tcW w:type="dxa" w:w="200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Método simple</w:t>
            </w:r>
          </w:p>
        </w:tc>
        <w:tc>
          <w:tcPr>
            <w:tcW w:type="dxa" w:w="200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Método exigente</w:t>
            </w:r>
          </w:p>
        </w:tc>
      </w:tr>
      <w:tr>
        <w:trPr>
          <w:cantSplit/>
        </w:trPr>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HPLC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96</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48,3</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1,99</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M01 (baja): 75,7 %</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M02 (media): 24,3 %</w:t>
            </w:r>
          </w:p>
        </w:tc>
      </w:tr>
      <w:tr>
        <w:trPr>
          <w:cantSplit/>
        </w:trPr>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48</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16,7</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2,88</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M03 (baja): 31,0 %</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M04 (media): 69,0 %</w:t>
            </w:r>
          </w:p>
        </w:tc>
      </w:tr>
      <w:tr>
        <w:trPr>
          <w:cantSplit/>
        </w:trPr>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PSA</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31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11,2</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2,78</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M05 (baja): 36,2 %</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M06 (media): 63,8 %</w:t>
            </w:r>
          </w:p>
        </w:tc>
      </w:tr>
      <w:tr>
        <w:trPr>
          <w:cantSplit/>
        </w:trPr>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KF</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45</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10,7</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4,22</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M07 (media): 64,1 %</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M08 (alta): 35,9 %</w:t>
            </w:r>
          </w:p>
        </w:tc>
      </w:tr>
      <w:tr>
        <w:trPr>
          <w:cantSplit/>
        </w:trPr>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DSC</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47</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15,0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3,13</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M09 (baja): 18,3 %</w:t>
            </w:r>
          </w:p>
        </w:tc>
        <w:tc>
          <w:tcPr>
            <w:tcW w:type="dxa" w:w="200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M10 (media): 81,7 %</w:t>
            </w:r>
          </w:p>
        </w:tc>
      </w:tr>
      <w:tr>
        <w:trPr>
          <w:cantSplit/>
        </w:trPr>
        <w:tc>
          <w:tcPr>
            <w:tcW w:type="dxa" w:w="8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XRPD</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46</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11,7</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3,94</w:t>
            </w:r>
          </w:p>
        </w:tc>
        <w:tc>
          <w:tcPr>
            <w:tcW w:type="dxa" w:w="200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M11 (media): 77,9 %</w:t>
            </w:r>
          </w:p>
        </w:tc>
        <w:tc>
          <w:tcPr>
            <w:tcW w:type="dxa" w:w="200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M12 (alta): 22,1 %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Las columnas «Tabla 6» y «Tabla 3» son las de Costigliola et al. (2017, pp. 9019 y 9016). Media por solución = media de la distribución triangular de esa Tabla 3, porque la fuente simula con esa distribución. Soluciones promedio = prep. del análisis ÷ media por solución. Cálculo en la hoja «Calibración del catálogo», bloque B.</w:t>
      </w:r>
    </w:p>
    <w:p>
      <w:pPr>
        <w:pStyle w:val="Heading2"/>
        <w:keepNext/>
      </w:pPr>
      <w:r>
        <w:rPr>
          <w:rFonts w:ascii="Times New Roman" w:cs="Times New Roman" w:eastAsia="Times New Roman" w:hAnsi="Times New Roman"/>
          <w:b/>
          <w:bCs/>
          <w:sz w:val="24"/>
          <w:szCs w:val="24"/>
        </w:rPr>
        <w:t xml:space="preserve">1.4 Corrida por método</w:t>
      </w:r>
    </w:p>
    <w:p>
      <w:pPr>
        <w:spacing w:after="120" w:before="0" w:line="288"/>
        <w:jc w:val="left"/>
      </w:pPr>
      <w:r>
        <w:rPr>
          <w:rFonts w:ascii="Times New Roman" w:cs="Times New Roman" w:eastAsia="Times New Roman" w:hAnsi="Times New Roman"/>
          <w:sz w:val="24"/>
          <w:szCs w:val="24"/>
        </w:rPr>
        <w:t xml:space="preserve">En HPLC y GC la corrida es fija para cada método y sale de su informe, que no se publica (Costigliola et al., 2017, p. 9016); la fuente solo da el promedio por técnica: 85 min en HPLC y 62 min en GC (Tabla 6, p. 9019). Se asume que la corrida del método exigente es 2,5 veces la del simple en HPLC, por el gradiente largo que suele exigir la separación de impurezas (la valoración, en cambio, es isocrática y más corta), y 1,5 veces en GC, por el equilibrio de los viales en el espacio de cabeza (supuesto S14). Las dos corridas se ajustan para que su promedio ponderado siga siendo el de la Tabla 6, y cada una varía ±20 % alrededor de su moda (supuesto S05).</w:t>
      </w:r>
    </w:p>
    <w:p>
      <w:pPr>
        <w:spacing w:after="120" w:before="0" w:line="288"/>
        <w:jc w:val="left"/>
      </w:pPr>
      <w:r>
        <w:rPr>
          <w:rFonts w:ascii="Times New Roman" w:cs="Times New Roman" w:eastAsia="Times New Roman" w:hAnsi="Times New Roman"/>
          <w:sz w:val="24"/>
          <w:szCs w:val="24"/>
        </w:rPr>
        <w:t xml:space="preserve">En PSA, KF, DSC y XRPD la fuente da una distribución de la corrida por técnica (Tabla 3, p. 9016). Esa distribución se parte en dos tramos: el método simple toma el tramo corto y el exigente, el largo, en proporción a su participación (supuesto S15). Juntos reproducen exactamente la distribución publicada, sin agregar valores nuevos.</w:t>
      </w:r>
    </w:p>
    <w:p>
      <w:pPr>
        <w:keepNext/>
        <w:spacing w:after="0" w:before="200" w:line="288"/>
        <w:jc w:val="left"/>
      </w:pPr>
      <w:r>
        <w:rPr>
          <w:rFonts w:ascii="Times New Roman" w:cs="Times New Roman" w:eastAsia="Times New Roman" w:hAnsi="Times New Roman"/>
          <w:b/>
          <w:bCs/>
          <w:sz w:val="24"/>
          <w:szCs w:val="24"/>
        </w:rPr>
        <w:t xml:space="preserve">Tabla 4</w:t>
      </w:r>
    </w:p>
    <w:p>
      <w:pPr>
        <w:keepNext/>
        <w:spacing w:after="80" w:before="0" w:line="288"/>
        <w:jc w:val="left"/>
      </w:pPr>
      <w:r>
        <w:rPr>
          <w:rFonts w:ascii="Times New Roman" w:cs="Times New Roman" w:eastAsia="Times New Roman" w:hAnsi="Times New Roman"/>
          <w:i/>
          <w:iCs/>
          <w:sz w:val="24"/>
          <w:szCs w:val="24"/>
        </w:rPr>
        <w:t xml:space="preserve">Parámetros de cada método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560"/>
        <w:gridCol w:w="1260"/>
        <w:gridCol w:w="1000"/>
        <w:gridCol w:w="1390"/>
        <w:gridCol w:w="1000"/>
        <w:gridCol w:w="980"/>
        <w:gridCol w:w="1264"/>
        <w:gridCol w:w="1100"/>
      </w:tblGrid>
      <w:tr>
        <w:trPr>
          <w:cantSplit/>
          <w:tblHeader/>
        </w:trPr>
        <w:tc>
          <w:tcPr>
            <w:tcW w:type="dxa" w:w="56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ID</w:t>
            </w:r>
          </w:p>
        </w:tc>
        <w:tc>
          <w:tcPr>
            <w:tcW w:type="dxa" w:w="126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Complejidad</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Soluciones</w:t>
            </w:r>
          </w:p>
        </w:tc>
        <w:tc>
          <w:tcPr>
            <w:tcW w:type="dxa" w:w="139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Calificación mínima</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Demanda</w:t>
            </w:r>
          </w:p>
        </w:tc>
        <w:tc>
          <w:tcPr>
            <w:tcW w:type="dxa" w:w="98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Corrida promedio (min)</w:t>
            </w:r>
          </w:p>
        </w:tc>
        <w:tc>
          <w:tcPr>
            <w:tcW w:type="dxa" w:w="126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Rango de corrida (min)</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Reanálisis</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M01</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baja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Júnior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30,8 %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62,3</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49,8–74,7</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1,25 %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M02</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9,9 %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155,7</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124,6–186,9</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M03</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baja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Júnior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8,0 %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46,1</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36,9–55,3</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1,25 %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M04</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17,7 %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69,1</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55,3–83,0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M05</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baja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Júnior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6,8 %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9,5</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5,0–12,1</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1,25 %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M06</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12,0 %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18,1</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12,1–30,0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M07</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4,5 %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13,1</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2,0–24,5</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M08</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alta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5–6</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Solo sénior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2,6 %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35,0</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24,5–56,0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4,99 %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M09</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baja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Júnior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0,7 %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27,4</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12,0–42,8</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1,25 %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M10</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3,3 %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111,4</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42,8–180,0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M11</w:t>
            </w:r>
          </w:p>
        </w:tc>
        <w:tc>
          <w:tcPr>
            <w:tcW w:type="dxa" w:w="12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media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3–4</w:t>
            </w:r>
          </w:p>
        </w:tc>
        <w:tc>
          <w:tcPr>
            <w:tcW w:type="dxa" w:w="139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o superior</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2,9 %</w:t>
            </w:r>
          </w:p>
        </w:tc>
        <w:tc>
          <w:tcPr>
            <w:tcW w:type="dxa" w:w="98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61,1</w:t>
            </w:r>
          </w:p>
        </w:tc>
        <w:tc>
          <w:tcPr>
            <w:tcW w:type="dxa" w:w="126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11,0–116,0</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2,49 %</w:t>
            </w:r>
          </w:p>
        </w:tc>
      </w:tr>
      <w:tr>
        <w:trPr>
          <w:cantSplit/>
        </w:trPr>
        <w:tc>
          <w:tcPr>
            <w:tcW w:type="dxa" w:w="56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8"/>
                <w:szCs w:val="18"/>
              </w:rPr>
              <w:t xml:space="preserve">M12</w:t>
            </w:r>
          </w:p>
        </w:tc>
        <w:tc>
          <w:tcPr>
            <w:tcW w:type="dxa" w:w="126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8"/>
                <w:szCs w:val="18"/>
              </w:rPr>
              <w:t xml:space="preserve">alta</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5–6</w:t>
            </w:r>
          </w:p>
        </w:tc>
        <w:tc>
          <w:tcPr>
            <w:tcW w:type="dxa" w:w="139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8"/>
                <w:szCs w:val="18"/>
              </w:rPr>
              <w:t xml:space="preserve">Solo sénior</w:t>
            </w:r>
          </w:p>
        </w:tc>
        <w:tc>
          <w:tcPr>
            <w:tcW w:type="dxa" w:w="10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0,8 %</w:t>
            </w:r>
          </w:p>
        </w:tc>
        <w:tc>
          <w:tcPr>
            <w:tcW w:type="dxa" w:w="98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145,0</w:t>
            </w:r>
          </w:p>
        </w:tc>
        <w:tc>
          <w:tcPr>
            <w:tcW w:type="dxa" w:w="126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116,0–203,0</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4,99 %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Demanda = participación del método en la demanda total. En HPLC y GC el rango es la moda ±20 %; en las demás técnicas es el tramo de la distribución de la Tabla 3 de Costigliola et al. (2017). La preparación y la idoneidad del sistema (solo en HPLC y GC), el montaje del equipo y el procesamiento de datos se mantienen por técnica.</w:t>
      </w:r>
    </w:p>
    <w:p>
      <w:pPr>
        <w:pStyle w:val="Heading2"/>
        <w:keepNext/>
      </w:pPr>
      <w:r>
        <w:rPr>
          <w:rFonts w:ascii="Times New Roman" w:cs="Times New Roman" w:eastAsia="Times New Roman" w:hAnsi="Times New Roman"/>
          <w:b/>
          <w:bCs/>
          <w:sz w:val="24"/>
          <w:szCs w:val="24"/>
        </w:rPr>
        <w:t xml:space="preserve">1.5 Equipos y tipos de muestra de cada método</w:t>
      </w:r>
    </w:p>
    <w:p>
      <w:pPr>
        <w:spacing w:after="120" w:before="0" w:line="288"/>
        <w:jc w:val="left"/>
      </w:pPr>
      <w:r>
        <w:rPr>
          <w:rFonts w:ascii="Times New Roman" w:cs="Times New Roman" w:eastAsia="Times New Roman" w:hAnsi="Times New Roman"/>
          <w:sz w:val="24"/>
          <w:szCs w:val="24"/>
        </w:rPr>
        <w:t xml:space="preserve">La columna «Equipo requerido» de la hoja «Catálogo» distingue configuraciones dentro de una misma técnica: con o sin gradiente en HPLC, inyección líquida o espacio de cabeza en GC, módulo seco o húmedo en PSA, y titulador volumétrico o coulométrico con horno en KF. La sección 3 fija cuántas unidades de cada configuración tiene el laboratorio y, con eso, la compatibilidad equipo–actividad, uno de los indicadores de recursos materiales del sistema de variables.</w:t>
      </w:r>
    </w:p>
    <w:p>
      <w:pPr>
        <w:spacing w:after="120" w:before="0" w:line="288"/>
        <w:jc w:val="left"/>
      </w:pPr>
      <w:r>
        <w:rPr>
          <w:rFonts w:ascii="Times New Roman" w:cs="Times New Roman" w:eastAsia="Times New Roman" w:hAnsi="Times New Roman"/>
          <w:sz w:val="24"/>
          <w:szCs w:val="24"/>
        </w:rPr>
        <w:t xml:space="preserve">La Tabla 5 indica en qué tipos de muestra se aplica cada método. Valoración, sustancias relacionadas y agua aplican a casi todos los tipos; las pruebas que identifican el material (punto de fusión e identificación de la forma cristalina) se concentran en materias primas e intermedios, y en estabilidad solo se repiten los ensayos de atributos que pueden cambiar durante el almacenamiento: contenido, impurezas, agua, forma cristalina y tamaño de partícula en suspensión. La matriz es criterio propio a partir de ICH (1999) (supuesto S16); la sección 2 la usa para decidir qué métodos puede pedir cada tipo de muestra.</w:t>
      </w:r>
    </w:p>
    <w:p>
      <w:pPr>
        <w:keepNext/>
        <w:spacing w:after="0" w:before="200" w:line="288"/>
        <w:jc w:val="left"/>
      </w:pPr>
      <w:r>
        <w:rPr>
          <w:rFonts w:ascii="Times New Roman" w:cs="Times New Roman" w:eastAsia="Times New Roman" w:hAnsi="Times New Roman"/>
          <w:b/>
          <w:bCs/>
          <w:sz w:val="24"/>
          <w:szCs w:val="24"/>
        </w:rPr>
        <w:t xml:space="preserve">Tabla 5</w:t>
      </w:r>
    </w:p>
    <w:p>
      <w:pPr>
        <w:keepNext/>
        <w:spacing w:after="80" w:before="0" w:line="288"/>
        <w:jc w:val="left"/>
      </w:pPr>
      <w:r>
        <w:rPr>
          <w:rFonts w:ascii="Times New Roman" w:cs="Times New Roman" w:eastAsia="Times New Roman" w:hAnsi="Times New Roman"/>
          <w:i/>
          <w:iCs/>
          <w:sz w:val="24"/>
          <w:szCs w:val="24"/>
        </w:rPr>
        <w:t xml:space="preserve">Tipos de muestra en que se aplica cada método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560"/>
        <w:gridCol w:w="4494"/>
        <w:gridCol w:w="700"/>
        <w:gridCol w:w="700"/>
        <w:gridCol w:w="700"/>
        <w:gridCol w:w="700"/>
        <w:gridCol w:w="700"/>
      </w:tblGrid>
      <w:tr>
        <w:trPr>
          <w:cantSplit/>
          <w:tblHeader/>
        </w:trPr>
        <w:tc>
          <w:tcPr>
            <w:tcW w:type="dxa" w:w="56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ID</w:t>
            </w:r>
          </w:p>
        </w:tc>
        <w:tc>
          <w:tcPr>
            <w:tcW w:type="dxa" w:w="449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Ensayo</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MP</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IN</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GR</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PT</w:t>
            </w:r>
          </w:p>
        </w:tc>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ES</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M01</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HPLC · Valoración del principio activo</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M02</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HPLC · Sustancias relacionadas</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M03</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GC · Pureza de materias primas volátiles</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M04</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GC · Solventes residuales</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M05</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PSA · Tamaño de partícula, vía seca</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M06</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PSA · Tamaño de partícula, vía húmeda</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M07</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KF · Agua por KF volumétrico</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M08</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KF · Agua por KF coulométrico con horno</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M09</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DSC · Punto de fusión</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M10</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DSC · Forma polimórfica y pureza</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r>
      <w:tr>
        <w:trPr>
          <w:cantSplit/>
        </w:trPr>
        <w:tc>
          <w:tcPr>
            <w:tcW w:type="dxa" w:w="56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M11</w:t>
            </w:r>
          </w:p>
        </w:tc>
        <w:tc>
          <w:tcPr>
            <w:tcW w:type="dxa" w:w="449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XRPD · Identificación de la forma cristalina</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
            </w:r>
          </w:p>
        </w:tc>
      </w:tr>
      <w:tr>
        <w:trPr>
          <w:cantSplit/>
        </w:trPr>
        <w:tc>
          <w:tcPr>
            <w:tcW w:type="dxa" w:w="56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M12</w:t>
            </w:r>
          </w:p>
        </w:tc>
        <w:tc>
          <w:tcPr>
            <w:tcW w:type="dxa" w:w="449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XRPD · Cuantificación de fases</w:t>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X</w:t>
            </w:r>
          </w:p>
        </w:tc>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X</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MP = materia prima; IN = intermedio; GR = granel; PT = producto terminado; ES = estabilidad (anteproyecto, §1.2 y §6.1.4).</w:t>
      </w:r>
    </w:p>
    <w:p>
      <w:pPr>
        <w:pStyle w:val="Heading2"/>
        <w:keepNext/>
      </w:pPr>
      <w:r>
        <w:rPr>
          <w:rFonts w:ascii="Times New Roman" w:cs="Times New Roman" w:eastAsia="Times New Roman" w:hAnsi="Times New Roman"/>
          <w:b/>
          <w:bCs/>
          <w:sz w:val="24"/>
          <w:szCs w:val="24"/>
        </w:rPr>
        <w:t xml:space="preserve">1.6 Trazabilidad</w:t>
      </w:r>
    </w:p>
    <w:p>
      <w:pPr>
        <w:keepNext/>
        <w:spacing w:after="0" w:before="200" w:line="288"/>
        <w:jc w:val="left"/>
      </w:pPr>
      <w:r>
        <w:rPr>
          <w:rFonts w:ascii="Times New Roman" w:cs="Times New Roman" w:eastAsia="Times New Roman" w:hAnsi="Times New Roman"/>
          <w:b/>
          <w:bCs/>
          <w:sz w:val="24"/>
          <w:szCs w:val="24"/>
        </w:rPr>
        <w:t xml:space="preserve">Tabla 6</w:t>
      </w:r>
    </w:p>
    <w:p>
      <w:pPr>
        <w:keepNext/>
        <w:spacing w:after="80" w:before="0" w:line="288"/>
        <w:jc w:val="left"/>
      </w:pPr>
      <w:r>
        <w:rPr>
          <w:rFonts w:ascii="Times New Roman" w:cs="Times New Roman" w:eastAsia="Times New Roman" w:hAnsi="Times New Roman"/>
          <w:i/>
          <w:iCs/>
          <w:sz w:val="24"/>
          <w:szCs w:val="24"/>
        </w:rPr>
        <w:t xml:space="preserve">Origen de cada elemento del catálogo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554"/>
        <w:gridCol w:w="1500"/>
        <w:gridCol w:w="3500"/>
      </w:tblGrid>
      <w:tr>
        <w:trPr>
          <w:cantSplit/>
          <w:tblHeader/>
        </w:trPr>
        <w:tc>
          <w:tcPr>
            <w:tcW w:type="dxa" w:w="3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Elemento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w:t>
            </w:r>
          </w:p>
        </w:tc>
        <w:tc>
          <w:tcPr>
            <w:tcW w:type="dxa" w:w="3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Fuente o supuesto</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Técnicas y mezcla de la demanda por técnica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9015 y Tabla 2, p. 9016)</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Ensayos típicos y su capítulo de referencia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 normativo y criterio propio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ICH (1999, §3.2.1 y §3.3.1); USP (s. f.)</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Preparación por solución y corrida de PSA, KF, DSC y XRPD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3, p. 9016)</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Preparación del análisis y corrida promedio de HPLC y GC</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6, p. 9019)</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Técnicas con preparación e idoneidad del sistema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6, p. 9019)</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Soluciones promedio y participación de cada método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Hoja «Calibración del catálogo», bloque B</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Soluciones por nivel de complejidad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S11 y S08</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Calificación mínima por nivel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S12</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Reanálisis por nivel</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S13, sobre S01</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Relación de corrida en HPLC y GC, y su margen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S14 y S05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Reparto de la corrida por tramos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S15</w:t>
            </w:r>
          </w:p>
        </w:tc>
      </w:tr>
      <w:tr>
        <w:trPr>
          <w:cantSplit/>
        </w:trPr>
        <w:tc>
          <w:tcPr>
            <w:tcW w:type="dxa" w:w="3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Aplicación por tipo de muestra</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S16</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supuestos están en la hoja «Supuestos» con su propuesta y su escenario de sensibilidad. Insumo para la tabla de trazabilidad de parámetros del marco metodológico.</w:t>
      </w:r>
    </w:p>
    <w:p>
      <w:pPr>
        <w:pStyle w:val="Heading2"/>
        <w:keepNext/>
      </w:pPr>
      <w:r>
        <w:rPr>
          <w:rFonts w:ascii="Times New Roman" w:cs="Times New Roman" w:eastAsia="Times New Roman" w:hAnsi="Times New Roman"/>
          <w:b/>
          <w:bCs/>
          <w:sz w:val="24"/>
          <w:szCs w:val="24"/>
        </w:rPr>
        <w:t xml:space="preserve">1.7 Uso en el generador</w:t>
      </w:r>
    </w:p>
    <w:p>
      <w:pPr>
        <w:keepNext/>
        <w:spacing w:after="60" w:before="0" w:line="288"/>
        <w:jc w:val="left"/>
      </w:pPr>
      <w:r>
        <w:rPr>
          <w:rFonts w:ascii="Times New Roman" w:cs="Times New Roman" w:eastAsia="Times New Roman" w:hAnsi="Times New Roman"/>
          <w:sz w:val="24"/>
          <w:szCs w:val="24"/>
        </w:rPr>
        <w:t xml:space="preserve">El generador toma de la hoja «Catálogo», para cada ensayo, los atributos que el anteproyecto (§1.4) exige a la unidad de análisis (método, complejidad, equipo requerido y calificación exigida) y los usa en este orden:</w:t>
      </w:r>
    </w:p>
    <w:p>
      <w:pPr>
        <w:pStyle w:val="ListParagraph"/>
        <w:numPr>
          <w:ilvl w:val="0"/>
          <w:numId w:val="3"/>
        </w:numPr>
        <w:spacing w:after="80" w:line="288"/>
      </w:pPr>
      <w:r>
        <w:rPr>
          <w:rFonts w:ascii="Times New Roman" w:cs="Times New Roman" w:eastAsia="Times New Roman" w:hAnsi="Times New Roman"/>
          <w:sz w:val="24"/>
          <w:szCs w:val="24"/>
        </w:rPr>
        <w:t xml:space="preserve">Elige el método con su probabilidad dentro del tipo de la muestra (sección 2.4), que en conjunto reproduce la participación de la Tabla 4.</w:t>
      </w:r>
    </w:p>
    <w:p>
      <w:pPr>
        <w:pStyle w:val="ListParagraph"/>
        <w:numPr>
          <w:ilvl w:val="0"/>
          <w:numId w:val="3"/>
        </w:numPr>
        <w:spacing w:after="80" w:line="288"/>
      </w:pPr>
      <w:r>
        <w:rPr>
          <w:rFonts w:ascii="Times New Roman" w:cs="Times New Roman" w:eastAsia="Times New Roman" w:hAnsi="Times New Roman"/>
          <w:sz w:val="24"/>
          <w:szCs w:val="24"/>
        </w:rPr>
        <w:t xml:space="preserve">Toma el número de soluciones, uniforme entre el mínimo y el máximo del método.</w:t>
      </w:r>
    </w:p>
    <w:p>
      <w:pPr>
        <w:pStyle w:val="ListParagraph"/>
        <w:numPr>
          <w:ilvl w:val="0"/>
          <w:numId w:val="3"/>
        </w:numPr>
        <w:spacing w:after="80" w:line="288"/>
      </w:pPr>
      <w:r>
        <w:rPr>
          <w:rFonts w:ascii="Times New Roman" w:cs="Times New Roman" w:eastAsia="Times New Roman" w:hAnsi="Times New Roman"/>
          <w:sz w:val="24"/>
          <w:szCs w:val="24"/>
        </w:rPr>
        <w:t xml:space="preserve">Calcula la preparación del análisis como el tiempo de preparación por solución de la técnica multiplicado por ese número (Costigliola et al., 2017, p. 9019).</w:t>
      </w:r>
    </w:p>
    <w:p>
      <w:pPr>
        <w:pStyle w:val="ListParagraph"/>
        <w:numPr>
          <w:ilvl w:val="0"/>
          <w:numId w:val="3"/>
        </w:numPr>
        <w:spacing w:after="80" w:line="288"/>
      </w:pPr>
      <w:r>
        <w:rPr>
          <w:rFonts w:ascii="Times New Roman" w:cs="Times New Roman" w:eastAsia="Times New Roman" w:hAnsi="Times New Roman"/>
          <w:sz w:val="24"/>
          <w:szCs w:val="24"/>
        </w:rPr>
        <w:t xml:space="preserve">Genera la corrida alrededor de la moda del método (HPLC y GC) o dentro de su tramo (PSA, KF, DSC y XRPD).</w:t>
      </w:r>
    </w:p>
    <w:p>
      <w:pPr>
        <w:pStyle w:val="ListParagraph"/>
        <w:numPr>
          <w:ilvl w:val="0"/>
          <w:numId w:val="3"/>
        </w:numPr>
        <w:spacing w:after="80" w:line="288"/>
      </w:pPr>
      <w:r>
        <w:rPr>
          <w:rFonts w:ascii="Times New Roman" w:cs="Times New Roman" w:eastAsia="Times New Roman" w:hAnsi="Times New Roman"/>
          <w:sz w:val="24"/>
          <w:szCs w:val="24"/>
        </w:rPr>
        <w:t xml:space="preserve">Solo asigna el ensayo a un analista con el nivel mínimo y calificado en el método, y a un equipo con la configuración requerida.</w:t>
      </w:r>
    </w:p>
    <w:p>
      <w:pPr>
        <w:pStyle w:val="ListParagraph"/>
        <w:numPr>
          <w:ilvl w:val="0"/>
          <w:numId w:val="3"/>
        </w:numPr>
        <w:spacing w:after="80" w:line="288"/>
      </w:pPr>
      <w:r>
        <w:rPr>
          <w:rFonts w:ascii="Times New Roman" w:cs="Times New Roman" w:eastAsia="Times New Roman" w:hAnsi="Times New Roman"/>
          <w:sz w:val="24"/>
          <w:szCs w:val="24"/>
        </w:rPr>
        <w:t xml:space="preserve">Repite el ensayo con la probabilidad de reanálisis del método, como perturbación del Alcance II.</w:t>
      </w:r>
    </w:p>
    <w:p>
      <w:pPr>
        <w:spacing w:after="120" w:before="80" w:line="288"/>
        <w:jc w:val="left"/>
      </w:pPr>
      <w:r>
        <w:rPr>
          <w:rFonts w:ascii="Times New Roman" w:cs="Times New Roman" w:eastAsia="Times New Roman" w:hAnsi="Times New Roman"/>
          <w:sz w:val="24"/>
          <w:szCs w:val="24"/>
        </w:rPr>
        <w:t xml:space="preserve">Las pruebas del repositorio (tests/test_catalogo.py) verifican que la hoja conserve los promedios de la fuente: si se cambia una complejidad y la calibración deja de cuadrar, las pruebas fallan y la columna «Chequeo» de la calibración lo indica.</w:t>
      </w:r>
    </w:p>
    <w:p>
      <w:pPr>
        <w:pStyle w:val="Heading2"/>
        <w:keepNext/>
      </w:pPr>
      <w:r>
        <w:rPr>
          <w:rFonts w:ascii="Times New Roman" w:cs="Times New Roman" w:eastAsia="Times New Roman" w:hAnsi="Times New Roman"/>
          <w:b/>
          <w:bCs/>
          <w:sz w:val="24"/>
          <w:szCs w:val="24"/>
        </w:rPr>
        <w:t xml:space="preserve">1.8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Regla de complejidad. </w:t>
      </w:r>
      <w:r>
        <w:rPr>
          <w:rFonts w:ascii="Times New Roman" w:cs="Times New Roman" w:eastAsia="Times New Roman" w:hAnsi="Times New Roman"/>
          <w:sz w:val="24"/>
          <w:szCs w:val="24"/>
        </w:rPr>
        <w:t xml:space="preserve">Si en la asesoría se pide que la complejidad considere también la corrida, por ejemplo para que sustancias relacionadas quede en complejidad alta, se cambia la complejidad del método en la hoja «Catálogo» (y, si hace falta, la regla del bloque A de la hoja «Calibración del catálogo») y la participación se recalcula sola.</w:t>
      </w:r>
    </w:p>
    <w:p>
      <w:pPr>
        <w:pStyle w:val="ListParagraph"/>
        <w:numPr>
          <w:ilvl w:val="0"/>
          <w:numId w:val="2"/>
        </w:numPr>
        <w:spacing w:after="80" w:line="288"/>
      </w:pPr>
      <w:r>
        <w:rPr>
          <w:rFonts w:ascii="Times New Roman" w:cs="Times New Roman" w:eastAsia="Times New Roman" w:hAnsi="Times New Roman"/>
          <w:b/>
          <w:bCs/>
          <w:sz w:val="24"/>
          <w:szCs w:val="24"/>
        </w:rPr>
        <w:t xml:space="preserve">Distribución de las duraciones. </w:t>
      </w:r>
      <w:r>
        <w:rPr>
          <w:rFonts w:ascii="Times New Roman" w:cs="Times New Roman" w:eastAsia="Times New Roman" w:hAnsi="Times New Roman"/>
          <w:sz w:val="24"/>
          <w:szCs w:val="24"/>
        </w:rPr>
        <w:t xml:space="preserve">Con BetaPERT estándar (λ = 4) la preparación promedio queda entre 7 % y 22 % por debajo de la de la fuente, porque las distribuciones de la Tabla 3 de Costigliola et al. (2017) son asimétricas. El bloque de duraciones propone λ = 1, que conserva la media de la triangular, en el escenario base y λ = 4 como sensibilidad, y deja la decisión para la asesoría (generador de datos, sección 1.10).</w:t>
      </w:r>
    </w:p>
    <w:p>
      <w:pPr>
        <w:pStyle w:val="ListParagraph"/>
        <w:numPr>
          <w:ilvl w:val="0"/>
          <w:numId w:val="2"/>
        </w:numPr>
        <w:spacing w:after="80" w:line="288"/>
      </w:pPr>
      <w:r>
        <w:rPr>
          <w:rFonts w:ascii="Times New Roman" w:cs="Times New Roman" w:eastAsia="Times New Roman" w:hAnsi="Times New Roman"/>
          <w:b/>
          <w:bCs/>
          <w:sz w:val="24"/>
          <w:szCs w:val="24"/>
        </w:rPr>
        <w:t xml:space="preserve">Tipos de muestra. </w:t>
      </w:r>
      <w:r>
        <w:rPr>
          <w:rFonts w:ascii="Times New Roman" w:cs="Times New Roman" w:eastAsia="Times New Roman" w:hAnsi="Times New Roman"/>
          <w:sz w:val="24"/>
          <w:szCs w:val="24"/>
        </w:rPr>
        <w:t xml:space="preserve">Conviene que la matriz de la Tabla 5 la revise alguien con experiencia en un laboratorio de control de calidad.</w:t>
      </w:r>
    </w:p>
    <w:p>
      <w:pPr>
        <w:pStyle w:val="Heading1"/>
        <w:keepNext/>
      </w:pPr>
      <w:r>
        <w:rPr>
          <w:rFonts w:ascii="Times New Roman" w:cs="Times New Roman" w:eastAsia="Times New Roman" w:hAnsi="Times New Roman"/>
          <w:b/>
          <w:bCs/>
          <w:sz w:val="26"/>
          <w:szCs w:val="26"/>
        </w:rPr>
        <w:t xml:space="preserve">2. Tipos de muestra</w:t>
      </w:r>
    </w:p>
    <w:p>
      <w:pPr>
        <w:pStyle w:val="Heading2"/>
        <w:keepNext/>
      </w:pPr>
      <w:r>
        <w:rPr>
          <w:rFonts w:ascii="Times New Roman" w:cs="Times New Roman" w:eastAsia="Times New Roman" w:hAnsi="Times New Roman"/>
          <w:b/>
          <w:bCs/>
          <w:sz w:val="24"/>
          <w:szCs w:val="24"/>
        </w:rPr>
        <w:t xml:space="preserve">2.1 Definiciones</w:t>
      </w:r>
    </w:p>
    <w:p>
      <w:pPr>
        <w:spacing w:after="120" w:before="0" w:line="288"/>
        <w:jc w:val="left"/>
      </w:pPr>
      <w:r>
        <w:rPr>
          <w:rFonts w:ascii="Times New Roman" w:cs="Times New Roman" w:eastAsia="Times New Roman" w:hAnsi="Times New Roman"/>
          <w:sz w:val="24"/>
          <w:szCs w:val="24"/>
        </w:rPr>
        <w:t xml:space="preserve">El laboratorio recibe cinco tipos de muestra, los que nombra el anteproyecto (§1.2 y §6.1.4). Cuatro de ellos son los que, según Martins et al. (2023, p. 178), genera cada lote fabricado: materia prima, control en proceso, producto terminado y estabilidad. El quinto es el granel. Las definiciones siguen el glosario de buenas prácticas de manufactura de la Organización Mundial de la Salud (World Health Organization [WHO], 2014, pp. 82–85). Las muestras de intermedio se tratan como controles en proceso: se toman durante la producción para vigilar y ajustar el proceso.</w:t>
      </w:r>
    </w:p>
    <w:p>
      <w:pPr>
        <w:keepNext/>
        <w:spacing w:after="0" w:before="200" w:line="288"/>
        <w:jc w:val="left"/>
      </w:pPr>
      <w:r>
        <w:rPr>
          <w:rFonts w:ascii="Times New Roman" w:cs="Times New Roman" w:eastAsia="Times New Roman" w:hAnsi="Times New Roman"/>
          <w:b/>
          <w:bCs/>
          <w:sz w:val="24"/>
          <w:szCs w:val="24"/>
        </w:rPr>
        <w:t xml:space="preserve">Tabla 7</w:t>
      </w:r>
    </w:p>
    <w:p>
      <w:pPr>
        <w:keepNext/>
        <w:spacing w:after="80" w:before="0" w:line="288"/>
        <w:jc w:val="left"/>
      </w:pPr>
      <w:r>
        <w:rPr>
          <w:rFonts w:ascii="Times New Roman" w:cs="Times New Roman" w:eastAsia="Times New Roman" w:hAnsi="Times New Roman"/>
          <w:i/>
          <w:iCs/>
          <w:sz w:val="24"/>
          <w:szCs w:val="24"/>
        </w:rPr>
        <w:t xml:space="preserve">Tipos de muestra del laboratorio de referencia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800"/>
        <w:gridCol w:w="2100"/>
        <w:gridCol w:w="5654"/>
      </w:tblGrid>
      <w:tr>
        <w:trPr>
          <w:cantSplit/>
          <w:tblHeader/>
        </w:trPr>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Código</w:t>
            </w:r>
          </w:p>
        </w:tc>
        <w:tc>
          <w:tcPr>
            <w:tcW w:type="dxa" w:w="2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 de muestra</w:t>
            </w:r>
          </w:p>
        </w:tc>
        <w:tc>
          <w:tcPr>
            <w:tcW w:type="dxa" w:w="56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Definición</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MP</w:t>
            </w:r>
          </w:p>
        </w:tc>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Materia prima</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Sustancia de calidad definida que se usa en la producción de un producto farmacéutico, excepto los materiales de empaque.</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IN</w:t>
            </w:r>
          </w:p>
        </w:tc>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Intermedio (control en proceso)</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Producto parcialmente procesado que debe pasar por más etapas antes de ser granel; sus muestras son controles hechos durante la producción para vigilar y ajustar el proceso.</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GR</w:t>
            </w:r>
          </w:p>
        </w:tc>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Granel</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Producto que completó todas las etapas de procesamiento, sin incluir el empaque final.</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PT</w:t>
            </w:r>
          </w:p>
        </w:tc>
        <w:tc>
          <w:tcPr>
            <w:tcW w:type="dxa" w:w="2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Producto terminado</w:t>
            </w:r>
          </w:p>
        </w:tc>
        <w:tc>
          <w:tcPr>
            <w:tcW w:type="dxa" w:w="56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Forma farmacéutica que pasó por todas las etapas de fabricación, incluidos el empaque en su envase final y el etiquetado.</w:t>
            </w:r>
          </w:p>
        </w:tc>
      </w:tr>
      <w:tr>
        <w:trPr>
          <w:cantSplit/>
        </w:trPr>
        <w:tc>
          <w:tcPr>
            <w:tcW w:type="dxa" w:w="8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ES</w:t>
            </w:r>
          </w:p>
        </w:tc>
        <w:tc>
          <w:tcPr>
            <w:tcW w:type="dxa" w:w="2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Estabilidad</w:t>
            </w:r>
          </w:p>
        </w:tc>
        <w:tc>
          <w:tcPr>
            <w:tcW w:type="dxa" w:w="56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Muestras de lotes en estudio de estabilidad, retiradas de las cámaras en las fechas del protocolo.</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Definiciones de WHO (2014, pp. 82–85). La de estabilidad es propia; su calendario de retiro es el de WHO (2018, §2.1.6 y §2.2.6).</w:t>
      </w:r>
    </w:p>
    <w:p>
      <w:pPr>
        <w:pStyle w:val="Heading2"/>
        <w:keepNext/>
      </w:pPr>
      <w:r>
        <w:rPr>
          <w:rFonts w:ascii="Times New Roman" w:cs="Times New Roman" w:eastAsia="Times New Roman" w:hAnsi="Times New Roman"/>
          <w:b/>
          <w:bCs/>
          <w:sz w:val="24"/>
          <w:szCs w:val="24"/>
        </w:rPr>
        <w:t xml:space="preserve">2.2 Proporción de cada tipo</w:t>
      </w:r>
    </w:p>
    <w:p>
      <w:pPr>
        <w:spacing w:after="120" w:before="0" w:line="288"/>
        <w:jc w:val="left"/>
      </w:pPr>
      <w:r>
        <w:rPr>
          <w:rFonts w:ascii="Times New Roman" w:cs="Times New Roman" w:eastAsia="Times New Roman" w:hAnsi="Times New Roman"/>
          <w:sz w:val="24"/>
          <w:szCs w:val="24"/>
        </w:rPr>
        <w:t xml:space="preserve">Ninguna de las fuentes reporta qué fracción de las muestras corresponde a cada tipo, así que la proporción es un supuesto (S17), con una referencia para el control en proceso. En el laboratorio de Costigliola et al. (2017, Tabla 1, p. 9015), el turno que existe para atender el control en proceso las 24 horas aporta el 35,5 % de las 946 horas-analista de la semana, y las horas-analista de las franjas en que solo trabaja ese turno (de 0:00 a 8:00 de lunes a viernes y los fines de semana) son el 18,6 % (176 de 946). Una proporción de 30 % de control en proceso queda dentro de ese rango. Para el resto se propone 25 % de materia prima, 10 % de granel, 20 % de producto terminado y 15 % de estabilidad, y se prueban dos alternativas: un laboratorio con más control en proceso (20/40/10/15/15) y uno orientado a la liberación (30/20/10/25/15).</w:t>
      </w:r>
    </w:p>
    <w:p>
      <w:pPr>
        <w:pStyle w:val="Heading2"/>
        <w:keepNext/>
      </w:pPr>
      <w:r>
        <w:rPr>
          <w:rFonts w:ascii="Times New Roman" w:cs="Times New Roman" w:eastAsia="Times New Roman" w:hAnsi="Times New Roman"/>
          <w:b/>
          <w:bCs/>
          <w:sz w:val="24"/>
          <w:szCs w:val="24"/>
        </w:rPr>
        <w:t xml:space="preserve">2.3 Llegadas, plazos y urgentes</w:t>
      </w:r>
    </w:p>
    <w:p>
      <w:pPr>
        <w:spacing w:after="120" w:before="0" w:line="288"/>
        <w:jc w:val="left"/>
      </w:pPr>
      <w:r>
        <w:rPr>
          <w:rFonts w:ascii="Times New Roman" w:cs="Times New Roman" w:eastAsia="Times New Roman" w:hAnsi="Times New Roman"/>
          <w:sz w:val="24"/>
          <w:szCs w:val="24"/>
        </w:rPr>
        <w:t xml:space="preserve">Costigliola et al. (2017, p. 9015) explican que su laboratorio funciona las 24 horas, los 7 días, para atender el control en proceso, mientras que los demás ensayos se hacen de lunes a viernes. De ahí salen las llegadas (supuesto S10): el control en proceso llega a cualquier hora, como un proceso de Poisson; la materia prima, el granel y el producto terminado llegan de 8:00 a 17:00, de lunes a viernes, que es el horario del turno de día de la Tabla 1 de la fuente, y la estabilidad llega en un lote al comienzo de la jornada, porque sus muestras se retiran de las cámaras en fechas fijadas por el protocolo: cada 3 meses el primer año, cada 6 el segundo y luego cada año (WHO, 2018, §2.1.6 y §2.2.6).</w:t>
      </w:r>
    </w:p>
    <w:p>
      <w:pPr>
        <w:spacing w:after="120" w:before="0" w:line="288"/>
        <w:jc w:val="left"/>
      </w:pPr>
      <w:r>
        <w:rPr>
          <w:rFonts w:ascii="Times New Roman" w:cs="Times New Roman" w:eastAsia="Times New Roman" w:hAnsi="Times New Roman"/>
          <w:sz w:val="24"/>
          <w:szCs w:val="24"/>
        </w:rPr>
        <w:t xml:space="preserve">El plazo de entrega fija la prioridad (supuesto S06). El control en proceso tiene 4 h: en la fuente pasa unas 2 horas en el sistema (Costigliola et al., 2017, p. 9018). El granel tiene 1 día hábil, porque el empaque del lote suele esperar su aprobación; el producto terminado, 2 días hábiles, en línea con las 31 horas que la fuente reporta en HPLC (Tabla 5, p. 9018) y que, según ella, pueden representar una muestra de prioridad media; la materia prima, 5 días hábiles, porque es la de menor prioridad y puede procesarse incluso después de una semana (p. 9018), y la estabilidad, 10 días hábiles. Los plazos se cuentan en días hábiles para que no venzan en fin de semana, cuando solo se procesa control en proceso. La OMS pone como ejemplo de indicador de desempeño del laboratorio el porcentaje de informes emitidos dentro de un plazo definido (WHO, 2024, s. 4.15, p. 165); es el indicador de cumplimiento de plazos del O3.</w:t>
      </w:r>
    </w:p>
    <w:p>
      <w:pPr>
        <w:spacing w:after="120" w:before="0" w:line="288"/>
        <w:jc w:val="left"/>
      </w:pPr>
      <w:r>
        <w:rPr>
          <w:rFonts w:ascii="Times New Roman" w:cs="Times New Roman" w:eastAsia="Times New Roman" w:hAnsi="Times New Roman"/>
          <w:sz w:val="24"/>
          <w:szCs w:val="24"/>
        </w:rPr>
        <w:t xml:space="preserve">Las muestras urgentes (supuesto S03) son el 10 % de las de materia prima, granel y producto terminado: llegan sin aviso y con máxima prioridad (Coito et al., 2021, p. 65), y su plazo pasa a ser el del control en proceso. El control en proceso ya tiene la prioridad más alta y la estabilidad es planificada, así que esos dos tipos no tienen urgentes.</w:t>
      </w:r>
    </w:p>
    <w:p>
      <w:pPr>
        <w:keepNext/>
        <w:spacing w:after="0" w:before="200" w:line="288"/>
        <w:jc w:val="left"/>
      </w:pPr>
      <w:r>
        <w:rPr>
          <w:rFonts w:ascii="Times New Roman" w:cs="Times New Roman" w:eastAsia="Times New Roman" w:hAnsi="Times New Roman"/>
          <w:b/>
          <w:bCs/>
          <w:sz w:val="24"/>
          <w:szCs w:val="24"/>
        </w:rPr>
        <w:t xml:space="preserve">Tabla 8</w:t>
      </w:r>
    </w:p>
    <w:p>
      <w:pPr>
        <w:keepNext/>
        <w:spacing w:after="80" w:before="0" w:line="288"/>
        <w:jc w:val="left"/>
      </w:pPr>
      <w:r>
        <w:rPr>
          <w:rFonts w:ascii="Times New Roman" w:cs="Times New Roman" w:eastAsia="Times New Roman" w:hAnsi="Times New Roman"/>
          <w:i/>
          <w:iCs/>
          <w:sz w:val="24"/>
          <w:szCs w:val="24"/>
        </w:rPr>
        <w:t xml:space="preserve">Proporción, llegadas, plazo y volumen por tipo de muestra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500"/>
        <w:gridCol w:w="1150"/>
        <w:gridCol w:w="1750"/>
        <w:gridCol w:w="1250"/>
        <w:gridCol w:w="1050"/>
        <w:gridCol w:w="900"/>
        <w:gridCol w:w="954"/>
      </w:tblGrid>
      <w:tr>
        <w:trPr>
          <w:cantSplit/>
          <w:tblHeader/>
        </w:trPr>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Tipo de muestra</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Proporción de muestras</w:t>
            </w:r>
          </w:p>
        </w:tc>
        <w:tc>
          <w:tcPr>
            <w:tcW w:type="dxa" w:w="17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8"/>
                <w:szCs w:val="18"/>
              </w:rPr>
              <w:t xml:space="preserve">Llegada</w:t>
            </w:r>
          </w:p>
        </w:tc>
        <w:tc>
          <w:tcPr>
            <w:tcW w:type="dxa" w:w="1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Plazo</w:t>
            </w:r>
          </w:p>
        </w:tc>
        <w:tc>
          <w:tcPr>
            <w:tcW w:type="dxa" w:w="10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Prioridad</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Puede ser urgente</w:t>
            </w:r>
          </w:p>
        </w:tc>
        <w:tc>
          <w:tcPr>
            <w:tcW w:type="dxa" w:w="9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8"/>
                <w:szCs w:val="18"/>
              </w:rPr>
              <w:t xml:space="preserve">Muestras por día</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Materia prima</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25 %</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Poisson, de 8:00 a 17:00, de lunes a viernes</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5 días hábiles</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Sí</w:t>
            </w:r>
          </w:p>
        </w:tc>
        <w:tc>
          <w:tcPr>
            <w:tcW w:type="dxa" w:w="9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12,3</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Intermedio (control en proceso)</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30 %</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Poisson, a toda hora, todos los días</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 h</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No</w:t>
            </w:r>
          </w:p>
        </w:tc>
        <w:tc>
          <w:tcPr>
            <w:tcW w:type="dxa" w:w="9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10,5</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Granel</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10 %</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Poisson, de 8:00 a 17:00, de lunes a viernes</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1 día hábil</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Sí</w:t>
            </w:r>
          </w:p>
        </w:tc>
        <w:tc>
          <w:tcPr>
            <w:tcW w:type="dxa" w:w="9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4,9</w:t>
            </w:r>
          </w:p>
        </w:tc>
      </w:tr>
      <w:tr>
        <w:trPr>
          <w:cantSplit/>
        </w:trPr>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Producto terminado</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20 %</w:t>
            </w:r>
          </w:p>
        </w:tc>
        <w:tc>
          <w:tcPr>
            <w:tcW w:type="dxa" w:w="17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8"/>
                <w:szCs w:val="18"/>
              </w:rPr>
              <w:t xml:space="preserve">Poisson, de 8:00 a 17:00, de lunes a viernes</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2 días hábiles</w:t>
            </w:r>
          </w:p>
        </w:tc>
        <w:tc>
          <w:tcPr>
            <w:tcW w:type="dxa" w:w="10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Sí</w:t>
            </w:r>
          </w:p>
        </w:tc>
        <w:tc>
          <w:tcPr>
            <w:tcW w:type="dxa" w:w="9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8"/>
                <w:szCs w:val="18"/>
              </w:rPr>
              <w:t xml:space="preserve">9,8</w:t>
            </w:r>
          </w:p>
        </w:tc>
      </w:tr>
      <w:tr>
        <w:trPr>
          <w:cantSplit/>
        </w:trPr>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8"/>
                <w:szCs w:val="18"/>
              </w:rPr>
              <w:t xml:space="preserve">Estabilidad</w:t>
            </w:r>
          </w:p>
        </w:tc>
        <w:tc>
          <w:tcPr>
            <w:tcW w:type="dxa" w:w="11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15 %</w:t>
            </w:r>
          </w:p>
        </w:tc>
        <w:tc>
          <w:tcPr>
            <w:tcW w:type="dxa" w:w="17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8"/>
                <w:szCs w:val="18"/>
              </w:rPr>
              <w:t xml:space="preserve">Lote a las 8:00, de lunes a viernes</w:t>
            </w:r>
          </w:p>
        </w:tc>
        <w:tc>
          <w:tcPr>
            <w:tcW w:type="dxa" w:w="12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10 días hábiles</w:t>
            </w:r>
          </w:p>
        </w:tc>
        <w:tc>
          <w:tcPr>
            <w:tcW w:type="dxa" w:w="10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5</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No</w:t>
            </w:r>
          </w:p>
        </w:tc>
        <w:tc>
          <w:tcPr>
            <w:tcW w:type="dxa" w:w="9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8"/>
                <w:szCs w:val="18"/>
              </w:rPr>
              <w:t xml:space="preserve">7,4</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Muestras por día = muestras por cada día en que llega ese tipo, en el escenario base: volumen anual de Costigliola et al. (2017, Tabla 4, p. 9018) dividido entre 1,2 ensayos por muestra (Cunha et al., 2019, p. 1425), multiplicado por la proporción del tipo y dividido entre sus días de llegada al año (260 días hábiles, o 365 en el control en proceso). Prioridad 1 = la más alta; una urgente toma la prioridad del control en proceso.</w:t>
      </w:r>
    </w:p>
    <w:p>
      <w:pPr>
        <w:spacing w:after="120" w:before="0" w:line="288"/>
        <w:jc w:val="left"/>
      </w:pPr>
      <w:r>
        <w:rPr>
          <w:rFonts w:ascii="Times New Roman" w:cs="Times New Roman" w:eastAsia="Times New Roman" w:hAnsi="Times New Roman"/>
          <w:sz w:val="24"/>
          <w:szCs w:val="24"/>
        </w:rPr>
        <w:t xml:space="preserve">Con ese volumen, el escenario base tiene unas 45 muestras y 54 ensayos por día hábil, y 10,5 muestras por día de fin de semana. La carga de un día hábil queda un poco por encima de las 35 a 52 operaciones diarias de la instancia realista de Cunha et al. (2019, pp. 1424–1425), porque todo lo que no es control en proceso se concentra de lunes a viernes.</w:t>
      </w:r>
    </w:p>
    <w:p>
      <w:pPr>
        <w:pStyle w:val="Heading2"/>
        <w:keepNext/>
      </w:pPr>
      <w:r>
        <w:rPr>
          <w:rFonts w:ascii="Times New Roman" w:cs="Times New Roman" w:eastAsia="Times New Roman" w:hAnsi="Times New Roman"/>
          <w:b/>
          <w:bCs/>
          <w:sz w:val="24"/>
          <w:szCs w:val="24"/>
        </w:rPr>
        <w:t xml:space="preserve">2.4 Métodos dentro de cada tipo</w:t>
      </w:r>
    </w:p>
    <w:p>
      <w:pPr>
        <w:spacing w:after="120" w:before="0" w:line="288"/>
        <w:jc w:val="left"/>
      </w:pPr>
      <w:r>
        <w:rPr>
          <w:rFonts w:ascii="Times New Roman" w:cs="Times New Roman" w:eastAsia="Times New Roman" w:hAnsi="Times New Roman"/>
          <w:sz w:val="24"/>
          <w:szCs w:val="24"/>
        </w:rPr>
        <w:t xml:space="preserve">Cada muestra pide uno, dos o tres ensayos con probabilidades de 85, 10 y 5 % (Cunha et al., 2019, p. 1425), iguales para los cinco tipos (supuesto S18), y los ensayos de una misma muestra son métodos distintos. Qué métodos pide depende del tipo: solo los que aplican según la Tabla 5, y en una proporción que conserve la mezcla de técnicas de Costigliola et al. (2017). Martins et al. (2023, p. 191) generan sus instancias con la misma idea: cada combinación de producto y origen de la muestra suele traer un conjunto predeterminado de ensayos.</w:t>
      </w:r>
    </w:p>
    <w:p>
      <w:pPr>
        <w:spacing w:after="120" w:before="0" w:line="288"/>
        <w:jc w:val="left"/>
      </w:pPr>
      <w:r>
        <w:rPr>
          <w:rFonts w:ascii="Times New Roman" w:cs="Times New Roman" w:eastAsia="Times New Roman" w:hAnsi="Times New Roman"/>
          <w:sz w:val="24"/>
          <w:szCs w:val="24"/>
        </w:rPr>
        <w:t xml:space="preserve">Para calcular esa proporción se usa el ajuste proporcional iterativo de Deming y Stephan (1940). Se parte de la matriz de aplicación, en la que cada método pesa lo mismo en todos los tipos en que aplica, y se alternan dos correcciones hasta que ambas se cumplen: que cada método conserve su participación en la demanda y que cada tipo llegue a su proporción. Con la proporción base converge en unas diez iteraciones y reproduce la mezcla de métodos del catálogo sin error (Tabla 9).</w:t>
      </w:r>
    </w:p>
    <w:p>
      <w:pPr>
        <w:keepNext/>
        <w:spacing w:after="0" w:before="200" w:line="288"/>
        <w:jc w:val="left"/>
      </w:pPr>
      <w:r>
        <w:rPr>
          <w:rFonts w:ascii="Times New Roman" w:cs="Times New Roman" w:eastAsia="Times New Roman" w:hAnsi="Times New Roman"/>
          <w:b/>
          <w:bCs/>
          <w:sz w:val="24"/>
          <w:szCs w:val="24"/>
        </w:rPr>
        <w:t xml:space="preserve">Tabla 9</w:t>
      </w:r>
    </w:p>
    <w:p>
      <w:pPr>
        <w:keepNext/>
        <w:spacing w:after="80" w:before="0" w:line="288"/>
        <w:jc w:val="left"/>
      </w:pPr>
      <w:r>
        <w:rPr>
          <w:rFonts w:ascii="Times New Roman" w:cs="Times New Roman" w:eastAsia="Times New Roman" w:hAnsi="Times New Roman"/>
          <w:i/>
          <w:iCs/>
          <w:sz w:val="24"/>
          <w:szCs w:val="24"/>
        </w:rPr>
        <w:t xml:space="preserve">Mezcla de técnicas dentro de cada tipo de muestra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2554"/>
        <w:gridCol w:w="1000"/>
        <w:gridCol w:w="1000"/>
        <w:gridCol w:w="1000"/>
        <w:gridCol w:w="1000"/>
        <w:gridCol w:w="1000"/>
        <w:gridCol w:w="1000"/>
      </w:tblGrid>
      <w:tr>
        <w:trPr>
          <w:cantSplit/>
          <w:tblHeader/>
        </w:trPr>
        <w:tc>
          <w:tcPr>
            <w:tcW w:type="dxa" w:w="2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 de muestra</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HPLC</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GC</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PSA</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KF</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DSC</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XRPD</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Materia prima</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26,9 %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44,0 %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17,5 %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3,9 %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2,2 %</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Intermedio (control en proceso)</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42,4 %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29,6 %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14,6 %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6,3 %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1,8 %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5,4 %</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Granel</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42,5 %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19,2 %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27,7 %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4,1 %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1,6 %</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Producto terminado</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43,1 %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19,5 %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18,5 %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8,7 %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5,2 %</w:t>
            </w:r>
          </w:p>
        </w:tc>
      </w:tr>
      <w:tr>
        <w:trPr>
          <w:cantSplit/>
        </w:trPr>
        <w:tc>
          <w:tcPr>
            <w:tcW w:type="dxa" w:w="2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Estabilidad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56,0 %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0,0 %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24,0 %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11,4 %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6,5 %</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2,2 %</w:t>
            </w:r>
          </w:p>
        </w:tc>
      </w:tr>
      <w:tr>
        <w:trPr>
          <w:cantSplit/>
        </w:trPr>
        <w:tc>
          <w:tcPr>
            <w:tcW w:type="dxa" w:w="2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20"/>
                <w:szCs w:val="20"/>
              </w:rPr>
              <w:t xml:space="preserve">Total del laboratorio</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40,7 %</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25,7 %</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18,8 %</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7,1 %</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4,0 %</w:t>
            </w:r>
          </w:p>
        </w:tc>
        <w:tc>
          <w:tcPr>
            <w:tcW w:type="dxa" w:w="10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20"/>
                <w:szCs w:val="20"/>
              </w:rPr>
              <w:t xml:space="preserve">3,7 %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Proporción de los ensayos de cada tipo que corresponde a cada técnica, con la proporción base de tipos. La última fila es la mezcla de la Tabla 2 de Costigliola et al. (2017, p. 9016), que el ajuste conserva. Cálculo en la hoja «Calibración de tipos», bloques B a D.</w:t>
      </w:r>
    </w:p>
    <w:p>
      <w:pPr>
        <w:spacing w:after="120" w:before="0" w:line="288"/>
        <w:jc w:val="left"/>
      </w:pPr>
      <w:r>
        <w:rPr>
          <w:rFonts w:ascii="Times New Roman" w:cs="Times New Roman" w:eastAsia="Times New Roman" w:hAnsi="Times New Roman"/>
          <w:sz w:val="24"/>
          <w:szCs w:val="24"/>
        </w:rPr>
        <w:t xml:space="preserve">Como los ensayos de una muestra no repiten método, la mezcla por técnica que produce el generador se aparta a lo sumo 1,1 puntos porcentuales de la Tabla 2 de la fuente (simulación de 400 000 muestras), del mismo orden que la diferencia entre las Tablas 2 y 4 de la propia fuente. Si se elige una proporción de tipos incompatible con la matriz (por ejemplo, 70 % de control en proceso, cuando los métodos que aplican a ese tipo suman el 63,5 % de la demanda), el chequeo de la hoja «Calibración de tipos» lo marca y las pruebas fallan.</w:t>
      </w:r>
    </w:p>
    <w:p>
      <w:pPr>
        <w:pStyle w:val="Heading2"/>
        <w:keepNext/>
      </w:pPr>
      <w:r>
        <w:rPr>
          <w:rFonts w:ascii="Times New Roman" w:cs="Times New Roman" w:eastAsia="Times New Roman" w:hAnsi="Times New Roman"/>
          <w:b/>
          <w:bCs/>
          <w:sz w:val="24"/>
          <w:szCs w:val="24"/>
        </w:rPr>
        <w:t xml:space="preserve">2.5 Trazabilidad</w:t>
      </w:r>
    </w:p>
    <w:p>
      <w:pPr>
        <w:keepNext/>
        <w:spacing w:after="0" w:before="200" w:line="288"/>
        <w:jc w:val="left"/>
      </w:pPr>
      <w:r>
        <w:rPr>
          <w:rFonts w:ascii="Times New Roman" w:cs="Times New Roman" w:eastAsia="Times New Roman" w:hAnsi="Times New Roman"/>
          <w:b/>
          <w:bCs/>
          <w:sz w:val="24"/>
          <w:szCs w:val="24"/>
        </w:rPr>
        <w:t xml:space="preserve">Tabla 10</w:t>
      </w:r>
    </w:p>
    <w:p>
      <w:pPr>
        <w:keepNext/>
        <w:spacing w:after="80" w:before="0" w:line="288"/>
        <w:jc w:val="left"/>
      </w:pPr>
      <w:r>
        <w:rPr>
          <w:rFonts w:ascii="Times New Roman" w:cs="Times New Roman" w:eastAsia="Times New Roman" w:hAnsi="Times New Roman"/>
          <w:i/>
          <w:iCs/>
          <w:sz w:val="24"/>
          <w:szCs w:val="24"/>
        </w:rPr>
        <w:t xml:space="preserve">Origen de cada elemento de los tipos de muestra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554"/>
        <w:gridCol w:w="1500"/>
        <w:gridCol w:w="3500"/>
      </w:tblGrid>
      <w:tr>
        <w:trPr>
          <w:cantSplit/>
          <w:tblHeader/>
        </w:trPr>
        <w:tc>
          <w:tcPr>
            <w:tcW w:type="dxa" w:w="3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Elemento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w:t>
            </w:r>
          </w:p>
        </w:tc>
        <w:tc>
          <w:tcPr>
            <w:tcW w:type="dxa" w:w="3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Fuente o supuesto</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Definiciones de los tipos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 normativo y criterio propio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WHO (2014, pp. 82–85); la de estabilidad, propia</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Tipos de muestra que genera un lote</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Martins et al. (2023, p. 178)</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Control en proceso a toda hora; lo demás, de lunes a viernes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Calendario de retiro de las muestras de estabilidad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 normativo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WHO (2018, §2.1.6 y §2.2.6)</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Tiempo en el sistema por prioridad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9018 y Tabla 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Volumen anual y ensayos por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4, p. 9018); Cunha et al. (2019, p. 1425)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Rango de referencia del control en proceso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1,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Probabilidad de cada método dentro del tipo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Hoja «Calibración de tipos»; Deming y Stephan (1940)</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Proporción de cada tipo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S17</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Llegadas por tipo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S10</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Plazo por tipo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S06</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Muestras urgentes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S03</w:t>
            </w:r>
          </w:p>
        </w:tc>
      </w:tr>
      <w:tr>
        <w:trPr>
          <w:cantSplit/>
        </w:trPr>
        <w:tc>
          <w:tcPr>
            <w:tcW w:type="dxa" w:w="3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Ensayos por muestra iguales en todos los tipos</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S18</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supuestos están en la hoja «Supuestos» con su propuesta y su escenario de sensibilidad.</w:t>
      </w:r>
    </w:p>
    <w:p>
      <w:pPr>
        <w:pStyle w:val="Heading2"/>
        <w:keepNext/>
      </w:pPr>
      <w:r>
        <w:rPr>
          <w:rFonts w:ascii="Times New Roman" w:cs="Times New Roman" w:eastAsia="Times New Roman" w:hAnsi="Times New Roman"/>
          <w:b/>
          <w:bCs/>
          <w:sz w:val="24"/>
          <w:szCs w:val="24"/>
        </w:rPr>
        <w:t xml:space="preserve">2.6 Uso en el generador</w:t>
      </w:r>
    </w:p>
    <w:p>
      <w:pPr>
        <w:keepNext/>
        <w:spacing w:after="60" w:before="0" w:line="288"/>
        <w:jc w:val="left"/>
      </w:pPr>
      <w:r>
        <w:rPr>
          <w:rFonts w:ascii="Times New Roman" w:cs="Times New Roman" w:eastAsia="Times New Roman" w:hAnsi="Times New Roman"/>
          <w:sz w:val="24"/>
          <w:szCs w:val="24"/>
        </w:rPr>
        <w:t xml:space="preserve">El generador usa la hoja «Tipos de muestra» para crear las muestras y darles el plazo, el último atributo que el anteproyecto (§1.4) exige a la unidad de análisis:</w:t>
      </w:r>
    </w:p>
    <w:p>
      <w:pPr>
        <w:pStyle w:val="ListParagraph"/>
        <w:numPr>
          <w:ilvl w:val="0"/>
          <w:numId w:val="4"/>
        </w:numPr>
        <w:spacing w:after="80" w:line="288"/>
      </w:pPr>
      <w:r>
        <w:rPr>
          <w:rFonts w:ascii="Times New Roman" w:cs="Times New Roman" w:eastAsia="Times New Roman" w:hAnsi="Times New Roman"/>
          <w:sz w:val="24"/>
          <w:szCs w:val="24"/>
        </w:rPr>
        <w:t xml:space="preserve">Genera las llegadas de cada tipo con su calendario y su tasa diaria (columna «Muestras por día de llegada»), multiplicada por el escenario de carga.</w:t>
      </w:r>
    </w:p>
    <w:p>
      <w:pPr>
        <w:pStyle w:val="ListParagraph"/>
        <w:numPr>
          <w:ilvl w:val="0"/>
          <w:numId w:val="4"/>
        </w:numPr>
        <w:spacing w:after="80" w:line="288"/>
      </w:pPr>
      <w:r>
        <w:rPr>
          <w:rFonts w:ascii="Times New Roman" w:cs="Times New Roman" w:eastAsia="Times New Roman" w:hAnsi="Times New Roman"/>
          <w:sz w:val="24"/>
          <w:szCs w:val="24"/>
        </w:rPr>
        <w:t xml:space="preserve">Marca como urgente el 10 % de las muestras de materia prima, granel y producto terminado.</w:t>
      </w:r>
    </w:p>
    <w:p>
      <w:pPr>
        <w:pStyle w:val="ListParagraph"/>
        <w:numPr>
          <w:ilvl w:val="0"/>
          <w:numId w:val="4"/>
        </w:numPr>
        <w:spacing w:after="80" w:line="288"/>
      </w:pPr>
      <w:r>
        <w:rPr>
          <w:rFonts w:ascii="Times New Roman" w:cs="Times New Roman" w:eastAsia="Times New Roman" w:hAnsi="Times New Roman"/>
          <w:sz w:val="24"/>
          <w:szCs w:val="24"/>
        </w:rPr>
        <w:t xml:space="preserve">Asigna el plazo del tipo, en horas o en días hábiles, o 4 horas si la muestra es urgente.</w:t>
      </w:r>
    </w:p>
    <w:p>
      <w:pPr>
        <w:pStyle w:val="ListParagraph"/>
        <w:numPr>
          <w:ilvl w:val="0"/>
          <w:numId w:val="4"/>
        </w:numPr>
        <w:spacing w:after="80" w:line="288"/>
      </w:pPr>
      <w:r>
        <w:rPr>
          <w:rFonts w:ascii="Times New Roman" w:cs="Times New Roman" w:eastAsia="Times New Roman" w:hAnsi="Times New Roman"/>
          <w:sz w:val="24"/>
          <w:szCs w:val="24"/>
        </w:rPr>
        <w:t xml:space="preserve">Sortea cuántos ensayos pide la muestra (1, 2 o 3) y elige métodos distintos con la probabilidad de cada método dentro de su tipo (columnas M01 a M12).</w:t>
      </w:r>
    </w:p>
    <w:p>
      <w:pPr>
        <w:pStyle w:val="ListParagraph"/>
        <w:numPr>
          <w:ilvl w:val="0"/>
          <w:numId w:val="4"/>
        </w:numPr>
        <w:spacing w:after="80" w:line="288"/>
      </w:pPr>
      <w:r>
        <w:rPr>
          <w:rFonts w:ascii="Times New Roman" w:cs="Times New Roman" w:eastAsia="Times New Roman" w:hAnsi="Times New Roman"/>
          <w:sz w:val="24"/>
          <w:szCs w:val="24"/>
        </w:rPr>
        <w:t xml:space="preserve">Cada ensayo hereda el tipo, la hora de llegada y el plazo de su muestra; el resto de sus atributos sale del catálogo (sección 1).</w:t>
      </w:r>
    </w:p>
    <w:p>
      <w:pPr>
        <w:spacing w:after="120" w:before="80" w:line="288"/>
        <w:jc w:val="left"/>
      </w:pPr>
      <w:r>
        <w:rPr>
          <w:rFonts w:ascii="Times New Roman" w:cs="Times New Roman" w:eastAsia="Times New Roman" w:hAnsi="Times New Roman"/>
          <w:sz w:val="24"/>
          <w:szCs w:val="24"/>
        </w:rPr>
        <w:t xml:space="preserve">Las pruebas del repositorio (tests/test_tipos_muestra.py) verifican que la hoja conserve la mezcla de métodos, que las llegadas y los plazos sean válidos y que el volumen anual coincida con el de la fuente.</w:t>
      </w:r>
    </w:p>
    <w:p>
      <w:pPr>
        <w:pStyle w:val="Heading2"/>
        <w:keepNext/>
      </w:pPr>
      <w:r>
        <w:rPr>
          <w:rFonts w:ascii="Times New Roman" w:cs="Times New Roman" w:eastAsia="Times New Roman" w:hAnsi="Times New Roman"/>
          <w:b/>
          <w:bCs/>
          <w:sz w:val="24"/>
          <w:szCs w:val="24"/>
        </w:rPr>
        <w:t xml:space="preserve">2.7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Proporción de tipos. </w:t>
      </w:r>
      <w:r>
        <w:rPr>
          <w:rFonts w:ascii="Times New Roman" w:cs="Times New Roman" w:eastAsia="Times New Roman" w:hAnsi="Times New Roman"/>
          <w:sz w:val="24"/>
          <w:szCs w:val="24"/>
        </w:rPr>
        <w:t xml:space="preserve">Es el supuesto con menos respaldo de la sección; conviene preguntar en la asesoría si hay una referencia o tratarlo con los tres escenarios.</w:t>
      </w:r>
    </w:p>
    <w:p>
      <w:pPr>
        <w:pStyle w:val="ListParagraph"/>
        <w:numPr>
          <w:ilvl w:val="0"/>
          <w:numId w:val="2"/>
        </w:numPr>
        <w:spacing w:after="80" w:line="288"/>
      </w:pPr>
      <w:r>
        <w:rPr>
          <w:rFonts w:ascii="Times New Roman" w:cs="Times New Roman" w:eastAsia="Times New Roman" w:hAnsi="Times New Roman"/>
          <w:b/>
          <w:bCs/>
          <w:sz w:val="24"/>
          <w:szCs w:val="24"/>
        </w:rPr>
        <w:t xml:space="preserve">Carga de los días hábiles. </w:t>
      </w:r>
      <w:r>
        <w:rPr>
          <w:rFonts w:ascii="Times New Roman" w:cs="Times New Roman" w:eastAsia="Times New Roman" w:hAnsi="Times New Roman"/>
          <w:sz w:val="24"/>
          <w:szCs w:val="24"/>
        </w:rPr>
        <w:t xml:space="preserve">Si en la asesoría se considera alta (54 ensayos frente a 35–52 en Cunha et al., 2019), se puede extender a los fines de semana la llegada y el proceso de la materia prima o bajar la proporción de los tipos que solo llegan de lunes a viernes.</w:t>
      </w:r>
    </w:p>
    <w:p>
      <w:pPr>
        <w:pStyle w:val="Heading1"/>
        <w:keepNext/>
      </w:pPr>
      <w:r>
        <w:rPr>
          <w:rFonts w:ascii="Times New Roman" w:cs="Times New Roman" w:eastAsia="Times New Roman" w:hAnsi="Times New Roman"/>
          <w:b/>
          <w:bCs/>
          <w:sz w:val="26"/>
          <w:szCs w:val="26"/>
        </w:rPr>
        <w:t xml:space="preserve">3. Equipos y analistas</w:t>
      </w:r>
    </w:p>
    <w:p>
      <w:pPr>
        <w:pStyle w:val="Heading2"/>
        <w:keepNext/>
      </w:pPr>
      <w:r>
        <w:rPr>
          <w:rFonts w:ascii="Times New Roman" w:cs="Times New Roman" w:eastAsia="Times New Roman" w:hAnsi="Times New Roman"/>
          <w:b/>
          <w:bCs/>
          <w:sz w:val="24"/>
          <w:szCs w:val="24"/>
        </w:rPr>
        <w:t xml:space="preserve">3.1 Equipos por técnica y configuración</w:t>
      </w:r>
    </w:p>
    <w:p>
      <w:pPr>
        <w:spacing w:after="120" w:before="0" w:line="288"/>
        <w:jc w:val="left"/>
      </w:pPr>
      <w:r>
        <w:rPr>
          <w:rFonts w:ascii="Times New Roman" w:cs="Times New Roman" w:eastAsia="Times New Roman" w:hAnsi="Times New Roman"/>
          <w:sz w:val="24"/>
          <w:szCs w:val="24"/>
        </w:rPr>
        <w:t xml:space="preserve">Costigliola et al. (2017, p. 9015) reportan 70 equipos de las seis técnicas, pero no cuántos hay de cada una; la única pista es la Figura 5 (p. 9018), con equipos numerados hasta HPLC22, lo que sugiere al menos 22 cromatógrafos líquidos, si la numeración es correlativa. Los 70 equipos se reparten en proporción a las horas de equipo que pide cada configuración en un año (los ensayos al año por la suma del montaje medio y la corrida media), con un mínimo de dos por configuración para que el mantenimiento de una unidad no deje un método sin equipo (supuesto S21).</w:t>
      </w:r>
    </w:p>
    <w:p>
      <w:pPr>
        <w:spacing w:after="120" w:before="0" w:line="288"/>
        <w:jc w:val="left"/>
      </w:pPr>
      <w:r>
        <w:rPr>
          <w:rFonts w:ascii="Times New Roman" w:cs="Times New Roman" w:eastAsia="Times New Roman" w:hAnsi="Times New Roman"/>
          <w:sz w:val="24"/>
          <w:szCs w:val="24"/>
        </w:rPr>
        <w:t xml:space="preserve">Las configuraciones salen del equipo que pide cada método en el catálogo (supuesto S22): dentro de una técnica, cada configuración corre solo ciertos métodos, y esa es la compatibilidad equipo–actividad del sistema de variables. Martins et al. (2023, p. 191) parten del mismo hecho al generar sus instancias: solo máquinas específicas pueden hacer ciertos ensayos.</w:t>
      </w:r>
    </w:p>
    <w:p>
      <w:pPr>
        <w:keepNext/>
        <w:spacing w:after="0" w:before="200" w:line="288"/>
        <w:jc w:val="left"/>
      </w:pPr>
      <w:r>
        <w:rPr>
          <w:rFonts w:ascii="Times New Roman" w:cs="Times New Roman" w:eastAsia="Times New Roman" w:hAnsi="Times New Roman"/>
          <w:b/>
          <w:bCs/>
          <w:sz w:val="24"/>
          <w:szCs w:val="24"/>
        </w:rPr>
        <w:t xml:space="preserve">Tabla 11</w:t>
      </w:r>
    </w:p>
    <w:p>
      <w:pPr>
        <w:keepNext/>
        <w:spacing w:after="80" w:before="0" w:line="288"/>
        <w:jc w:val="left"/>
      </w:pPr>
      <w:r>
        <w:rPr>
          <w:rFonts w:ascii="Times New Roman" w:cs="Times New Roman" w:eastAsia="Times New Roman" w:hAnsi="Times New Roman"/>
          <w:i/>
          <w:iCs/>
          <w:sz w:val="24"/>
          <w:szCs w:val="24"/>
        </w:rPr>
        <w:t xml:space="preserve">Equipos por configuración</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100"/>
        <w:gridCol w:w="1250"/>
        <w:gridCol w:w="900"/>
        <w:gridCol w:w="1200"/>
        <w:gridCol w:w="1052"/>
        <w:gridCol w:w="1052"/>
      </w:tblGrid>
      <w:tr>
        <w:trPr>
          <w:cantSplit/>
          <w:tblHeader/>
        </w:trPr>
        <w:tc>
          <w:tcPr>
            <w:tcW w:type="dxa" w:w="3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Configuración</w:t>
            </w:r>
          </w:p>
        </w:tc>
        <w:tc>
          <w:tcPr>
            <w:tcW w:type="dxa" w:w="1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Métodos que corre</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Equipos</w:t>
            </w:r>
          </w:p>
        </w:tc>
        <w:tc>
          <w:tcPr>
            <w:tcW w:type="dxa" w:w="12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Horas de equipo al año</w:t>
            </w:r>
          </w:p>
        </w:tc>
        <w:tc>
          <w:tcPr>
            <w:tcW w:type="dxa" w:w="105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Utilización (base)</w:t>
            </w:r>
          </w:p>
        </w:tc>
        <w:tc>
          <w:tcPr>
            <w:tcW w:type="dxa" w:w="105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Utilización (carga alta)</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 con gradiente y detector UV/DAD</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M01, M02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5 114</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3,9 %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5,8 %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 isocrático con detector UV</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26</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8 572</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3,8 %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5,6 %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 con inyección líquida y FID</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M03</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1 189</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3,4 %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5,1 %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 con espacio de cabeza y FID</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3 690</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3,8 %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5,7 %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Difracción láser, módulo seco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M05</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453</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2,6 %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3,9 %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Difracción láser, módulo húmedo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M06</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1 060</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4,0 %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6,0 %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Titulador KF volumétrico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M07</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261</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2,2 %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Titulador KF coulométrico con horno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M08</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289</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1,6 %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2,5 %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Calorímetro diferencial de barrido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M09, M10</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1 035</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3,9 %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5,9 %</w:t>
            </w:r>
          </w:p>
        </w:tc>
      </w:tr>
      <w:tr>
        <w:trPr>
          <w:cantSplit/>
        </w:trPr>
        <w:tc>
          <w:tcPr>
            <w:tcW w:type="dxa" w:w="3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Difractómetro de rayos X de polvo</w:t>
            </w:r>
          </w:p>
        </w:tc>
        <w:tc>
          <w:tcPr>
            <w:tcW w:type="dxa" w:w="12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M11, M12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835</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4,8 %</w:t>
            </w:r>
          </w:p>
        </w:tc>
        <w:tc>
          <w:tcPr>
            <w:tcW w:type="dxa" w:w="105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7,1 %</w:t>
            </w:r>
          </w:p>
        </w:tc>
      </w:tr>
      <w:tr>
        <w:trPr>
          <w:cantSplit/>
        </w:trPr>
        <w:tc>
          <w:tcPr>
            <w:tcW w:type="dxa" w:w="3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9"/>
                <w:szCs w:val="19"/>
              </w:rPr>
              <w:t xml:space="preserve">Total</w:t>
            </w:r>
          </w:p>
        </w:tc>
        <w:tc>
          <w:tcPr>
            <w:tcW w:type="dxa" w:w="12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9"/>
                <w:szCs w:val="19"/>
              </w:rPr>
              <w:t xml:space="preserve"/>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70</w:t>
            </w:r>
          </w:p>
        </w:tc>
        <w:tc>
          <w:tcPr>
            <w:tcW w:type="dxa" w:w="12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22 497</w:t>
            </w:r>
          </w:p>
        </w:tc>
        <w:tc>
          <w:tcPr>
            <w:tcW w:type="dxa" w:w="105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
            </w:r>
          </w:p>
        </w:tc>
        <w:tc>
          <w:tcPr>
            <w:tcW w:type="dxa" w:w="105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Horas de equipo = ensayos al año del escenario base × (montaje medio + corrida media) ÷ 60, sin la idoneidad del sistema. Utilización = horas de equipo ÷ (equipos × 24 h × 365 días); carga alta = +50 % (Costigliola et al., 2017, p. 9019). Las horas de cada método se cuentan en su configuración principal: las de M01, en el HPLC isocrático. El total no coincide con la suma de las filas por redondeo. Cálculo en las hojas «Equipos» y «Calibración de recursos».</w:t>
      </w:r>
    </w:p>
    <w:p>
      <w:pPr>
        <w:spacing w:after="120" w:before="0" w:line="288"/>
        <w:jc w:val="left"/>
      </w:pPr>
      <w:r>
        <w:rPr>
          <w:rFonts w:ascii="Times New Roman" w:cs="Times New Roman" w:eastAsia="Times New Roman" w:hAnsi="Times New Roman"/>
          <w:sz w:val="24"/>
          <w:szCs w:val="24"/>
        </w:rPr>
        <w:t xml:space="preserve">El reparto da 41 HPLC, 15 GC, 5 PSA, 4 KF, 3 DSC y 2 XRPD, por encima del mínimo de 22 HPLC que sugiere la fuente. El montaje y la corrida ocupan menos del 5 % del año de cada configuración, y menos del 8 % con 50 % más de carga. Esa holgura coincide con la conclusión de Costigliola et al. (2017, p. 9019): los equipos alcanzan aun con 50 % más de muestras, y el cuello de botella son los analistas. La utilización que mida la simulación será mayor, porque sumará la idoneidad del sistema (cuya frecuencia depende de la programación), las repeticiones y el tiempo en que un equipo espera a un analista. La disponibilidad de cada equipo en el tiempo (mantenimiento, calibración y fallas) se define en la sección 4.</w:t>
      </w:r>
    </w:p>
    <w:p>
      <w:pPr>
        <w:pStyle w:val="Heading2"/>
        <w:keepNext/>
      </w:pPr>
      <w:r>
        <w:rPr>
          <w:rFonts w:ascii="Times New Roman" w:cs="Times New Roman" w:eastAsia="Times New Roman" w:hAnsi="Times New Roman"/>
          <w:b/>
          <w:bCs/>
          <w:sz w:val="24"/>
          <w:szCs w:val="24"/>
        </w:rPr>
        <w:t xml:space="preserve">3.2 Analistas: turnos, niveles y áreas</w:t>
      </w:r>
    </w:p>
    <w:p>
      <w:pPr>
        <w:spacing w:after="120" w:before="0" w:line="288"/>
        <w:jc w:val="left"/>
      </w:pPr>
      <w:r>
        <w:rPr>
          <w:rFonts w:ascii="Times New Roman" w:cs="Times New Roman" w:eastAsia="Times New Roman" w:hAnsi="Times New Roman"/>
          <w:sz w:val="24"/>
          <w:szCs w:val="24"/>
        </w:rPr>
        <w:t xml:space="preserve">La plantilla es la de Costigliola et al. (2017, Tabla 1, p. 9015): 20 analistas, seis en el turno rotativo de 12 horas que cubre los 7 días, cuatro en dos turnos de 8 horas de lunes a viernes y diez en el turno de día. A cada uno se le asigna, además, un nivel de experiencia y un área de trabajo, ambos supuestos.</w:t>
      </w:r>
    </w:p>
    <w:p>
      <w:pPr>
        <w:spacing w:after="120" w:before="0" w:line="288"/>
        <w:jc w:val="left"/>
      </w:pPr>
      <w:r>
        <w:rPr>
          <w:rFonts w:ascii="Times New Roman" w:cs="Times New Roman" w:eastAsia="Times New Roman" w:hAnsi="Times New Roman"/>
          <w:sz w:val="24"/>
          <w:szCs w:val="24"/>
        </w:rPr>
        <w:t xml:space="preserve">Los niveles (5 sénior, 9 intermedios y 6 júnior, supuesto S19) deciden qué complejidad puede atender cada analista (sección 1.2) y cambian la duración de sus tareas, con factores de 0,90, 1,00 y 1,15 (supuesto S07). Las áreas (supuesto S20) parten de la observación de Costigliola et al. (2017, p. 9017) de que, en el laboratorio real, cada turno atiende pocos tipos de operación (control en proceso, estabilidad, desarrollo): el turno 1, que cubre las noches y los fines de semana, atiende el control en proceso en todas las técnicas, y, como supuesto propio, los turnos 2 y 3 se dividen entre cromatografía (HPLC y GC) y fisicoquímica (PSA, KF, DSC y XRPD). El turno 1 solo tiene analistas sénior e intermedios, porque de noche dos analistas deben cubrir solos los métodos de complejidad media del control en proceso.</w:t>
      </w:r>
    </w:p>
    <w:p>
      <w:pPr>
        <w:keepNext/>
        <w:spacing w:after="0" w:before="200" w:line="288"/>
        <w:jc w:val="left"/>
      </w:pPr>
      <w:r>
        <w:rPr>
          <w:rFonts w:ascii="Times New Roman" w:cs="Times New Roman" w:eastAsia="Times New Roman" w:hAnsi="Times New Roman"/>
          <w:b/>
          <w:bCs/>
          <w:sz w:val="24"/>
          <w:szCs w:val="24"/>
        </w:rPr>
        <w:t xml:space="preserve">Tabla 12</w:t>
      </w:r>
    </w:p>
    <w:p>
      <w:pPr>
        <w:keepNext/>
        <w:spacing w:after="80" w:before="0" w:line="288"/>
        <w:jc w:val="left"/>
      </w:pPr>
      <w:r>
        <w:rPr>
          <w:rFonts w:ascii="Times New Roman" w:cs="Times New Roman" w:eastAsia="Times New Roman" w:hAnsi="Times New Roman"/>
          <w:i/>
          <w:iCs/>
          <w:sz w:val="24"/>
          <w:szCs w:val="24"/>
        </w:rPr>
        <w:t xml:space="preserve">Composición de la plantilla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800"/>
        <w:gridCol w:w="2404"/>
        <w:gridCol w:w="1600"/>
        <w:gridCol w:w="900"/>
        <w:gridCol w:w="1150"/>
        <w:gridCol w:w="900"/>
        <w:gridCol w:w="800"/>
      </w:tblGrid>
      <w:tr>
        <w:trPr>
          <w:cantSplit/>
          <w:tblHeader/>
        </w:trPr>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Turno</w:t>
            </w:r>
          </w:p>
        </w:tc>
        <w:tc>
          <w:tcPr>
            <w:tcW w:type="dxa" w:w="24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Horario</w:t>
            </w:r>
          </w:p>
        </w:tc>
        <w:tc>
          <w:tcPr>
            <w:tcW w:type="dxa" w:w="16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Área</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Sénior</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Intermedio</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Júnior</w:t>
            </w:r>
          </w:p>
        </w:tc>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Total</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T1</w:t>
            </w:r>
          </w:p>
        </w:tc>
        <w:tc>
          <w:tcPr>
            <w:tcW w:type="dxa" w:w="24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12 h rotativo, 7 días</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Todas</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0</w:t>
            </w:r>
          </w:p>
        </w:tc>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T2</w:t>
            </w:r>
          </w:p>
        </w:tc>
        <w:tc>
          <w:tcPr>
            <w:tcW w:type="dxa" w:w="24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8:00–17:00 y 17:00–24:00, lunes a viernes</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Cromatografía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T2</w:t>
            </w:r>
          </w:p>
        </w:tc>
        <w:tc>
          <w:tcPr>
            <w:tcW w:type="dxa" w:w="24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8:00–17:00 y 17:00–24:00, lunes a viernes</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Fisicoquímica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0</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0</w:t>
            </w:r>
          </w:p>
        </w:tc>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T3</w:t>
            </w:r>
          </w:p>
        </w:tc>
        <w:tc>
          <w:tcPr>
            <w:tcW w:type="dxa" w:w="24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8:00–17:00, lunes a viernes</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Cromatografía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T3</w:t>
            </w:r>
          </w:p>
        </w:tc>
        <w:tc>
          <w:tcPr>
            <w:tcW w:type="dxa" w:w="24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8:00–17:00, lunes a viernes</w:t>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Fisicoquímica</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11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8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r>
      <w:tr>
        <w:trPr>
          <w:cantSplit/>
        </w:trPr>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9"/>
                <w:szCs w:val="19"/>
              </w:rPr>
              <w:t xml:space="preserve">Total</w:t>
            </w:r>
          </w:p>
        </w:tc>
        <w:tc>
          <w:tcPr>
            <w:tcW w:type="dxa" w:w="24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9"/>
                <w:szCs w:val="19"/>
              </w:rPr>
              <w:t xml:space="preserve"/>
            </w:r>
          </w:p>
        </w:tc>
        <w:tc>
          <w:tcPr>
            <w:tcW w:type="dxa" w:w="16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bCs/>
                <w:sz w:val="19"/>
                <w:szCs w:val="19"/>
              </w:rPr>
              <w:t xml:space="preserve"/>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5</w:t>
            </w:r>
          </w:p>
        </w:tc>
        <w:tc>
          <w:tcPr>
            <w:tcW w:type="dxa" w:w="11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9</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6</w:t>
            </w:r>
          </w:p>
        </w:tc>
        <w:tc>
          <w:tcPr>
            <w:tcW w:type="dxa" w:w="8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bCs/>
                <w:sz w:val="19"/>
                <w:szCs w:val="19"/>
              </w:rPr>
              <w:t xml:space="preserve">20</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Turnos y número de analistas por turno: Costigliola et al. (2017, Tabla 1, p. 9015); en el turno 1 y en el turno 2 hay dos analistas en turno a la vez. Niveles: supuesto S19; áreas: supuesto S20. El detalle por analista está en la hoja «Analistas».</w:t>
      </w:r>
    </w:p>
    <w:p>
      <w:pPr>
        <w:pStyle w:val="Heading2"/>
        <w:keepNext/>
      </w:pPr>
      <w:r>
        <w:rPr>
          <w:rFonts w:ascii="Times New Roman" w:cs="Times New Roman" w:eastAsia="Times New Roman" w:hAnsi="Times New Roman"/>
          <w:b/>
          <w:bCs/>
          <w:sz w:val="24"/>
          <w:szCs w:val="24"/>
        </w:rPr>
        <w:t xml:space="preserve">3.3 Matriz de calificación</w:t>
      </w:r>
    </w:p>
    <w:p>
      <w:pPr>
        <w:spacing w:after="120" w:before="0" w:line="288"/>
        <w:jc w:val="left"/>
      </w:pPr>
      <w:r>
        <w:rPr>
          <w:rFonts w:ascii="Times New Roman" w:cs="Times New Roman" w:eastAsia="Times New Roman" w:hAnsi="Times New Roman"/>
          <w:sz w:val="24"/>
          <w:szCs w:val="24"/>
        </w:rPr>
        <w:t xml:space="preserve">La matriz analista–método se calcula con una regla: un analista está calificado para un método si su nivel alcanza la calificación mínima del método y si la técnica del método está en su área. Así se cumple lo que plantea el anteproyecto (§1.2), que un mismo analista esté calificado solo para algunos métodos, y lo que señalan Coito et al. (2021, p. 65) sobre las competencias únicas de analistas y equipos: de los 20 analistas, 18 están calificados en 2 a 10 de los 12 métodos, y solo los dos sénior del turno 1 lo están en todos. La Tabla 13 resume la cobertura de cada método: cuántos analistas están calificados en cada turno, cuántos equipos son compatibles y cuántas combinaciones analista–equipo resultan, que son los primeros indicadores de disponibilidad cruzada del sistema de variables; los que dependen del tiempo se tratan en la sección 4.</w:t>
      </w:r>
    </w:p>
    <w:p>
      <w:pPr>
        <w:keepNext/>
        <w:spacing w:after="0" w:before="200" w:line="288"/>
        <w:jc w:val="left"/>
      </w:pPr>
      <w:r>
        <w:rPr>
          <w:rFonts w:ascii="Times New Roman" w:cs="Times New Roman" w:eastAsia="Times New Roman" w:hAnsi="Times New Roman"/>
          <w:b/>
          <w:bCs/>
          <w:sz w:val="24"/>
          <w:szCs w:val="24"/>
        </w:rPr>
        <w:t xml:space="preserve">Tabla 13</w:t>
      </w:r>
    </w:p>
    <w:p>
      <w:pPr>
        <w:keepNext/>
        <w:spacing w:after="80" w:before="0" w:line="288"/>
        <w:jc w:val="left"/>
      </w:pPr>
      <w:r>
        <w:rPr>
          <w:rFonts w:ascii="Times New Roman" w:cs="Times New Roman" w:eastAsia="Times New Roman" w:hAnsi="Times New Roman"/>
          <w:i/>
          <w:iCs/>
          <w:sz w:val="24"/>
          <w:szCs w:val="24"/>
        </w:rPr>
        <w:t xml:space="preserve">Cobertura de cada método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600"/>
        <w:gridCol w:w="1254"/>
        <w:gridCol w:w="850"/>
        <w:gridCol w:w="850"/>
        <w:gridCol w:w="850"/>
        <w:gridCol w:w="1300"/>
        <w:gridCol w:w="1350"/>
        <w:gridCol w:w="1500"/>
      </w:tblGrid>
      <w:tr>
        <w:trPr>
          <w:cantSplit/>
          <w:tblHeader/>
        </w:trPr>
        <w:tc>
          <w:tcPr>
            <w:tcW w:type="dxa" w:w="6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ID</w:t>
            </w:r>
          </w:p>
        </w:tc>
        <w:tc>
          <w:tcPr>
            <w:tcW w:type="dxa" w:w="12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Nivel mínimo</w:t>
            </w:r>
          </w:p>
        </w:tc>
        <w:tc>
          <w:tcPr>
            <w:tcW w:type="dxa" w:w="8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Turno 1</w:t>
            </w:r>
          </w:p>
        </w:tc>
        <w:tc>
          <w:tcPr>
            <w:tcW w:type="dxa" w:w="8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Turno 2</w:t>
            </w:r>
          </w:p>
        </w:tc>
        <w:tc>
          <w:tcPr>
            <w:tcW w:type="dxa" w:w="8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Turno 3</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Analistas calificados</w:t>
            </w:r>
          </w:p>
        </w:tc>
        <w:tc>
          <w:tcPr>
            <w:tcW w:type="dxa" w:w="135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Equipos compatibles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Combinaciones</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M01</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Júnior</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615</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M02</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165</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M03</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Júnior</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60</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M04</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121</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M05</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Júnior</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22</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M06</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27</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M07</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18</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M08</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Sénior</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M09</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Júnior</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33</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M10</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27</w:t>
            </w:r>
          </w:p>
        </w:tc>
      </w:tr>
      <w:tr>
        <w:trPr>
          <w:cantSplit/>
        </w:trPr>
        <w:tc>
          <w:tcPr>
            <w:tcW w:type="dxa" w:w="6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M11</w:t>
            </w:r>
          </w:p>
        </w:tc>
        <w:tc>
          <w:tcPr>
            <w:tcW w:type="dxa" w:w="12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Intermedio</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w:t>
            </w:r>
          </w:p>
        </w:tc>
        <w:tc>
          <w:tcPr>
            <w:tcW w:type="dxa" w:w="135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18</w:t>
            </w:r>
          </w:p>
        </w:tc>
      </w:tr>
      <w:tr>
        <w:trPr>
          <w:cantSplit/>
        </w:trPr>
        <w:tc>
          <w:tcPr>
            <w:tcW w:type="dxa" w:w="6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M12</w:t>
            </w:r>
          </w:p>
        </w:tc>
        <w:tc>
          <w:tcPr>
            <w:tcW w:type="dxa" w:w="12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Sénior</w:t>
            </w:r>
          </w:p>
        </w:tc>
        <w:tc>
          <w:tcPr>
            <w:tcW w:type="dxa" w:w="8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2</w:t>
            </w:r>
          </w:p>
        </w:tc>
        <w:tc>
          <w:tcPr>
            <w:tcW w:type="dxa" w:w="8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0</w:t>
            </w:r>
          </w:p>
        </w:tc>
        <w:tc>
          <w:tcPr>
            <w:tcW w:type="dxa" w:w="8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1</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3</w:t>
            </w:r>
          </w:p>
        </w:tc>
        <w:tc>
          <w:tcPr>
            <w:tcW w:type="dxa" w:w="135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6</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Turnos 1 a 3 = analistas calificados en cada turno. Combinaciones = analistas calificados × equipos compatibles. Cálculo en la hoja «Calibración de recursos», bloque F.</w:t>
      </w:r>
    </w:p>
    <w:p>
      <w:pPr>
        <w:spacing w:after="120" w:before="0" w:line="288"/>
        <w:jc w:val="left"/>
      </w:pPr>
      <w:r>
        <w:rPr>
          <w:rFonts w:ascii="Times New Roman" w:cs="Times New Roman" w:eastAsia="Times New Roman" w:hAnsi="Times New Roman"/>
          <w:sz w:val="24"/>
          <w:szCs w:val="24"/>
        </w:rPr>
        <w:t xml:space="preserve">Todos los métodos tienen al menos dos analistas calificados y un equipo compatible, y los seis métodos que aplican al control en proceso los cubre cualquiera de los analistas del turno 1, así que cualquier pareja de turno puede atenderlos de noche o en fin de semana. La densidad de la matriz (la fracción de parejas analista–método habilitadas) es de 48,3 %, entre los dos niveles de flexibilidad con que Martins et al. (2023, p. 191) generan sus instancias (f = 0,3 y 0,6), y cada método tiene en promedio 9,7 analistas calificados, frente a 6 empleados calificados por trabajo, en promedio, en las instancias del Test Laboratory Scheduling Problem (TLSP) de Mischek y Musliu (2021, p. 550). Los métodos de complejidad alta (M08 y M12) son los más restringidos: 3 analistas sénior y 2 equipos cada uno.</w:t>
      </w:r>
    </w:p>
    <w:p>
      <w:pPr>
        <w:pStyle w:val="Heading2"/>
        <w:keepNext/>
      </w:pPr>
      <w:r>
        <w:rPr>
          <w:rFonts w:ascii="Times New Roman" w:cs="Times New Roman" w:eastAsia="Times New Roman" w:hAnsi="Times New Roman"/>
          <w:b/>
          <w:bCs/>
          <w:sz w:val="24"/>
          <w:szCs w:val="24"/>
        </w:rPr>
        <w:t xml:space="preserve">3.4 Trazabilidad</w:t>
      </w:r>
    </w:p>
    <w:p>
      <w:pPr>
        <w:keepNext/>
        <w:spacing w:after="0" w:before="200" w:line="288"/>
        <w:jc w:val="left"/>
      </w:pPr>
      <w:r>
        <w:rPr>
          <w:rFonts w:ascii="Times New Roman" w:cs="Times New Roman" w:eastAsia="Times New Roman" w:hAnsi="Times New Roman"/>
          <w:b/>
          <w:bCs/>
          <w:sz w:val="24"/>
          <w:szCs w:val="24"/>
        </w:rPr>
        <w:t xml:space="preserve">Tabla 14</w:t>
      </w:r>
    </w:p>
    <w:p>
      <w:pPr>
        <w:keepNext/>
        <w:spacing w:after="80" w:before="0" w:line="288"/>
        <w:jc w:val="left"/>
      </w:pPr>
      <w:r>
        <w:rPr>
          <w:rFonts w:ascii="Times New Roman" w:cs="Times New Roman" w:eastAsia="Times New Roman" w:hAnsi="Times New Roman"/>
          <w:i/>
          <w:iCs/>
          <w:sz w:val="24"/>
          <w:szCs w:val="24"/>
        </w:rPr>
        <w:t xml:space="preserve">Origen de cada elemento de equipos y analistas</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554"/>
        <w:gridCol w:w="1500"/>
        <w:gridCol w:w="3500"/>
      </w:tblGrid>
      <w:tr>
        <w:trPr>
          <w:cantSplit/>
          <w:tblHeader/>
        </w:trPr>
        <w:tc>
          <w:tcPr>
            <w:tcW w:type="dxa" w:w="3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Elemento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w:t>
            </w:r>
          </w:p>
        </w:tc>
        <w:tc>
          <w:tcPr>
            <w:tcW w:type="dxa" w:w="3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Fuente o supuesto</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Total de equipos y de analistas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Turnos y analistas por turno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1,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Al menos 22 HPLC</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Fig. 5, p. 9018)</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Equipos suficientes con 50 % más de carga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9019)</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Cada turno atiende pocos tipos de operación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9017)</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Elegibilidad restringida de máquinas y analistas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Martins et al. (2023, p. 191); Coito et al. (2021, p. 65)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Horas de equipo por configuración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Hoja «Calibración de recursos», bloque A</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Reparto de los 70 equipos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S21</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Configuraciones y compatibilidad</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S22</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Niveles de experiencia y su efecto en la duración</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S19 y S07</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Áreas de trabajo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S20</w:t>
            </w:r>
          </w:p>
        </w:tc>
      </w:tr>
      <w:tr>
        <w:trPr>
          <w:cantSplit/>
        </w:trPr>
        <w:tc>
          <w:tcPr>
            <w:tcW w:type="dxa" w:w="3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Calificación mínima por complejidad</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S12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supuestos están en la hoja «Supuestos» con su propuesta y su escenario de sensibilidad.</w:t>
      </w:r>
    </w:p>
    <w:p>
      <w:pPr>
        <w:pStyle w:val="Heading2"/>
        <w:keepNext/>
      </w:pPr>
      <w:r>
        <w:rPr>
          <w:rFonts w:ascii="Times New Roman" w:cs="Times New Roman" w:eastAsia="Times New Roman" w:hAnsi="Times New Roman"/>
          <w:b/>
          <w:bCs/>
          <w:sz w:val="24"/>
          <w:szCs w:val="24"/>
        </w:rPr>
        <w:t xml:space="preserve">3.5 Uso en el generador</w:t>
      </w:r>
    </w:p>
    <w:p>
      <w:pPr>
        <w:keepNext/>
        <w:spacing w:after="60" w:before="0" w:line="288"/>
        <w:jc w:val="left"/>
      </w:pPr>
      <w:r>
        <w:rPr>
          <w:rFonts w:ascii="Times New Roman" w:cs="Times New Roman" w:eastAsia="Times New Roman" w:hAnsi="Times New Roman"/>
          <w:sz w:val="24"/>
          <w:szCs w:val="24"/>
        </w:rPr>
        <w:t xml:space="preserve">El generador usa las hojas «Equipos» y «Analistas» para crear los recursos del laboratorio y las combinaciones factibles de cada ensayo:</w:t>
      </w:r>
    </w:p>
    <w:p>
      <w:pPr>
        <w:pStyle w:val="ListParagraph"/>
        <w:numPr>
          <w:ilvl w:val="0"/>
          <w:numId w:val="5"/>
        </w:numPr>
        <w:spacing w:after="80" w:line="288"/>
      </w:pPr>
      <w:r>
        <w:rPr>
          <w:rFonts w:ascii="Times New Roman" w:cs="Times New Roman" w:eastAsia="Times New Roman" w:hAnsi="Times New Roman"/>
          <w:sz w:val="24"/>
          <w:szCs w:val="24"/>
        </w:rPr>
        <w:t xml:space="preserve">Crea una unidad por cada equipo de la hoja «Equipos» (por ejemplo, HPLC-G01 a HPLC-G15), con los métodos que puede correr.</w:t>
      </w:r>
    </w:p>
    <w:p>
      <w:pPr>
        <w:pStyle w:val="ListParagraph"/>
        <w:numPr>
          <w:ilvl w:val="0"/>
          <w:numId w:val="5"/>
        </w:numPr>
        <w:spacing w:after="80" w:line="288"/>
      </w:pPr>
      <w:r>
        <w:rPr>
          <w:rFonts w:ascii="Times New Roman" w:cs="Times New Roman" w:eastAsia="Times New Roman" w:hAnsi="Times New Roman"/>
          <w:sz w:val="24"/>
          <w:szCs w:val="24"/>
        </w:rPr>
        <w:t xml:space="preserve">Crea los 20 analistas de la hoja «Analistas», con su turno, su nivel, su factor de duración y su fila de la matriz de calificación.</w:t>
      </w:r>
    </w:p>
    <w:p>
      <w:pPr>
        <w:pStyle w:val="ListParagraph"/>
        <w:numPr>
          <w:ilvl w:val="0"/>
          <w:numId w:val="5"/>
        </w:numPr>
        <w:spacing w:after="80" w:line="288"/>
      </w:pPr>
      <w:r>
        <w:rPr>
          <w:rFonts w:ascii="Times New Roman" w:cs="Times New Roman" w:eastAsia="Times New Roman" w:hAnsi="Times New Roman"/>
          <w:sz w:val="24"/>
          <w:szCs w:val="24"/>
        </w:rPr>
        <w:t xml:space="preserve">Para cada ensayo guarda las combinaciones factibles: los analistas calificados en su método y los equipos compatibles. El simulador solo puede asignar una de ellas, y solo cuando el analista está en turno y el equipo, disponible (sección 4).</w:t>
      </w:r>
    </w:p>
    <w:p>
      <w:pPr>
        <w:pStyle w:val="ListParagraph"/>
        <w:numPr>
          <w:ilvl w:val="0"/>
          <w:numId w:val="5"/>
        </w:numPr>
        <w:spacing w:after="80" w:line="288"/>
      </w:pPr>
      <w:r>
        <w:rPr>
          <w:rFonts w:ascii="Times New Roman" w:cs="Times New Roman" w:eastAsia="Times New Roman" w:hAnsi="Times New Roman"/>
          <w:sz w:val="24"/>
          <w:szCs w:val="24"/>
        </w:rPr>
        <w:t xml:space="preserve">Multiplica la duración de las tareas del analista por el factor de su nivel.</w:t>
      </w:r>
    </w:p>
    <w:p>
      <w:pPr>
        <w:spacing w:after="120" w:before="80" w:line="288"/>
        <w:jc w:val="left"/>
      </w:pPr>
      <w:r>
        <w:rPr>
          <w:rFonts w:ascii="Times New Roman" w:cs="Times New Roman" w:eastAsia="Times New Roman" w:hAnsi="Times New Roman"/>
          <w:sz w:val="24"/>
          <w:szCs w:val="24"/>
        </w:rPr>
        <w:t xml:space="preserve">Las pruebas del repositorio (tests/test_recursos.py) verifican los totales de la fuente, que nadie quede calificado por encima de su nivel, que cada método tenga al menos dos analistas y un equipo, y que el turno 1 cubra todo el control en proceso.</w:t>
      </w:r>
    </w:p>
    <w:p>
      <w:pPr>
        <w:pStyle w:val="Heading2"/>
        <w:keepNext/>
      </w:pPr>
      <w:r>
        <w:rPr>
          <w:rFonts w:ascii="Times New Roman" w:cs="Times New Roman" w:eastAsia="Times New Roman" w:hAnsi="Times New Roman"/>
          <w:b/>
          <w:bCs/>
          <w:sz w:val="24"/>
          <w:szCs w:val="24"/>
        </w:rPr>
        <w:t xml:space="preserve">3.6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Capacidad de los analistas. </w:t>
      </w:r>
      <w:r>
        <w:rPr>
          <w:rFonts w:ascii="Times New Roman" w:cs="Times New Roman" w:eastAsia="Times New Roman" w:hAnsi="Times New Roman"/>
          <w:sz w:val="24"/>
          <w:szCs w:val="24"/>
        </w:rPr>
        <w:t xml:space="preserve">Costigliola et al. (2017, p. 9019) encuentran que, con 50 % más de carga, faltan analistas; la plantilla propuesta debe reproducirlo. Se verifica con el generador cuando estén definidas las duraciones; los turnos ya están en la sección 4.</w:t>
      </w:r>
    </w:p>
    <w:p>
      <w:pPr>
        <w:pStyle w:val="ListParagraph"/>
        <w:numPr>
          <w:ilvl w:val="0"/>
          <w:numId w:val="2"/>
        </w:numPr>
        <w:spacing w:after="80" w:line="288"/>
      </w:pPr>
      <w:r>
        <w:rPr>
          <w:rFonts w:ascii="Times New Roman" w:cs="Times New Roman" w:eastAsia="Times New Roman" w:hAnsi="Times New Roman"/>
          <w:b/>
          <w:bCs/>
          <w:sz w:val="24"/>
          <w:szCs w:val="24"/>
        </w:rPr>
        <w:t xml:space="preserve">Idoneidad del sistema en las horas de equipo. </w:t>
      </w:r>
      <w:r>
        <w:rPr>
          <w:rFonts w:ascii="Times New Roman" w:cs="Times New Roman" w:eastAsia="Times New Roman" w:hAnsi="Times New Roman"/>
          <w:sz w:val="24"/>
          <w:szCs w:val="24"/>
        </w:rPr>
        <w:t xml:space="preserve">Si se incluye, sube la proporción de HPLC y GC en el reparto, pero no cambia la conclusión de que los equipos alcanzan.</w:t>
      </w:r>
    </w:p>
    <w:p>
      <w:pPr>
        <w:pStyle w:val="ListParagraph"/>
        <w:numPr>
          <w:ilvl w:val="0"/>
          <w:numId w:val="2"/>
        </w:numPr>
        <w:spacing w:after="80" w:line="288"/>
      </w:pPr>
      <w:r>
        <w:rPr>
          <w:rFonts w:ascii="Times New Roman" w:cs="Times New Roman" w:eastAsia="Times New Roman" w:hAnsi="Times New Roman"/>
          <w:b/>
          <w:bCs/>
          <w:sz w:val="24"/>
          <w:szCs w:val="24"/>
        </w:rPr>
        <w:t xml:space="preserve">Niveles y áreas. </w:t>
      </w:r>
      <w:r>
        <w:rPr>
          <w:rFonts w:ascii="Times New Roman" w:cs="Times New Roman" w:eastAsia="Times New Roman" w:hAnsi="Times New Roman"/>
          <w:sz w:val="24"/>
          <w:szCs w:val="24"/>
        </w:rPr>
        <w:t xml:space="preserve">Conviene validarlos en la asesoría; los escenarios restringido y flexible del supuesto S20 permiten mostrar en el O3 el efecto de la flexibilidad de la plantilla.</w:t>
      </w:r>
    </w:p>
    <w:p>
      <w:pPr>
        <w:pStyle w:val="Heading1"/>
        <w:keepNext/>
      </w:pPr>
      <w:r>
        <w:rPr>
          <w:rFonts w:ascii="Times New Roman" w:cs="Times New Roman" w:eastAsia="Times New Roman" w:hAnsi="Times New Roman"/>
          <w:b/>
          <w:bCs/>
          <w:sz w:val="26"/>
          <w:szCs w:val="26"/>
        </w:rPr>
        <w:t xml:space="preserve">4. Turnos y ventanas de mantenimiento y calibración</w:t>
      </w:r>
    </w:p>
    <w:p>
      <w:pPr>
        <w:pStyle w:val="Heading2"/>
        <w:keepNext/>
      </w:pPr>
      <w:r>
        <w:rPr>
          <w:rFonts w:ascii="Times New Roman" w:cs="Times New Roman" w:eastAsia="Times New Roman" w:hAnsi="Times New Roman"/>
          <w:b/>
          <w:bCs/>
          <w:sz w:val="24"/>
          <w:szCs w:val="24"/>
        </w:rPr>
        <w:t xml:space="preserve">4.1 Turnos y rotaciones</w:t>
      </w:r>
    </w:p>
    <w:p>
      <w:pPr>
        <w:spacing w:after="120" w:before="0" w:line="288"/>
        <w:jc w:val="left"/>
      </w:pPr>
      <w:r>
        <w:rPr>
          <w:rFonts w:ascii="Times New Roman" w:cs="Times New Roman" w:eastAsia="Times New Roman" w:hAnsi="Times New Roman"/>
          <w:sz w:val="24"/>
          <w:szCs w:val="24"/>
        </w:rPr>
        <w:t xml:space="preserve">Los horarios son los de la Tabla 1 de Costigliola et al. (2017, p. 9015). La fuente no describe cómo rotan los analistas, así que la rotación es un supuesto (S23), elegido para reproducir la tabla. En el turno 1, los seis analistas forman tres parejas que siguen un ciclo de dos días, dos noches y dos días libres: así siempre hay una pareja de día (8:00 a 20:00) y otra de noche (20:00 a 8:00), y cada analista trabaja 56 horas por semana, justo lo que resulta de la Tabla 1. En el turno 2, dos parejas alternan una semana de mañana (8:00 a 17:00) y una de tarde (17:00 a 24:00), y el turno 3 trabaja fijo de lunes a viernes, de 8:00 a 17:00. El calendario se repite cada 42 días (hoja «Rotación»). No se modelan festivos, vacaciones ni ausencias.</w:t>
      </w:r>
    </w:p>
    <w:p>
      <w:pPr>
        <w:spacing w:after="120" w:before="0" w:line="288"/>
        <w:jc w:val="left"/>
      </w:pPr>
      <w:r>
        <w:rPr>
          <w:rFonts w:ascii="Times New Roman" w:cs="Times New Roman" w:eastAsia="Times New Roman" w:hAnsi="Times New Roman"/>
          <w:sz w:val="24"/>
          <w:szCs w:val="24"/>
        </w:rPr>
        <w:t xml:space="preserve">La fuente llama «de 8 horas» a los turnos de 8:00 a 17:00, que duran 9, por lo que se descuenta una hora de almuerzo (supuesto S24): de 12:00 a 13:00 en el turno 2, y en el turno 3 en dos grupos, de 12:00 a 13:00 y de 13:00 a 14:00, para no dejar el laboratorio solo con el turno 1 al mediodía.</w:t>
      </w:r>
    </w:p>
    <w:p>
      <w:pPr>
        <w:keepNext/>
        <w:spacing w:after="0" w:before="200" w:line="288"/>
        <w:jc w:val="left"/>
      </w:pPr>
      <w:r>
        <w:rPr>
          <w:rFonts w:ascii="Times New Roman" w:cs="Times New Roman" w:eastAsia="Times New Roman" w:hAnsi="Times New Roman"/>
          <w:b/>
          <w:bCs/>
          <w:sz w:val="24"/>
          <w:szCs w:val="24"/>
        </w:rPr>
        <w:t xml:space="preserve">Tabla 15</w:t>
      </w:r>
    </w:p>
    <w:p>
      <w:pPr>
        <w:keepNext/>
        <w:spacing w:after="80" w:before="0" w:line="288"/>
        <w:jc w:val="left"/>
      </w:pPr>
      <w:r>
        <w:rPr>
          <w:rFonts w:ascii="Times New Roman" w:cs="Times New Roman" w:eastAsia="Times New Roman" w:hAnsi="Times New Roman"/>
          <w:i/>
          <w:iCs/>
          <w:sz w:val="24"/>
          <w:szCs w:val="24"/>
        </w:rPr>
        <w:t xml:space="preserve">Turnos del laboratorio de referencia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700"/>
        <w:gridCol w:w="1100"/>
        <w:gridCol w:w="1900"/>
        <w:gridCol w:w="1300"/>
        <w:gridCol w:w="2354"/>
        <w:gridCol w:w="1200"/>
      </w:tblGrid>
      <w:tr>
        <w:trPr>
          <w:cantSplit/>
          <w:tblHeader/>
        </w:trPr>
        <w:tc>
          <w:tcPr>
            <w:tcW w:type="dxa" w:w="7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Turno</w:t>
            </w:r>
          </w:p>
        </w:tc>
        <w:tc>
          <w:tcPr>
            <w:tcW w:type="dxa" w:w="11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Analistas</w:t>
            </w:r>
          </w:p>
        </w:tc>
        <w:tc>
          <w:tcPr>
            <w:tcW w:type="dxa" w:w="1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Horario</w:t>
            </w:r>
          </w:p>
        </w:tc>
        <w:tc>
          <w:tcPr>
            <w:tcW w:type="dxa" w:w="13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Días</w:t>
            </w:r>
          </w:p>
        </w:tc>
        <w:tc>
          <w:tcPr>
            <w:tcW w:type="dxa" w:w="23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Rotación</w:t>
            </w:r>
          </w:p>
        </w:tc>
        <w:tc>
          <w:tcPr>
            <w:tcW w:type="dxa" w:w="12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Horas por semana</w:t>
            </w:r>
          </w:p>
        </w:tc>
      </w:tr>
      <w:tr>
        <w:trPr>
          <w:cantSplit/>
        </w:trPr>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T1</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6 (2 en turno)</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8:00–20:00 y 20:00–8:00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Todos</w:t>
            </w:r>
          </w:p>
        </w:tc>
        <w:tc>
          <w:tcPr>
            <w:tcW w:type="dxa" w:w="2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3 parejas: 2 días, 2 noches, 2 libres</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56,0</w:t>
            </w:r>
          </w:p>
        </w:tc>
      </w:tr>
      <w:tr>
        <w:trPr>
          <w:cantSplit/>
        </w:trPr>
        <w:tc>
          <w:tcPr>
            <w:tcW w:type="dxa" w:w="7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T2</w:t>
            </w:r>
          </w:p>
        </w:tc>
        <w:tc>
          <w:tcPr>
            <w:tcW w:type="dxa" w:w="11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 (2 en turno)</w:t>
            </w:r>
          </w:p>
        </w:tc>
        <w:tc>
          <w:tcPr>
            <w:tcW w:type="dxa" w:w="1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8:00–17:00 y 17:00–24:00</w:t>
            </w:r>
          </w:p>
        </w:tc>
        <w:tc>
          <w:tcPr>
            <w:tcW w:type="dxa" w:w="13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Lunes a viernes</w:t>
            </w:r>
          </w:p>
        </w:tc>
        <w:tc>
          <w:tcPr>
            <w:tcW w:type="dxa" w:w="23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2 parejas: semana de mañana y semana de tarde</w:t>
            </w:r>
          </w:p>
        </w:tc>
        <w:tc>
          <w:tcPr>
            <w:tcW w:type="dxa" w:w="12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37,5</w:t>
            </w:r>
          </w:p>
        </w:tc>
      </w:tr>
      <w:tr>
        <w:trPr>
          <w:cantSplit/>
        </w:trPr>
        <w:tc>
          <w:tcPr>
            <w:tcW w:type="dxa" w:w="7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T3</w:t>
            </w:r>
          </w:p>
        </w:tc>
        <w:tc>
          <w:tcPr>
            <w:tcW w:type="dxa" w:w="11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10</w:t>
            </w:r>
          </w:p>
        </w:tc>
        <w:tc>
          <w:tcPr>
            <w:tcW w:type="dxa" w:w="1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8:00–17:00</w:t>
            </w:r>
          </w:p>
        </w:tc>
        <w:tc>
          <w:tcPr>
            <w:tcW w:type="dxa" w:w="13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Lunes a viernes</w:t>
            </w:r>
          </w:p>
        </w:tc>
        <w:tc>
          <w:tcPr>
            <w:tcW w:type="dxa" w:w="23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Fijo; almuerzo en dos grupos</w:t>
            </w:r>
          </w:p>
        </w:tc>
        <w:tc>
          <w:tcPr>
            <w:tcW w:type="dxa" w:w="12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40,0</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Horas por semana = horas efectivas de cada analista, promedio del ciclo de 42 días, ya sin el almuerzo. Horarios y analistas: Costigliola et al. (2017, Tabla 1, p. 9015); rotación y almuerzo: supuestos S23 y S24.</w:t>
      </w:r>
    </w:p>
    <w:p>
      <w:pPr>
        <w:pStyle w:val="Heading2"/>
        <w:keepNext/>
      </w:pPr>
      <w:r>
        <w:rPr>
          <w:rFonts w:ascii="Times New Roman" w:cs="Times New Roman" w:eastAsia="Times New Roman" w:hAnsi="Times New Roman"/>
          <w:b/>
          <w:bCs/>
          <w:sz w:val="24"/>
          <w:szCs w:val="24"/>
        </w:rPr>
        <w:t xml:space="preserve">4.2 Analistas en turno y ventana de proceso</w:t>
      </w:r>
    </w:p>
    <w:p>
      <w:pPr>
        <w:spacing w:after="120" w:before="0" w:line="288"/>
        <w:jc w:val="left"/>
      </w:pPr>
      <w:r>
        <w:rPr>
          <w:rFonts w:ascii="Times New Roman" w:cs="Times New Roman" w:eastAsia="Times New Roman" w:hAnsi="Times New Roman"/>
          <w:sz w:val="24"/>
          <w:szCs w:val="24"/>
        </w:rPr>
        <w:t xml:space="preserve">Con esa rotación, un día hábil tiene 14 analistas en turno en la mañana y en la tarde, 7 y 9 en las dos horas de almuerzo, 4 entre las 17:00 y las 24:00 y 2 en la madrugada; los fines de semana solo está la pareja del turno 1 (Tabla 16). La simulación usa esa capacidad franja por franja, no un promedio diario. En total suman 886 horas-analista por semana, 60 menos que las 946 de la Tabla 1 de Costigliola et al. (2017) por el almuerzo.</w:t>
      </w:r>
    </w:p>
    <w:p>
      <w:pPr>
        <w:keepNext/>
        <w:spacing w:after="0" w:before="200" w:line="288"/>
        <w:jc w:val="left"/>
      </w:pPr>
      <w:r>
        <w:rPr>
          <w:rFonts w:ascii="Times New Roman" w:cs="Times New Roman" w:eastAsia="Times New Roman" w:hAnsi="Times New Roman"/>
          <w:b/>
          <w:bCs/>
          <w:sz w:val="24"/>
          <w:szCs w:val="24"/>
        </w:rPr>
        <w:t xml:space="preserve">Tabla 16</w:t>
      </w:r>
    </w:p>
    <w:p>
      <w:pPr>
        <w:keepNext/>
        <w:spacing w:after="80" w:before="0" w:line="288"/>
        <w:jc w:val="left"/>
      </w:pPr>
      <w:r>
        <w:rPr>
          <w:rFonts w:ascii="Times New Roman" w:cs="Times New Roman" w:eastAsia="Times New Roman" w:hAnsi="Times New Roman"/>
          <w:i/>
          <w:iCs/>
          <w:sz w:val="24"/>
          <w:szCs w:val="24"/>
        </w:rPr>
        <w:t xml:space="preserve">Analistas en turno por franja horaria</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1604"/>
        <w:gridCol w:w="993"/>
        <w:gridCol w:w="993"/>
        <w:gridCol w:w="993"/>
        <w:gridCol w:w="993"/>
        <w:gridCol w:w="993"/>
        <w:gridCol w:w="993"/>
        <w:gridCol w:w="992"/>
      </w:tblGrid>
      <w:tr>
        <w:trPr>
          <w:cantSplit/>
          <w:tblHeader/>
        </w:trPr>
        <w:tc>
          <w:tcPr>
            <w:tcW w:type="dxa" w:w="160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Franja (h)</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0–8</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8–12</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12–13</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13–14</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14–17</w:t>
            </w:r>
          </w:p>
        </w:tc>
        <w:tc>
          <w:tcPr>
            <w:tcW w:type="dxa" w:w="993"/>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17–20</w:t>
            </w:r>
          </w:p>
        </w:tc>
        <w:tc>
          <w:tcPr>
            <w:tcW w:type="dxa" w:w="992"/>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20"/>
                <w:szCs w:val="20"/>
              </w:rPr>
              <w:t xml:space="preserve">20–24</w:t>
            </w:r>
          </w:p>
        </w:tc>
      </w:tr>
      <w:tr>
        <w:trPr>
          <w:cantSplit/>
        </w:trPr>
        <w:tc>
          <w:tcPr>
            <w:tcW w:type="dxa" w:w="160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Día hábil</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14</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7</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9</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14</w:t>
            </w:r>
          </w:p>
        </w:tc>
        <w:tc>
          <w:tcPr>
            <w:tcW w:type="dxa" w:w="99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w:t>
            </w:r>
          </w:p>
        </w:tc>
        <w:tc>
          <w:tcPr>
            <w:tcW w:type="dxa" w:w="992"/>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20"/>
                <w:szCs w:val="20"/>
              </w:rPr>
              <w:t xml:space="preserve">4</w:t>
            </w:r>
          </w:p>
        </w:tc>
      </w:tr>
      <w:tr>
        <w:trPr>
          <w:cantSplit/>
        </w:trPr>
        <w:tc>
          <w:tcPr>
            <w:tcW w:type="dxa" w:w="160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Fin de semana</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3"/>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c>
          <w:tcPr>
            <w:tcW w:type="dxa" w:w="992"/>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20"/>
                <w:szCs w:val="20"/>
              </w:rPr>
              <w:t xml:space="preserve">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De 0:00 a 8:00 trabaja la pareja que empezó turno de noche el día anterior. Cálculo en la hoja «Calibración de turnos», bloque C.</w:t>
      </w:r>
    </w:p>
    <w:p>
      <w:pPr>
        <w:spacing w:after="120" w:before="0" w:line="288"/>
        <w:jc w:val="left"/>
      </w:pPr>
      <w:r>
        <w:rPr>
          <w:rFonts w:ascii="Times New Roman" w:cs="Times New Roman" w:eastAsia="Times New Roman" w:hAnsi="Times New Roman"/>
          <w:sz w:val="24"/>
          <w:szCs w:val="24"/>
        </w:rPr>
        <w:t xml:space="preserve">Siguiendo a Costigliola et al. (2017, p. 9015), el control en proceso se atiende a cualquier hora y los demás ensayos, de lunes a viernes, en cualquier franja en que haya un analista calificado en turno (supuesto S25). Las muestras urgentes se atienden como el control en proceso. Esto es coherente con los plazos en días hábiles de la sección 2.</w:t>
      </w:r>
    </w:p>
    <w:p>
      <w:pPr>
        <w:pStyle w:val="Heading2"/>
        <w:keepNext/>
      </w:pPr>
      <w:r>
        <w:rPr>
          <w:rFonts w:ascii="Times New Roman" w:cs="Times New Roman" w:eastAsia="Times New Roman" w:hAnsi="Times New Roman"/>
          <w:b/>
          <w:bCs/>
          <w:sz w:val="24"/>
          <w:szCs w:val="24"/>
        </w:rPr>
        <w:t xml:space="preserve">4.3 Cobertura en el tiempo</w:t>
      </w:r>
    </w:p>
    <w:p>
      <w:pPr>
        <w:spacing w:after="120" w:before="0" w:line="288"/>
        <w:jc w:val="left"/>
      </w:pPr>
      <w:r>
        <w:rPr>
          <w:rFonts w:ascii="Times New Roman" w:cs="Times New Roman" w:eastAsia="Times New Roman" w:hAnsi="Times New Roman"/>
          <w:sz w:val="24"/>
          <w:szCs w:val="24"/>
        </w:rPr>
        <w:t xml:space="preserve">La coincidencia temporal entre un analista calificado y un equipo compatible es el tercer indicador de disponibilidad cruzada del sistema de variables; el cuarto, el porcentaje de ensayos restringidos por falta de alguno de los dos, lo medirá el generador. Del lado de los analistas, como cualquiera del turno 1 puede hacer los métodos de complejidad baja y media (sección 3), esos diez métodos tienen un analista calificado en turno las 168 horas de la semana. Los dos de complejidad alta (M08 y M12) quedan sin cobertura cuando está de turno la pareja que no tiene analista sénior y el sénior de fisicoquímica del turno 3 no está en el laboratorio: tienen analista calificado unas 125 de las 168 horas (75 %) y unas 93 de las 120 horas de los días hábiles. Como no se aplican al control en proceso, esos ensayos esperan al siguiente turno con un sénior, como máximo 12 horas. Del lado de los equipos, con al menos dos unidades por configuración y ventanas que nunca coinciden, siempre hay un equipo compatible fuera de su ventana; solo la coincidencia de fallas entre sí, o de una falla con la ventana de otra unidad, puede dejar una configuración sin equipos disponibles.</w:t>
      </w:r>
    </w:p>
    <w:p>
      <w:pPr>
        <w:pStyle w:val="Heading2"/>
        <w:keepNext/>
      </w:pPr>
      <w:r>
        <w:rPr>
          <w:rFonts w:ascii="Times New Roman" w:cs="Times New Roman" w:eastAsia="Times New Roman" w:hAnsi="Times New Roman"/>
          <w:b/>
          <w:bCs/>
          <w:sz w:val="24"/>
          <w:szCs w:val="24"/>
        </w:rPr>
        <w:t xml:space="preserve">4.4 Mantenimiento, calibración y fallas</w:t>
      </w:r>
    </w:p>
    <w:p>
      <w:pPr>
        <w:spacing w:after="120" w:before="0" w:line="288"/>
        <w:jc w:val="left"/>
      </w:pPr>
      <w:r>
        <w:rPr>
          <w:rFonts w:ascii="Times New Roman" w:cs="Times New Roman" w:eastAsia="Times New Roman" w:hAnsi="Times New Roman"/>
          <w:sz w:val="24"/>
          <w:szCs w:val="24"/>
        </w:rPr>
        <w:t xml:space="preserve">Ninguna de las cinco fuentes de calibración y contraste (Coito et al., 2021; Costigliola et al., 2017; Cunha et al., 2019; Martins et al., 2023; Mischek y Musliu, 2021) da la frecuencia ni la duración del mantenimiento o la calibración: Coito et al. (2021, p. 64) mencionan el mantenimiento predictivo solo como una aplicación de los sensores inteligentes, y Martins et al. (2023, p. 201), las averías de equipos como una perturbación que su heurística podría resolver reprogramando. Las guías dicen qué debe hacerse, pero no con qué frecuencia. La OMS pide que el laboratorio fije cuándo da servicio a los equipos y lleve un plan con el momento de cada intervención (WHO, 2024, s. 5.33–5.35, p. 175), que recalifique el equipo después de un mantenimiento o una reparación, y que saque de servicio el que falle hasta repararlo y recalificarlo (s. 5.39–5.40, p. 176). Las guías de la red europea de laboratorios oficiales de control de medicamentos exigen verificaciones periódicas como requisito de la ISO/IEC 17025, pero no fijan su frecuencia (European Directorate for the Quality of Medicines &amp; HealthCare [EDQM], 2025).</w:t>
      </w:r>
    </w:p>
    <w:p>
      <w:pPr>
        <w:spacing w:after="120" w:before="0" w:line="288"/>
        <w:jc w:val="left"/>
      </w:pPr>
      <w:r>
        <w:rPr>
          <w:rFonts w:ascii="Times New Roman" w:cs="Times New Roman" w:eastAsia="Times New Roman" w:hAnsi="Times New Roman"/>
          <w:sz w:val="24"/>
          <w:szCs w:val="24"/>
        </w:rPr>
        <w:t xml:space="preserve">Por eso la frecuencia es un supuesto (S26): cada equipo tiene una ventana por trimestre, en un día hábil desde las 8:00. Una de las cuatro es el mantenimiento preventivo con recalificación (8 horas, o 4 en PSA y KF) y las otras tres son verificaciones de desempeño de 2 horas. Las ventanas se escalonan para que dos equipos de la misma configuración nunca coincidan, y las hace personal externo o de metrología, así que no consumen horas de analista. En total son 14 horas al año por equipo (10 en PSA y KF), menos del 0,2 % del año.</w:t>
      </w:r>
    </w:p>
    <w:p>
      <w:pPr>
        <w:spacing w:after="120" w:before="0" w:line="288"/>
        <w:jc w:val="left"/>
      </w:pPr>
      <w:r>
        <w:rPr>
          <w:rFonts w:ascii="Times New Roman" w:cs="Times New Roman" w:eastAsia="Times New Roman" w:hAnsi="Times New Roman"/>
          <w:sz w:val="24"/>
          <w:szCs w:val="24"/>
        </w:rPr>
        <w:t xml:space="preserve">Las fallas no planificadas siguen el supuesto S02: en el escenario base, cada equipo pasa el 5 % del tiempo fuera de servicio, con reparaciones que duran entre 8 horas y una semana (lo más probable, 2 días) y un tiempo entre fallas exponencial. Con esos valores, cada equipo falla unas 6 veces al año y la disponibilidad esperada de cada equipo, sumando ventanas y fallas, queda entre 94,8 % y 94,9 % (Tabla 17).</w:t>
      </w:r>
    </w:p>
    <w:p>
      <w:pPr>
        <w:keepNext/>
        <w:spacing w:after="0" w:before="200" w:line="288"/>
        <w:jc w:val="left"/>
      </w:pPr>
      <w:r>
        <w:rPr>
          <w:rFonts w:ascii="Times New Roman" w:cs="Times New Roman" w:eastAsia="Times New Roman" w:hAnsi="Times New Roman"/>
          <w:b/>
          <w:bCs/>
          <w:sz w:val="24"/>
          <w:szCs w:val="24"/>
        </w:rPr>
        <w:t xml:space="preserve">Tabla 17</w:t>
      </w:r>
    </w:p>
    <w:p>
      <w:pPr>
        <w:keepNext/>
        <w:spacing w:after="80" w:before="0" w:line="288"/>
        <w:jc w:val="left"/>
      </w:pPr>
      <w:r>
        <w:rPr>
          <w:rFonts w:ascii="Times New Roman" w:cs="Times New Roman" w:eastAsia="Times New Roman" w:hAnsi="Times New Roman"/>
          <w:i/>
          <w:iCs/>
          <w:sz w:val="24"/>
          <w:szCs w:val="24"/>
        </w:rPr>
        <w:t xml:space="preserve">Ventanas planificadas y disponibilidad por configuración</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154"/>
        <w:gridCol w:w="900"/>
        <w:gridCol w:w="1500"/>
        <w:gridCol w:w="1500"/>
        <w:gridCol w:w="1500"/>
      </w:tblGrid>
      <w:tr>
        <w:trPr>
          <w:cantSplit/>
          <w:tblHeader/>
        </w:trPr>
        <w:tc>
          <w:tcPr>
            <w:tcW w:type="dxa" w:w="31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19"/>
                <w:szCs w:val="19"/>
              </w:rPr>
              <w:t xml:space="preserve">Configuración</w:t>
            </w:r>
          </w:p>
        </w:tc>
        <w:tc>
          <w:tcPr>
            <w:tcW w:type="dxa" w:w="9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Equipos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Horas planificadas por equipo al año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Separación entre equipos (días hábiles)</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bCs/>
                <w:sz w:val="19"/>
                <w:szCs w:val="19"/>
              </w:rPr>
              <w:t xml:space="preserve">Disponibilidad esperada por equipo</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 con gradiente y detector UV/DAD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94,8 %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HPLC isocrático con detector UV</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26</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94,8 %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 con inyección líquida y FID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16</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94,8 %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GC con espacio de cabeza y FID</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5</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94,8 %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Difracción láser, módulo seco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94,9 %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Difracción láser, módulo húmedo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94,9 %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Titulador KF volumétrico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94,9 %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Titulador KF coulométrico con horno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32</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94,9 %</w:t>
            </w:r>
          </w:p>
        </w:tc>
      </w:tr>
      <w:tr>
        <w:trPr>
          <w:cantSplit/>
        </w:trPr>
        <w:tc>
          <w:tcPr>
            <w:tcW w:type="dxa" w:w="31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19"/>
                <w:szCs w:val="19"/>
              </w:rPr>
              <w:t xml:space="preserve">Calorímetro diferencial de barrido</w:t>
            </w:r>
          </w:p>
        </w:tc>
        <w:tc>
          <w:tcPr>
            <w:tcW w:type="dxa" w:w="9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3</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21</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center"/>
            </w:pPr>
            <w:r>
              <w:rPr>
                <w:rFonts w:ascii="Times New Roman" w:cs="Times New Roman" w:eastAsia="Times New Roman" w:hAnsi="Times New Roman"/>
                <w:b w:val="false"/>
                <w:bCs w:val="false"/>
                <w:sz w:val="19"/>
                <w:szCs w:val="19"/>
              </w:rPr>
              <w:t xml:space="preserve">94,8 %</w:t>
            </w:r>
          </w:p>
        </w:tc>
      </w:tr>
      <w:tr>
        <w:trPr>
          <w:cantSplit/>
        </w:trPr>
        <w:tc>
          <w:tcPr>
            <w:tcW w:type="dxa" w:w="31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19"/>
                <w:szCs w:val="19"/>
              </w:rPr>
              <w:t xml:space="preserve">Difractómetro de rayos X de polvo</w:t>
            </w:r>
          </w:p>
        </w:tc>
        <w:tc>
          <w:tcPr>
            <w:tcW w:type="dxa" w:w="9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2</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14</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32</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center"/>
            </w:pPr>
            <w:r>
              <w:rPr>
                <w:rFonts w:ascii="Times New Roman" w:cs="Times New Roman" w:eastAsia="Times New Roman" w:hAnsi="Times New Roman"/>
                <w:b w:val="false"/>
                <w:bCs w:val="false"/>
                <w:sz w:val="19"/>
                <w:szCs w:val="19"/>
              </w:rPr>
              <w:t xml:space="preserve">94,8 %</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Horas planificadas = 1 mantenimiento con recalificación + 3 verificaciones de 2 h. Separación = separación mínima, en días hábiles, entre las ventanas de dos equipos de la misma configuración: los 65 días hábiles del trimestre divididos entre el número de equipos, redondeado hacia abajo. Disponibilidad esperada = 1 − fracción del año en ventanas − fracción en fallas (S02). Cálculo en la hoja «Mantenimiento».</w:t>
      </w:r>
    </w:p>
    <w:p>
      <w:pPr>
        <w:pStyle w:val="Heading2"/>
        <w:keepNext/>
      </w:pPr>
      <w:r>
        <w:rPr>
          <w:rFonts w:ascii="Times New Roman" w:cs="Times New Roman" w:eastAsia="Times New Roman" w:hAnsi="Times New Roman"/>
          <w:b/>
          <w:bCs/>
          <w:sz w:val="24"/>
          <w:szCs w:val="24"/>
        </w:rPr>
        <w:t xml:space="preserve">4.5 Trazabilidad</w:t>
      </w:r>
    </w:p>
    <w:p>
      <w:pPr>
        <w:keepNext/>
        <w:spacing w:after="0" w:before="200" w:line="288"/>
        <w:jc w:val="left"/>
      </w:pPr>
      <w:r>
        <w:rPr>
          <w:rFonts w:ascii="Times New Roman" w:cs="Times New Roman" w:eastAsia="Times New Roman" w:hAnsi="Times New Roman"/>
          <w:b/>
          <w:bCs/>
          <w:sz w:val="24"/>
          <w:szCs w:val="24"/>
        </w:rPr>
        <w:t xml:space="preserve">Tabla 18</w:t>
      </w:r>
    </w:p>
    <w:p>
      <w:pPr>
        <w:keepNext/>
        <w:spacing w:after="80" w:before="0" w:line="288"/>
        <w:jc w:val="left"/>
      </w:pPr>
      <w:r>
        <w:rPr>
          <w:rFonts w:ascii="Times New Roman" w:cs="Times New Roman" w:eastAsia="Times New Roman" w:hAnsi="Times New Roman"/>
          <w:i/>
          <w:iCs/>
          <w:sz w:val="24"/>
          <w:szCs w:val="24"/>
        </w:rPr>
        <w:t xml:space="preserve">Origen de cada elemento de turnos y mantenimiento</w:t>
      </w:r>
    </w:p>
    <w:tbl>
      <w:tblPr>
        <w:tblW w:type="dxa" w:w="8554"/>
        <w:tblBorders>
          <w:top w:val="none" w:color="FFFFFF" w:sz="0"/>
          <w:left w:val="none" w:color="FFFFFF" w:sz="0"/>
          <w:bottom w:val="none" w:color="FFFFFF" w:sz="0"/>
          <w:right w:val="none" w:color="FFFFFF" w:sz="0"/>
          <w:insideH w:val="none" w:color="FFFFFF" w:sz="0"/>
          <w:insideV w:val="none" w:color="FFFFFF" w:sz="0"/>
        </w:tblBorders>
      </w:tblPr>
      <w:tblGrid>
        <w:gridCol w:w="3554"/>
        <w:gridCol w:w="1500"/>
        <w:gridCol w:w="3500"/>
      </w:tblGrid>
      <w:tr>
        <w:trPr>
          <w:cantSplit/>
          <w:tblHeader/>
        </w:trPr>
        <w:tc>
          <w:tcPr>
            <w:tcW w:type="dxa" w:w="3554"/>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Elemento</w:t>
            </w:r>
          </w:p>
        </w:tc>
        <w:tc>
          <w:tcPr>
            <w:tcW w:type="dxa" w:w="1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Tipo</w:t>
            </w:r>
          </w:p>
        </w:tc>
        <w:tc>
          <w:tcPr>
            <w:tcW w:type="dxa" w:w="3500"/>
            <w:tcBorders>
              <w:top w:val="single" w:color="000000" w:sz="8"/>
              <w:left w:val="none" w:color="FFFFFF" w:sz="0"/>
              <w:bottom w:val="single" w:color="000000" w:sz="8"/>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bCs/>
                <w:sz w:val="20"/>
                <w:szCs w:val="20"/>
              </w:rPr>
              <w:t xml:space="preserve">Fuente o supuesto</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Horarios y analistas por turno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Tabla 1,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Control en proceso a toda hora; lo demás, de lunes a viernes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Turnos de 8 horas entre las 8:00 y las 17:00</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Costigliola et al. (2017, p. 9015)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Plan de mantenimiento, recalificación y salida de servicio por falla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 normativo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WHO (2024, s. 5.33–5.40, pp. 175–176)</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Verificaciones periódicas, sin frecuencia fija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Dato normativo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EDQM (2025)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Rotación del turno 1 con 56 horas por semana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Derivado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Hoja «Calibración de turnos»</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Rotaciones; sin festivos, vacaciones ni ausencias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S23</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Almuerzo</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S24</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Ventana de proceso por tipo de muestra</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S25</w:t>
            </w:r>
          </w:p>
        </w:tc>
      </w:tr>
      <w:tr>
        <w:trPr>
          <w:cantSplit/>
        </w:trPr>
        <w:tc>
          <w:tcPr>
            <w:tcW w:type="dxa" w:w="3554"/>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Frecuencia y duración de las ventanas</w:t>
            </w:r>
          </w:p>
        </w:tc>
        <w:tc>
          <w:tcPr>
            <w:tcW w:type="dxa" w:w="1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0" w:before="0" w:line="240"/>
              <w:jc w:val="left"/>
            </w:pPr>
            <w:r>
              <w:rPr>
                <w:rFonts w:ascii="Times New Roman" w:cs="Times New Roman" w:eastAsia="Times New Roman" w:hAnsi="Times New Roman"/>
                <w:b w:val="false"/>
                <w:bCs w:val="false"/>
                <w:sz w:val="20"/>
                <w:szCs w:val="20"/>
              </w:rPr>
              <w:t xml:space="preserve">S26</w:t>
            </w:r>
          </w:p>
        </w:tc>
      </w:tr>
      <w:tr>
        <w:trPr>
          <w:cantSplit/>
        </w:trPr>
        <w:tc>
          <w:tcPr>
            <w:tcW w:type="dxa" w:w="3554"/>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Fallas no planificadas</w:t>
            </w:r>
          </w:p>
        </w:tc>
        <w:tc>
          <w:tcPr>
            <w:tcW w:type="dxa" w:w="1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Supuesto</w:t>
            </w:r>
          </w:p>
        </w:tc>
        <w:tc>
          <w:tcPr>
            <w:tcW w:type="dxa" w:w="3500"/>
            <w:tcBorders>
              <w:top w:val="none" w:color="FFFFFF" w:sz="0"/>
              <w:left w:val="none" w:color="FFFFFF" w:sz="0"/>
              <w:bottom w:val="single" w:color="000000" w:sz="8"/>
              <w:right w:val="none" w:color="FFFFFF" w:sz="0"/>
            </w:tcBorders>
            <w:tcMar>
              <w:top w:type="dxa" w:w="40"/>
              <w:left w:type="dxa" w:w="60"/>
              <w:bottom w:type="dxa" w:w="40"/>
              <w:right w:type="dxa" w:w="60"/>
            </w:tcMar>
          </w:tcPr>
          <w:p>
            <w:pPr>
              <w:keepNext w:val="false"/>
              <w:spacing w:after="0" w:before="0" w:line="240"/>
              <w:jc w:val="left"/>
            </w:pPr>
            <w:r>
              <w:rPr>
                <w:rFonts w:ascii="Times New Roman" w:cs="Times New Roman" w:eastAsia="Times New Roman" w:hAnsi="Times New Roman"/>
                <w:b w:val="false"/>
                <w:bCs w:val="false"/>
                <w:sz w:val="20"/>
                <w:szCs w:val="20"/>
              </w:rPr>
              <w:t xml:space="preserve">S02</w:t>
            </w:r>
          </w:p>
        </w:tc>
      </w:tr>
    </w:tbl>
    <w:p>
      <w:pPr>
        <w:spacing w:after="200" w:before="60" w:line="240"/>
        <w:jc w:val="left"/>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Los supuestos están en la hoja «Supuestos» con su propuesta y su escenario de sensibilidad.</w:t>
      </w:r>
    </w:p>
    <w:p>
      <w:pPr>
        <w:pStyle w:val="Heading2"/>
        <w:keepNext/>
      </w:pPr>
      <w:r>
        <w:rPr>
          <w:rFonts w:ascii="Times New Roman" w:cs="Times New Roman" w:eastAsia="Times New Roman" w:hAnsi="Times New Roman"/>
          <w:b/>
          <w:bCs/>
          <w:sz w:val="24"/>
          <w:szCs w:val="24"/>
        </w:rPr>
        <w:t xml:space="preserve">4.6 Uso en el generador</w:t>
      </w:r>
    </w:p>
    <w:p>
      <w:pPr>
        <w:keepNext/>
        <w:spacing w:after="60" w:before="0" w:line="288"/>
        <w:jc w:val="left"/>
      </w:pPr>
      <w:r>
        <w:rPr>
          <w:rFonts w:ascii="Times New Roman" w:cs="Times New Roman" w:eastAsia="Times New Roman" w:hAnsi="Times New Roman"/>
          <w:sz w:val="24"/>
          <w:szCs w:val="24"/>
        </w:rPr>
        <w:t xml:space="preserve">El generador usa las hojas «Turnos», «Rotación» y «Mantenimiento» para saber cuándo está disponible cada recurso:</w:t>
      </w:r>
    </w:p>
    <w:p>
      <w:pPr>
        <w:pStyle w:val="ListParagraph"/>
        <w:numPr>
          <w:ilvl w:val="0"/>
          <w:numId w:val="6"/>
        </w:numPr>
        <w:spacing w:after="80" w:line="288"/>
      </w:pPr>
      <w:r>
        <w:rPr>
          <w:rFonts w:ascii="Times New Roman" w:cs="Times New Roman" w:eastAsia="Times New Roman" w:hAnsi="Times New Roman"/>
          <w:sz w:val="24"/>
          <w:szCs w:val="24"/>
        </w:rPr>
        <w:t xml:space="preserve">Repite el calendario de 42 días de la hoja «Rotación» desde el lunes en que empieza la simulación y, con la hoja «Turnos», sabe qué analistas están en turno a cada hora.</w:t>
      </w:r>
    </w:p>
    <w:p>
      <w:pPr>
        <w:pStyle w:val="ListParagraph"/>
        <w:numPr>
          <w:ilvl w:val="0"/>
          <w:numId w:val="6"/>
        </w:numPr>
        <w:spacing w:after="80" w:line="288"/>
      </w:pPr>
      <w:r>
        <w:rPr>
          <w:rFonts w:ascii="Times New Roman" w:cs="Times New Roman" w:eastAsia="Times New Roman" w:hAnsi="Times New Roman"/>
          <w:sz w:val="24"/>
          <w:szCs w:val="24"/>
        </w:rPr>
        <w:t xml:space="preserve">Asigna los ensayos de materia prima, granel, producto terminado y estabilidad solo de lunes a viernes; el control en proceso y las urgentes, a cualquier hora.</w:t>
      </w:r>
    </w:p>
    <w:p>
      <w:pPr>
        <w:pStyle w:val="ListParagraph"/>
        <w:numPr>
          <w:ilvl w:val="0"/>
          <w:numId w:val="6"/>
        </w:numPr>
        <w:spacing w:after="80" w:line="288"/>
      </w:pPr>
      <w:r>
        <w:rPr>
          <w:rFonts w:ascii="Times New Roman" w:cs="Times New Roman" w:eastAsia="Times New Roman" w:hAnsi="Times New Roman"/>
          <w:sz w:val="24"/>
          <w:szCs w:val="24"/>
        </w:rPr>
        <w:t xml:space="preserve">Saca de servicio cada equipo en su ventana trimestral y genera fallas con tiempos entre fallas exponenciales y reparaciones triangulares.</w:t>
      </w:r>
    </w:p>
    <w:p>
      <w:pPr>
        <w:pStyle w:val="ListParagraph"/>
        <w:numPr>
          <w:ilvl w:val="0"/>
          <w:numId w:val="6"/>
        </w:numPr>
        <w:spacing w:after="80" w:line="288"/>
      </w:pPr>
      <w:r>
        <w:rPr>
          <w:rFonts w:ascii="Times New Roman" w:cs="Times New Roman" w:eastAsia="Times New Roman" w:hAnsi="Times New Roman"/>
          <w:sz w:val="24"/>
          <w:szCs w:val="24"/>
        </w:rPr>
        <w:t xml:space="preserve">Mide, para cada ensayo, la coincidencia temporal entre un analista calificado y un equipo compatible, y registra si quedó restringido por falta de alguno de los dos: los dos indicadores de disponibilidad cruzada que dependen del tiempo.</w:t>
      </w:r>
    </w:p>
    <w:p>
      <w:pPr>
        <w:spacing w:after="120" w:before="80" w:line="288"/>
        <w:jc w:val="left"/>
      </w:pPr>
      <w:r>
        <w:rPr>
          <w:rFonts w:ascii="Times New Roman" w:cs="Times New Roman" w:eastAsia="Times New Roman" w:hAnsi="Times New Roman"/>
          <w:sz w:val="24"/>
          <w:szCs w:val="24"/>
        </w:rPr>
        <w:t xml:space="preserve">Las pruebas del repositorio (tests/test_turnos.py) verifican que la rotación reproduzca la Tabla 1 de Costigliola et al. (2017), las horas por semana de cada turno, la cobertura en el tiempo y que las ventanas quepan sin coincidir.</w:t>
      </w:r>
    </w:p>
    <w:p>
      <w:pPr>
        <w:pStyle w:val="Heading2"/>
        <w:keepNext/>
      </w:pPr>
      <w:r>
        <w:rPr>
          <w:rFonts w:ascii="Times New Roman" w:cs="Times New Roman" w:eastAsia="Times New Roman" w:hAnsi="Times New Roman"/>
          <w:b/>
          <w:bCs/>
          <w:sz w:val="24"/>
          <w:szCs w:val="24"/>
        </w:rPr>
        <w:t xml:space="preserve">4.7 Decisiones abiertas</w:t>
      </w:r>
    </w:p>
    <w:p>
      <w:pPr>
        <w:pStyle w:val="ListParagraph"/>
        <w:numPr>
          <w:ilvl w:val="0"/>
          <w:numId w:val="2"/>
        </w:numPr>
        <w:spacing w:after="80" w:line="288"/>
      </w:pPr>
      <w:r>
        <w:rPr>
          <w:rFonts w:ascii="Times New Roman" w:cs="Times New Roman" w:eastAsia="Times New Roman" w:hAnsi="Times New Roman"/>
          <w:b/>
          <w:bCs/>
          <w:sz w:val="24"/>
          <w:szCs w:val="24"/>
        </w:rPr>
        <w:t xml:space="preserve">Fallas. </w:t>
      </w:r>
      <w:r>
        <w:rPr>
          <w:rFonts w:ascii="Times New Roman" w:cs="Times New Roman" w:eastAsia="Times New Roman" w:hAnsi="Times New Roman"/>
          <w:sz w:val="24"/>
          <w:szCs w:val="24"/>
        </w:rPr>
        <w:t xml:space="preserve">Con el 5 % del tiempo fuera de servicio hay unas 410 fallas al año en todo el laboratorio (unas 6 por equipo); si en la asesoría parece alto, se baja el escenario base de S02 y se deja el 5 % como sensibilidad.</w:t>
      </w:r>
    </w:p>
    <w:p>
      <w:pPr>
        <w:pStyle w:val="ListParagraph"/>
        <w:numPr>
          <w:ilvl w:val="0"/>
          <w:numId w:val="2"/>
        </w:numPr>
        <w:spacing w:after="80" w:line="288"/>
      </w:pPr>
      <w:r>
        <w:rPr>
          <w:rFonts w:ascii="Times New Roman" w:cs="Times New Roman" w:eastAsia="Times New Roman" w:hAnsi="Times New Roman"/>
          <w:b/>
          <w:bCs/>
          <w:sz w:val="24"/>
          <w:szCs w:val="24"/>
        </w:rPr>
        <w:t xml:space="preserve">Cobertura de los métodos de complejidad alta. </w:t>
      </w:r>
      <w:r>
        <w:rPr>
          <w:rFonts w:ascii="Times New Roman" w:cs="Times New Roman" w:eastAsia="Times New Roman" w:hAnsi="Times New Roman"/>
          <w:sz w:val="24"/>
          <w:szCs w:val="24"/>
        </w:rPr>
        <w:t xml:space="preserve">M08 y M12 pueden esperar hasta 12 horas a un analista calificado cuando está de turno la pareja del turno 1 sin sénior. Bastaría con que uno de esos dos analistas fuera sénior para cerrar la brecha, a costa de cambiar la plantilla de la sección 3.</w:t>
      </w:r>
    </w:p>
    <w:p>
      <w:pPr>
        <w:pStyle w:val="ListParagraph"/>
        <w:numPr>
          <w:ilvl w:val="0"/>
          <w:numId w:val="2"/>
        </w:numPr>
        <w:spacing w:after="80" w:line="288"/>
      </w:pPr>
      <w:r>
        <w:rPr>
          <w:rFonts w:ascii="Times New Roman" w:cs="Times New Roman" w:eastAsia="Times New Roman" w:hAnsi="Times New Roman"/>
          <w:b/>
          <w:bCs/>
          <w:sz w:val="24"/>
          <w:szCs w:val="24"/>
        </w:rPr>
        <w:t xml:space="preserve">Ausencias. </w:t>
      </w:r>
      <w:r>
        <w:rPr>
          <w:rFonts w:ascii="Times New Roman" w:cs="Times New Roman" w:eastAsia="Times New Roman" w:hAnsi="Times New Roman"/>
          <w:sz w:val="24"/>
          <w:szCs w:val="24"/>
        </w:rPr>
        <w:t xml:space="preserve">No se modelan; podrían entrar como escenario si en la asesoría se considera necesario.</w:t>
      </w:r>
    </w:p>
    <w:p>
      <w:pPr>
        <w:pStyle w:val="Heading1"/>
        <w:keepNext/>
      </w:pPr>
      <w:r>
        <w:rPr>
          <w:rFonts w:ascii="Times New Roman" w:cs="Times New Roman" w:eastAsia="Times New Roman" w:hAnsi="Times New Roman"/>
          <w:b/>
          <w:bCs/>
          <w:sz w:val="26"/>
          <w:szCs w:val="26"/>
        </w:rPr>
        <w:t xml:space="preserve">Referencias</w:t>
      </w:r>
    </w:p>
    <w:p>
      <w:pPr>
        <w:spacing w:after="120" w:line="288"/>
        <w:ind w:left="720" w:hanging="720"/>
      </w:pPr>
      <w:r>
        <w:rPr>
          <w:rFonts w:ascii="Times New Roman" w:cs="Times New Roman" w:eastAsia="Times New Roman" w:hAnsi="Times New Roman"/>
          <w:sz w:val="24"/>
          <w:szCs w:val="24"/>
        </w:rPr>
        <w:t xml:space="preserve">Coito, T., Firme, B., Martins, M. S. E., Vieira, S. M., Figueiredo, J., &amp; Sousa, J. M. C. (2021). Intelligent sensors for real-time decision-making. </w:t>
      </w:r>
      <w:r>
        <w:rPr>
          <w:rFonts w:ascii="Times New Roman" w:cs="Times New Roman" w:eastAsia="Times New Roman" w:hAnsi="Times New Roman"/>
          <w:i/>
          <w:iCs/>
          <w:sz w:val="24"/>
          <w:szCs w:val="24"/>
        </w:rPr>
        <w:t xml:space="preserve">Automation, 2</w:t>
      </w:r>
      <w:r>
        <w:rPr>
          <w:rFonts w:ascii="Times New Roman" w:cs="Times New Roman" w:eastAsia="Times New Roman" w:hAnsi="Times New Roman"/>
          <w:sz w:val="24"/>
          <w:szCs w:val="24"/>
        </w:rPr>
        <w:t xml:space="preserve">(2), 62–82. https://doi.org/10.3390/automation2020004</w:t>
      </w:r>
    </w:p>
    <w:p>
      <w:pPr>
        <w:spacing w:after="120" w:line="288"/>
        <w:ind w:left="720" w:hanging="720"/>
      </w:pPr>
      <w:r>
        <w:rPr>
          <w:rFonts w:ascii="Times New Roman" w:cs="Times New Roman" w:eastAsia="Times New Roman" w:hAnsi="Times New Roman"/>
          <w:sz w:val="24"/>
          <w:szCs w:val="24"/>
        </w:rPr>
        <w:t xml:space="preserve">Costigliola, A., Ataíde, F. A. P., Vieira, S. M., &amp; Sousa, J. M. C. (2017). Simulation model of a quality control laboratory in pharmaceutical industry. </w:t>
      </w:r>
      <w:r>
        <w:rPr>
          <w:rFonts w:ascii="Times New Roman" w:cs="Times New Roman" w:eastAsia="Times New Roman" w:hAnsi="Times New Roman"/>
          <w:i/>
          <w:iCs/>
          <w:sz w:val="24"/>
          <w:szCs w:val="24"/>
        </w:rPr>
        <w:t xml:space="preserve">IFAC-PapersOnLine, 50</w:t>
      </w:r>
      <w:r>
        <w:rPr>
          <w:rFonts w:ascii="Times New Roman" w:cs="Times New Roman" w:eastAsia="Times New Roman" w:hAnsi="Times New Roman"/>
          <w:sz w:val="24"/>
          <w:szCs w:val="24"/>
        </w:rPr>
        <w:t xml:space="preserve">(1), 9014–9019. https://doi.org/10.1016/j.ifacol.2017.08.1582</w:t>
      </w:r>
    </w:p>
    <w:p>
      <w:pPr>
        <w:spacing w:after="120" w:line="288"/>
        <w:ind w:left="720" w:hanging="720"/>
      </w:pPr>
      <w:r>
        <w:rPr>
          <w:rFonts w:ascii="Times New Roman" w:cs="Times New Roman" w:eastAsia="Times New Roman" w:hAnsi="Times New Roman"/>
          <w:sz w:val="24"/>
          <w:szCs w:val="24"/>
        </w:rPr>
        <w:t xml:space="preserve">Cunha, M. M., Viegas, J. L., Martins, M. S. E., Coito, T., Costigliola, A., Figueiredo, J., Sousa, J. M. C., &amp; Vieira, S. M. (2019). Dual resource constrained scheduling for quality control laboratories. </w:t>
      </w:r>
      <w:r>
        <w:rPr>
          <w:rFonts w:ascii="Times New Roman" w:cs="Times New Roman" w:eastAsia="Times New Roman" w:hAnsi="Times New Roman"/>
          <w:i/>
          <w:iCs/>
          <w:sz w:val="24"/>
          <w:szCs w:val="24"/>
        </w:rPr>
        <w:t xml:space="preserve">IFAC-PapersOnLine, 52</w:t>
      </w:r>
      <w:r>
        <w:rPr>
          <w:rFonts w:ascii="Times New Roman" w:cs="Times New Roman" w:eastAsia="Times New Roman" w:hAnsi="Times New Roman"/>
          <w:sz w:val="24"/>
          <w:szCs w:val="24"/>
        </w:rPr>
        <w:t xml:space="preserve">(13), 1421–1426. https://doi.org/10.1016/j.ifacol.2019.11.398</w:t>
      </w:r>
    </w:p>
    <w:p>
      <w:pPr>
        <w:spacing w:after="120" w:line="288"/>
        <w:ind w:left="720" w:hanging="720"/>
      </w:pPr>
      <w:r>
        <w:rPr>
          <w:rFonts w:ascii="Times New Roman" w:cs="Times New Roman" w:eastAsia="Times New Roman" w:hAnsi="Times New Roman"/>
          <w:sz w:val="24"/>
          <w:szCs w:val="24"/>
        </w:rPr>
        <w:t xml:space="preserve">Deming, W. E., &amp; Stephan, F. F. (1940). On a least squares adjustment of a sampled frequency table when the expected marginal totals are known. </w:t>
      </w:r>
      <w:r>
        <w:rPr>
          <w:rFonts w:ascii="Times New Roman" w:cs="Times New Roman" w:eastAsia="Times New Roman" w:hAnsi="Times New Roman"/>
          <w:i/>
          <w:iCs/>
          <w:sz w:val="24"/>
          <w:szCs w:val="24"/>
        </w:rPr>
        <w:t xml:space="preserve">The Annals of Mathematical Statistics, 11</w:t>
      </w:r>
      <w:r>
        <w:rPr>
          <w:rFonts w:ascii="Times New Roman" w:cs="Times New Roman" w:eastAsia="Times New Roman" w:hAnsi="Times New Roman"/>
          <w:sz w:val="24"/>
          <w:szCs w:val="24"/>
        </w:rPr>
        <w:t xml:space="preserve">(4), 427–444. https://doi.org/10.1214/aoms/1177731829</w:t>
      </w:r>
    </w:p>
    <w:p>
      <w:pPr>
        <w:spacing w:after="120" w:line="288"/>
        <w:ind w:left="720" w:hanging="720"/>
      </w:pPr>
      <w:r>
        <w:rPr>
          <w:rFonts w:ascii="Times New Roman" w:cs="Times New Roman" w:eastAsia="Times New Roman" w:hAnsi="Times New Roman"/>
          <w:sz w:val="24"/>
          <w:szCs w:val="24"/>
        </w:rPr>
        <w:t xml:space="preserve">European Directorate for the Quality of Medicines &amp; HealthCare. (2025). </w:t>
      </w:r>
      <w:r>
        <w:rPr>
          <w:rFonts w:ascii="Times New Roman" w:cs="Times New Roman" w:eastAsia="Times New Roman" w:hAnsi="Times New Roman"/>
          <w:i/>
          <w:iCs/>
          <w:sz w:val="24"/>
          <w:szCs w:val="24"/>
        </w:rPr>
        <w:t xml:space="preserve">Qualification of equipment. Annex 2: Qualification of GC equipment</w:t>
      </w:r>
      <w:r>
        <w:rPr>
          <w:rFonts w:ascii="Times New Roman" w:cs="Times New Roman" w:eastAsia="Times New Roman" w:hAnsi="Times New Roman"/>
          <w:sz w:val="24"/>
          <w:szCs w:val="24"/>
        </w:rPr>
        <w:t xml:space="preserve"> (PA/PH/OMCL (16) 17 R3). Council of Europe. https://www.edqm.eu/documents/52006/128968/omcl-annex-2-qualification-of-gc-equipment.pdf/16e74fd7-cdb9-1efc-2514-8d0cf782dc6a</w:t>
      </w:r>
    </w:p>
    <w:p>
      <w:pPr>
        <w:spacing w:after="120" w:line="288"/>
        <w:ind w:left="720" w:hanging="720"/>
      </w:pPr>
      <w:r>
        <w:rPr>
          <w:rFonts w:ascii="Times New Roman" w:cs="Times New Roman" w:eastAsia="Times New Roman" w:hAnsi="Times New Roman"/>
          <w:sz w:val="24"/>
          <w:szCs w:val="24"/>
        </w:rPr>
        <w:t xml:space="preserve">International Conference on Harmonisation of Technical Requirements for Registration of Pharmaceuticals for Human Use. (1999). </w:t>
      </w:r>
      <w:r>
        <w:rPr>
          <w:rFonts w:ascii="Times New Roman" w:cs="Times New Roman" w:eastAsia="Times New Roman" w:hAnsi="Times New Roman"/>
          <w:i/>
          <w:iCs/>
          <w:sz w:val="24"/>
          <w:szCs w:val="24"/>
        </w:rPr>
        <w:t xml:space="preserve">Specifications: Test procedures and acceptance criteria for new drug substances and new drug products: Chemical substances</w:t>
      </w:r>
      <w:r>
        <w:rPr>
          <w:rFonts w:ascii="Times New Roman" w:cs="Times New Roman" w:eastAsia="Times New Roman" w:hAnsi="Times New Roman"/>
          <w:sz w:val="24"/>
          <w:szCs w:val="24"/>
        </w:rPr>
        <w:t xml:space="preserve"> (ICH Q6A). https://www.ema.europa.eu/en/ich-q6a-specifications-test-procedures-acceptance-criteria-new-drug-substances-new-drug-products-chemical-substances-scientific-guideline</w:t>
      </w:r>
    </w:p>
    <w:p>
      <w:pPr>
        <w:spacing w:after="120" w:line="288"/>
        <w:ind w:left="720" w:hanging="720"/>
      </w:pPr>
      <w:r>
        <w:rPr>
          <w:rFonts w:ascii="Times New Roman" w:cs="Times New Roman" w:eastAsia="Times New Roman" w:hAnsi="Times New Roman"/>
          <w:sz w:val="24"/>
          <w:szCs w:val="24"/>
        </w:rPr>
        <w:t xml:space="preserve">Martins, M. S. E., Viegas, J. L., Coito, T., Firme, B., Costigliola, A., Figueiredo, J., Vieira, S. M., &amp; Sousa, J. M. C. (2023). Minimizing total completion time in large-sized pharmaceutical quality control scheduling. </w:t>
      </w:r>
      <w:r>
        <w:rPr>
          <w:rFonts w:ascii="Times New Roman" w:cs="Times New Roman" w:eastAsia="Times New Roman" w:hAnsi="Times New Roman"/>
          <w:i/>
          <w:iCs/>
          <w:sz w:val="24"/>
          <w:szCs w:val="24"/>
        </w:rPr>
        <w:t xml:space="preserve">Journal of Heuristics, 29</w:t>
      </w:r>
      <w:r>
        <w:rPr>
          <w:rFonts w:ascii="Times New Roman" w:cs="Times New Roman" w:eastAsia="Times New Roman" w:hAnsi="Times New Roman"/>
          <w:sz w:val="24"/>
          <w:szCs w:val="24"/>
        </w:rPr>
        <w:t xml:space="preserve">(1), 177–206. https://doi.org/10.1007/s10732-023-09509-8</w:t>
      </w:r>
    </w:p>
    <w:p>
      <w:pPr>
        <w:spacing w:after="120" w:line="288"/>
        <w:ind w:left="720" w:hanging="720"/>
      </w:pPr>
      <w:r>
        <w:rPr>
          <w:rFonts w:ascii="Times New Roman" w:cs="Times New Roman" w:eastAsia="Times New Roman" w:hAnsi="Times New Roman"/>
          <w:sz w:val="24"/>
          <w:szCs w:val="24"/>
        </w:rPr>
        <w:t xml:space="preserve">Mischek, F., &amp; Musliu, N. (2021). A local search framework for industrial test laboratory scheduling. </w:t>
      </w:r>
      <w:r>
        <w:rPr>
          <w:rFonts w:ascii="Times New Roman" w:cs="Times New Roman" w:eastAsia="Times New Roman" w:hAnsi="Times New Roman"/>
          <w:sz w:val="24"/>
          <w:szCs w:val="24"/>
          <w:i/>
          <w:iCs/>
        </w:rPr>
        <w:t xml:space="preserve">Annals of Operations Research, 302</w:t>
      </w:r>
      <w:r>
        <w:rPr>
          <w:rFonts w:ascii="Times New Roman" w:cs="Times New Roman" w:eastAsia="Times New Roman" w:hAnsi="Times New Roman"/>
          <w:sz w:val="24"/>
          <w:szCs w:val="24"/>
        </w:rPr>
        <w:t xml:space="preserve">(2), 533–562. https://doi.org/10.1007/s10479-021-04007-1</w:t>
      </w:r>
    </w:p>
    <w:p>
      <w:pPr>
        <w:spacing w:after="120" w:line="288"/>
        <w:ind w:left="720" w:hanging="720"/>
      </w:pPr>
      <w:r>
        <w:rPr>
          <w:rFonts w:ascii="Times New Roman" w:cs="Times New Roman" w:eastAsia="Times New Roman" w:hAnsi="Times New Roman"/>
          <w:sz w:val="24"/>
          <w:szCs w:val="24"/>
        </w:rPr>
        <w:t xml:space="preserve">United States Pharmacopeial Convention. (s. f.). Capítulos generales &lt;429&gt;, &lt;467&gt;, &lt;621&gt;, &lt;891&gt;, &lt;921&gt;, &lt;941&gt; y &lt;1086&gt;. En </w:t>
      </w:r>
      <w:r>
        <w:rPr>
          <w:rFonts w:ascii="Times New Roman" w:cs="Times New Roman" w:eastAsia="Times New Roman" w:hAnsi="Times New Roman"/>
          <w:i/>
          <w:iCs/>
          <w:sz w:val="24"/>
          <w:szCs w:val="24"/>
        </w:rPr>
        <w:t xml:space="preserve">United States Pharmacopeia–National Formulary (USP–NF)</w:t>
      </w:r>
      <w:r>
        <w:rPr>
          <w:rFonts w:ascii="Times New Roman" w:cs="Times New Roman" w:eastAsia="Times New Roman" w:hAnsi="Times New Roman"/>
          <w:sz w:val="24"/>
          <w:szCs w:val="24"/>
        </w:rPr>
        <w:t xml:space="preserve">. Recuperado el 26 de octubre de 2026, de https://online.uspnf.com</w:t>
      </w:r>
    </w:p>
    <w:p>
      <w:pPr>
        <w:spacing w:after="120" w:line="288"/>
        <w:ind w:left="720" w:hanging="720"/>
      </w:pPr>
      <w:r>
        <w:rPr>
          <w:rFonts w:ascii="Times New Roman" w:cs="Times New Roman" w:eastAsia="Times New Roman" w:hAnsi="Times New Roman"/>
          <w:sz w:val="24"/>
          <w:szCs w:val="24"/>
        </w:rPr>
        <w:t xml:space="preserve">World Health Organization. (2014). WHO good manufacturing practices for pharmaceutical products: Main principles. En </w:t>
      </w:r>
      <w:r>
        <w:rPr>
          <w:rFonts w:ascii="Times New Roman" w:cs="Times New Roman" w:eastAsia="Times New Roman" w:hAnsi="Times New Roman"/>
          <w:i/>
          <w:iCs/>
          <w:sz w:val="24"/>
          <w:szCs w:val="24"/>
        </w:rPr>
        <w:t xml:space="preserve">WHO Expert Committee on Specifications for Pharmaceutical Preparations: Forty-eighth report</w:t>
      </w:r>
      <w:r>
        <w:rPr>
          <w:rFonts w:ascii="Times New Roman" w:cs="Times New Roman" w:eastAsia="Times New Roman" w:hAnsi="Times New Roman"/>
          <w:sz w:val="24"/>
          <w:szCs w:val="24"/>
        </w:rPr>
        <w:t xml:space="preserve"> (WHO Technical Report Series, No. 986, Annex 2). World Health Organization. https://www.who.int/publications/m/item/trs986-annex2</w:t>
      </w:r>
    </w:p>
    <w:p>
      <w:pPr>
        <w:spacing w:after="120" w:line="288"/>
        <w:ind w:left="720" w:hanging="720"/>
      </w:pPr>
      <w:r>
        <w:rPr>
          <w:rFonts w:ascii="Times New Roman" w:cs="Times New Roman" w:eastAsia="Times New Roman" w:hAnsi="Times New Roman"/>
          <w:sz w:val="24"/>
          <w:szCs w:val="24"/>
        </w:rPr>
        <w:t xml:space="preserve">World Health Organization. (2018). Stability testing of active pharmaceutical ingredients and finished pharmaceutical products. En </w:t>
      </w:r>
      <w:r>
        <w:rPr>
          <w:rFonts w:ascii="Times New Roman" w:cs="Times New Roman" w:eastAsia="Times New Roman" w:hAnsi="Times New Roman"/>
          <w:i/>
          <w:iCs/>
          <w:sz w:val="24"/>
          <w:szCs w:val="24"/>
        </w:rPr>
        <w:t xml:space="preserve">WHO Expert Committee on Specifications for Pharmaceutical Preparations: Fifty-second report</w:t>
      </w:r>
      <w:r>
        <w:rPr>
          <w:rFonts w:ascii="Times New Roman" w:cs="Times New Roman" w:eastAsia="Times New Roman" w:hAnsi="Times New Roman"/>
          <w:sz w:val="24"/>
          <w:szCs w:val="24"/>
        </w:rPr>
        <w:t xml:space="preserve"> (WHO Technical Report Series, No. 1010, Annex 10). World Health Organization. https://www.who.int/publications/m/item/trs1010-annex10</w:t>
      </w:r>
    </w:p>
    <w:p>
      <w:pPr>
        <w:spacing w:after="120" w:line="288"/>
        <w:ind w:left="720" w:hanging="720"/>
      </w:pPr>
      <w:r>
        <w:rPr>
          <w:rFonts w:ascii="Times New Roman" w:cs="Times New Roman" w:eastAsia="Times New Roman" w:hAnsi="Times New Roman"/>
          <w:sz w:val="24"/>
          <w:szCs w:val="24"/>
        </w:rPr>
        <w:t xml:space="preserve">World Health Organization. (2024). WHO good practices for pharmaceutical quality control laboratories. En </w:t>
      </w:r>
      <w:r>
        <w:rPr>
          <w:rFonts w:ascii="Times New Roman" w:cs="Times New Roman" w:eastAsia="Times New Roman" w:hAnsi="Times New Roman"/>
          <w:i/>
          <w:iCs/>
          <w:sz w:val="24"/>
          <w:szCs w:val="24"/>
        </w:rPr>
        <w:t xml:space="preserve">WHO Expert Committee on Specifications for Pharmaceutical Preparations: Fifty-seventh report</w:t>
      </w:r>
      <w:r>
        <w:rPr>
          <w:rFonts w:ascii="Times New Roman" w:cs="Times New Roman" w:eastAsia="Times New Roman" w:hAnsi="Times New Roman"/>
          <w:sz w:val="24"/>
          <w:szCs w:val="24"/>
        </w:rPr>
        <w:t xml:space="preserve"> (WHO Technical Report Series, No. 1052, Annex 4). World Health Organization. https://www.who.int/publications/m/item/who-good-practices-for-pharmaceutical-quality-control-laboratories</w:t>
      </w:r>
    </w:p>
    <w:sectPr>
      <w:footerReference w:type="default" r:id="rId6"/>
      <w:pgSz w:w="12240" w:h="15840" w:orient="portrait"/>
      <w:pgMar w:top="1418" w:right="1418" w:bottom="1418" w:left="226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808080"/>
        <w:sz w:val="18"/>
        <w:szCs w:val="18"/>
      </w:rPr>
      <w:t xml:space="preserve">Diseño del laboratorio de referencia · 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laboratorio de referencia</dc:title>
  <dc:creator>Carlos Campo y Aldair Cétares</dc:creator>
  <cp:lastModifiedBy>Un-named</cp:lastModifiedBy>
  <cp:revision>1</cp:revision>
  <dcterms:created xsi:type="dcterms:W3CDTF">2026-10-27T17:51:51.632Z</dcterms:created>
  <dcterms:modified xsi:type="dcterms:W3CDTF">2026-10-27T17:51:51.632Z</dcterms:modified>
</cp:coreProperties>
</file>

<file path=docProps/custom.xml><?xml version="1.0" encoding="utf-8"?>
<Properties xmlns="http://schemas.openxmlformats.org/officeDocument/2006/custom-properties" xmlns:vt="http://schemas.openxmlformats.org/officeDocument/2006/docPropsVTypes"/>
</file>