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288"/>
        <w:jc w:val="center"/>
      </w:pPr>
      <w:r>
        <w:rPr>
          <w:rFonts w:ascii="Times New Roman" w:cs="Times New Roman" w:eastAsia="Times New Roman" w:hAnsi="Times New Roman"/>
          <w:b/>
          <w:bCs/>
          <w:sz w:val="32"/>
          <w:szCs w:val="32"/>
        </w:rPr>
        <w:t xml:space="preserve">Generador de datos sintéticos</w:t>
      </w:r>
    </w:p>
    <w:p>
      <w:pPr>
        <w:spacing w:after="60" w:before="0" w:line="288"/>
        <w:jc w:val="center"/>
      </w:pPr>
      <w:r>
        <w:rPr>
          <w:rFonts w:ascii="Times New Roman" w:cs="Times New Roman" w:eastAsia="Times New Roman" w:hAnsi="Times New Roman"/>
          <w:i/>
          <w:iCs/>
          <w:sz w:val="24"/>
          <w:szCs w:val="24"/>
        </w:rPr>
        <w:t xml:space="preserve">Objetivo específico 1 · cómo se generan los datos</w:t>
      </w:r>
    </w:p>
    <w:p>
      <w:pPr>
        <w:spacing w:after="0" w:before="0" w:line="288"/>
        <w:jc w:val="center"/>
      </w:pPr>
      <w:r>
        <w:rPr>
          <w:rFonts w:ascii="Times New Roman" w:cs="Times New Roman" w:eastAsia="Times New Roman" w:hAnsi="Times New Roman"/>
          <w:sz w:val="22"/>
          <w:szCs w:val="22"/>
        </w:rPr>
        <w:t xml:space="preserve">Carlos Campo y Aldair Cétares · Tutor: Dr. Antonio José Bravo Valero</w:t>
      </w:r>
    </w:p>
    <w:p>
      <w:pPr>
        <w:spacing w:after="60" w:before="0" w:line="288"/>
        <w:jc w:val="center"/>
      </w:pPr>
      <w:r>
        <w:rPr>
          <w:rFonts w:ascii="Times New Roman" w:cs="Times New Roman" w:eastAsia="Times New Roman" w:hAnsi="Times New Roman"/>
          <w:sz w:val="22"/>
          <w:szCs w:val="22"/>
        </w:rPr>
        <w:t xml:space="preserve">Maestría en Ciencia de Datos, Universidad Simón Bolívar</w:t>
      </w:r>
    </w:p>
    <w:p>
      <w:pPr>
        <w:pBdr>
          <w:bottom w:val="single" w:color="808080" w:sz="6" w:space="8"/>
        </w:pBdr>
        <w:spacing w:after="240" w:before="0" w:line="288"/>
        <w:jc w:val="center"/>
      </w:pPr>
      <w:r>
        <w:rPr>
          <w:rFonts w:ascii="Times New Roman" w:cs="Times New Roman" w:eastAsia="Times New Roman" w:hAnsi="Times New Roman"/>
          <w:color w:val="595959"/>
          <w:sz w:val="20"/>
          <w:szCs w:val="20"/>
        </w:rPr>
        <w:t xml:space="preserve">Versión del 29 de octubre de 2026 · bloques de duraciones BetaPERT y de factores de correlación cerrados: módulos probados</w:t>
      </w:r>
    </w:p>
    <w:p>
      <w:pPr>
        <w:spacing w:after="120" w:before="0" w:line="288"/>
        <w:jc w:val="left"/>
      </w:pPr>
      <w:r>
        <w:rPr>
          <w:rFonts w:ascii="Times New Roman" w:cs="Times New Roman" w:eastAsia="Times New Roman" w:hAnsi="Times New Roman"/>
          <w:sz w:val="24"/>
          <w:szCs w:val="24"/>
        </w:rPr>
        <w:t xml:space="preserve">Este documento describe cómo funciona el generador de datos sintéticos del Objetivo 1, bloque por bloque: duraciones, factores de correlación, analistas y equipos con sus calendarios, llegadas y plazos, perturbaciones, y escenarios de carga y semillas. Cada bloque tiene su código en src/generador/ y sus pruebas en tests/, y produce los campos que define el diccionario de datos. Esta versión cierra dos bloques. El de duraciones tiene la función de muestreo BetaPERT, la duración de un ensayo completo, sus pruebas y la revisión de la forma de cuatro ensayos; el de factores de correlación, la correlación entre las tareas de un ensayo, su verificación y el origen de cada valor.</w:t>
      </w:r>
    </w:p>
    <w:p>
      <w:pPr>
        <w:keepNext/>
        <w:spacing w:after="60" w:before="0" w:line="288"/>
        <w:jc w:val="left"/>
      </w:pPr>
      <w:r>
        <w:rPr>
          <w:rFonts w:ascii="Times New Roman" w:cs="Times New Roman" w:eastAsia="Times New Roman" w:hAnsi="Times New Roman"/>
          <w:b/>
          <w:bCs/>
          <w:sz w:val="24"/>
          <w:szCs w:val="24"/>
        </w:rPr>
        <w:t xml:space="preserve">Lo que queda decidido:</w:t>
      </w:r>
    </w:p>
    <w:p>
      <w:pPr>
        <w:pStyle w:val="ListParagraph"/>
        <w:numPr>
          <w:ilvl w:val="0"/>
          <w:numId w:val="2"/>
        </w:numPr>
        <w:spacing w:after="80" w:line="288"/>
      </w:pPr>
      <w:r>
        <w:rPr>
          <w:rFonts w:ascii="Times New Roman" w:cs="Times New Roman" w:eastAsia="Times New Roman" w:hAnsi="Times New Roman"/>
          <w:sz w:val="24"/>
          <w:szCs w:val="24"/>
        </w:rPr>
        <w:t xml:space="preserve">La función muestrear_betapert saca duraciones BetaPERT a partir de los tres puntos (optimista, más probable y pesimista), para un caso o para miles a la vez, y con la misma semilla da los mismos valores.</w:t>
      </w:r>
    </w:p>
    <w:p>
      <w:pPr>
        <w:pStyle w:val="ListParagraph"/>
        <w:numPr>
          <w:ilvl w:val="0"/>
          <w:numId w:val="2"/>
        </w:numPr>
        <w:spacing w:after="80" w:line="288"/>
      </w:pPr>
      <w:r>
        <w:rPr>
          <w:rFonts w:ascii="Times New Roman" w:cs="Times New Roman" w:eastAsia="Times New Roman" w:hAnsi="Times New Roman"/>
          <w:sz w:val="24"/>
          <w:szCs w:val="24"/>
        </w:rPr>
        <w:t xml:space="preserve">Tiene un parámetro de forma λ: 4 es la PERT clásica, 1 conserva la media de la triangular de la fuente y 0 da la uniforme.</w:t>
      </w:r>
    </w:p>
    <w:p>
      <w:pPr>
        <w:pStyle w:val="ListParagraph"/>
        <w:numPr>
          <w:ilvl w:val="0"/>
          <w:numId w:val="2"/>
        </w:numPr>
        <w:spacing w:after="80" w:line="288"/>
      </w:pPr>
      <w:r>
        <w:rPr>
          <w:rFonts w:ascii="Times New Roman" w:cs="Times New Roman" w:eastAsia="Times New Roman" w:hAnsi="Times New Roman"/>
          <w:sz w:val="24"/>
          <w:szCs w:val="24"/>
        </w:rPr>
        <w:t xml:space="preserve">Con λ = 4 y los tres puntos de Costigliola et al. (2017), la media de las tareas cambia entre −38 % y +4 % frente a la de la fuente; con λ = 1 queda igual.</w:t>
      </w:r>
    </w:p>
    <w:p>
      <w:pPr>
        <w:pStyle w:val="ListParagraph"/>
        <w:numPr>
          <w:ilvl w:val="0"/>
          <w:numId w:val="2"/>
        </w:numPr>
        <w:spacing w:after="80" w:line="288"/>
      </w:pPr>
      <w:r>
        <w:rPr>
          <w:rFonts w:ascii="Times New Roman" w:cs="Times New Roman" w:eastAsia="Times New Roman" w:hAnsi="Times New Roman"/>
          <w:sz w:val="24"/>
          <w:szCs w:val="24"/>
        </w:rPr>
        <w:t xml:space="preserve">La hoja «Duraciones» del Excel trae ahora la desviación exacta de la BetaPERT, además de la aproximación (b − a)/6.</w:t>
      </w:r>
    </w:p>
    <w:p>
      <w:pPr>
        <w:pStyle w:val="ListParagraph"/>
        <w:numPr>
          <w:ilvl w:val="0"/>
          <w:numId w:val="2"/>
        </w:numPr>
        <w:spacing w:after="80" w:line="288"/>
      </w:pPr>
      <w:r>
        <w:rPr>
          <w:rFonts w:ascii="Times New Roman" w:cs="Times New Roman" w:eastAsia="Times New Roman" w:hAnsi="Times New Roman"/>
          <w:sz w:val="24"/>
          <w:szCs w:val="24"/>
        </w:rPr>
        <w:t xml:space="preserve">Las pruebas comprueban, en las 22 tareas de la hoja «Duraciones», que todos los valores queden entre a y b y que la media simulada esté a menos de cinco errores estándar de (a + 4m + b)/6; la misma prueba rechaza la triangular de la fuente en las 18 tareas asimétricas.</w:t>
      </w:r>
    </w:p>
    <w:p>
      <w:pPr>
        <w:pStyle w:val="ListParagraph"/>
        <w:numPr>
          <w:ilvl w:val="0"/>
          <w:numId w:val="2"/>
        </w:numPr>
        <w:spacing w:after="80" w:line="288"/>
      </w:pPr>
      <w:r>
        <w:rPr>
          <w:rFonts w:ascii="Times New Roman" w:cs="Times New Roman" w:eastAsia="Times New Roman" w:hAnsi="Times New Roman"/>
          <w:sz w:val="24"/>
          <w:szCs w:val="24"/>
        </w:rPr>
        <w:t xml:space="preserve">La función muestrear_ensayo arma la duración de un ensayo con sus tareas y con los mismos tres puntos de los campos t_optimista, t_mas_probable y t_pesimista: la duración nunca sale de ese rango y, con λ = 4 y un analista intermedio, su media es la fórmula PERT aplicada a esos campos. La forma λ puede cambiar de una tarea a otra.</w:t>
      </w:r>
    </w:p>
    <w:p>
      <w:pPr>
        <w:pStyle w:val="ListParagraph"/>
        <w:numPr>
          <w:ilvl w:val="0"/>
          <w:numId w:val="2"/>
        </w:numPr>
        <w:spacing w:after="80" w:line="288"/>
      </w:pPr>
      <w:r>
        <w:rPr>
          <w:rFonts w:ascii="Times New Roman" w:cs="Times New Roman" w:eastAsia="Times New Roman" w:hAnsi="Times New Roman"/>
          <w:sz w:val="24"/>
          <w:szCs w:val="24"/>
        </w:rPr>
        <w:t xml:space="preserve">La revisión de la forma (Figura 1) muestra distribuciones de un solo pico con cola a la derecha. La propuesta de la sección 1.10 (λ = 1, y λ = 0 en las tareas uniformes) queda más cerca de la fuente que λ = 4 en 10 de los 12 ensayos.</w:t>
      </w:r>
    </w:p>
    <w:p>
      <w:pPr>
        <w:pStyle w:val="ListParagraph"/>
        <w:numPr>
          <w:ilvl w:val="0"/>
          <w:numId w:val="2"/>
        </w:numPr>
        <w:spacing w:after="80" w:line="288"/>
      </w:pPr>
      <w:r>
        <w:rPr>
          <w:rFonts w:ascii="Times New Roman" w:cs="Times New Roman" w:eastAsia="Times New Roman" w:hAnsi="Times New Roman"/>
          <w:sz w:val="24"/>
          <w:szCs w:val="24"/>
        </w:rPr>
        <w:t xml:space="preserve">Las tareas de una ejecución salen correlacionadas con una cópula gaussiana: ρ = 0,5 entre las cuatro tareas del analista (supuesto S04, con sensibilidad de 0,3 y 0,7) y ninguna correlación con la idoneidad y la corrida, que son del equipo. La dependencia entre complejidad, número de soluciones y preparación sigue siendo estructural (sección 2.1).</w:t>
      </w:r>
    </w:p>
    <w:p>
      <w:pPr>
        <w:pStyle w:val="ListParagraph"/>
        <w:numPr>
          <w:ilvl w:val="0"/>
          <w:numId w:val="2"/>
        </w:numPr>
        <w:spacing w:after="80" w:line="288"/>
      </w:pPr>
      <w:r>
        <w:rPr>
          <w:rFonts w:ascii="Times New Roman" w:cs="Times New Roman" w:eastAsia="Times New Roman" w:hAnsi="Times New Roman"/>
          <w:sz w:val="24"/>
          <w:szCs w:val="24"/>
        </w:rPr>
        <w:t xml:space="preserve">La hoja «Correlaciones» del Excel tiene la matriz objetivo y dice de dónde sale cada correlación (Tabla 5).</w:t>
      </w:r>
    </w:p>
    <w:p>
      <w:pPr>
        <w:pStyle w:val="ListParagraph"/>
        <w:numPr>
          <w:ilvl w:val="0"/>
          <w:numId w:val="2"/>
        </w:numPr>
        <w:spacing w:after="80" w:line="288"/>
      </w:pPr>
      <w:r>
        <w:rPr>
          <w:rFonts w:ascii="Times New Roman" w:cs="Times New Roman" w:eastAsia="Times New Roman" w:hAnsi="Times New Roman"/>
          <w:sz w:val="24"/>
          <w:szCs w:val="24"/>
        </w:rPr>
        <w:t xml:space="preserve">En los doce ensayos y con los tres valores de ρ, la matriz obtenida queda a menos de 0,006 de la objetivo, con la cópula y con el método de Iman y Conover. La media de la duración no cambia; con ρ = 0,5, su desviación estándar sube entre 3,8 % y 34,0 % según el ensayo.</w:t>
      </w:r>
    </w:p>
    <w:p>
      <w:pPr>
        <w:pStyle w:val="ListParagraph"/>
        <w:numPr>
          <w:ilvl w:val="0"/>
          <w:numId w:val="2"/>
        </w:numPr>
        <w:spacing w:after="80" w:line="288"/>
      </w:pPr>
      <w:r>
        <w:rPr>
          <w:rFonts w:ascii="Times New Roman" w:cs="Times New Roman" w:eastAsia="Times New Roman" w:hAnsi="Times New Roman"/>
          <w:sz w:val="24"/>
          <w:szCs w:val="24"/>
        </w:rPr>
        <w:t xml:space="preserve">Con λ = 4, esa dispersión adicional acerca la de los ensayos a la de la fuente; con la propuesta de λ = 1 la deja por encima (29 % en promedio con ρ = 0,5). La forma y la correlación hay que decidirlas juntas (sección 2.7).</w:t>
      </w:r>
    </w:p>
    <w:p>
      <w:pPr>
        <w:pStyle w:val="ListParagraph"/>
        <w:numPr>
          <w:ilvl w:val="0"/>
          <w:numId w:val="2"/>
        </w:numPr>
        <w:spacing w:after="80" w:line="288"/>
      </w:pPr>
      <w:r>
        <w:rPr>
          <w:rFonts w:ascii="Times New Roman" w:cs="Times New Roman" w:eastAsia="Times New Roman" w:hAnsi="Times New Roman"/>
          <w:sz w:val="24"/>
          <w:szCs w:val="24"/>
        </w:rPr>
        <w:t xml:space="preserve">El indicador V2 compara la matriz dentro de grupos del mismo método, número de soluciones, nivel e idoneidad con la que se espera para el tamaño de cada grupo, con una tolerancia de cinco errores estándar: en 100 datasets de unas 7 semanas aceptó siempre los datos correctos y rechazó siempre los generados con ρ = 0,3, y 38 de los generados con ρ = 0,4. En todo el dataset, la complejidad casi no se relaciona con la duración, aunque dentro de cada técnica sí (sección 2.5).</w:t>
      </w:r>
    </w:p>
    <w:p>
      <w:pPr>
        <w:pStyle w:val="ListParagraph"/>
        <w:numPr>
          <w:ilvl w:val="0"/>
          <w:numId w:val="2"/>
        </w:numPr>
        <w:spacing w:after="80" w:line="288"/>
      </w:pPr>
      <w:r>
        <w:rPr>
          <w:rFonts w:ascii="Times New Roman" w:cs="Times New Roman" w:eastAsia="Times New Roman" w:hAnsi="Times New Roman"/>
          <w:sz w:val="24"/>
          <w:szCs w:val="24"/>
        </w:rPr>
        <w:t xml:space="preserve">Los módulos de duraciones y de correlación pasan sus 59 pruebas (33 y 26), que ejecutan el 100 % de sus líneas y de sus ramas.</w:t>
      </w:r>
    </w:p>
    <w:p>
      <w:pPr>
        <w:pStyle w:val="Heading1"/>
        <w:keepNext/>
      </w:pPr>
      <w:r>
        <w:rPr>
          <w:rFonts w:ascii="Times New Roman" w:cs="Times New Roman" w:eastAsia="Times New Roman" w:hAnsi="Times New Roman"/>
          <w:b/>
          <w:bCs/>
          <w:sz w:val="26"/>
          <w:szCs w:val="26"/>
        </w:rPr>
        <w:t xml:space="preserve">1. Duraciones BetaPERT</w:t>
      </w:r>
    </w:p>
    <w:p>
      <w:pPr>
        <w:pStyle w:val="Heading2"/>
        <w:keepNext/>
      </w:pPr>
      <w:r>
        <w:rPr>
          <w:rFonts w:ascii="Times New Roman" w:cs="Times New Roman" w:eastAsia="Times New Roman" w:hAnsi="Times New Roman"/>
          <w:b/>
          <w:bCs/>
          <w:sz w:val="24"/>
          <w:szCs w:val="24"/>
        </w:rPr>
        <w:t xml:space="preserve">1.1 La función de muestreo</w:t>
      </w:r>
    </w:p>
    <w:p>
      <w:pPr>
        <w:spacing w:after="120" w:before="0" w:line="288"/>
        <w:jc w:val="left"/>
      </w:pPr>
      <w:r>
        <w:rPr>
          <w:rFonts w:ascii="Times New Roman" w:cs="Times New Roman" w:eastAsia="Times New Roman" w:hAnsi="Times New Roman"/>
          <w:sz w:val="24"/>
          <w:szCs w:val="24"/>
        </w:rPr>
        <w:t xml:space="preserve">El anteproyecto genera las duraciones con simulación de Monte Carlo a partir de estimaciones de tres puntos con BetaPERT (§1.4). La BetaPERT es una distribución beta reescalada al intervalo entre el tiempo optimista a y el pesimista b, con el valor más probable m como moda. La función muestrear_betapert (src/generador/duraciones.py) calcula los parámetros de la beta, alfa = 1 + λ(m − a)/(b − a) y beta = 1 + λ(b − m)/(b − a), saca valores de esa beta y los lleva a minutos: x = a + (b − a) · Beta(alfa, beta). Recibe los tres puntos como números o como columnas, de modo que en una sola llamada puede sacar, por ejemplo, la preparación de todos los ensayos de una corrida, y recibe el generador de números aleatorios de la corrida, para que una misma semilla dé siempre los mismos valores.</w:t>
      </w:r>
    </w:p>
    <w:p>
      <w:pPr>
        <w:spacing w:after="120" w:before="0" w:line="288"/>
        <w:jc w:val="left"/>
      </w:pPr>
      <w:r>
        <w:rPr>
          <w:rFonts w:ascii="Times New Roman" w:cs="Times New Roman" w:eastAsia="Times New Roman" w:hAnsi="Times New Roman"/>
          <w:sz w:val="24"/>
          <w:szCs w:val="24"/>
        </w:rPr>
        <w:t xml:space="preserve">La media es (a + λm + b)/(λ + 2) y la varianza, (media − a)(b − media)/(λ + 3); con λ = 4 quedan las fórmulas de la PERT clásica, entre ellas (a + 4m + b)/6 para la media. La función cuantil_betapert hace el camino inverso, de una probabilidad a una duración, que es lo que usa el bloque de factores de correlación (sección 2.2) para convertir uniformes correlacionadas en duraciones.</w:t>
      </w:r>
    </w:p>
    <w:p>
      <w:pPr>
        <w:pStyle w:val="Heading2"/>
        <w:keepNext/>
      </w:pPr>
      <w:r>
        <w:rPr>
          <w:rFonts w:ascii="Times New Roman" w:cs="Times New Roman" w:eastAsia="Times New Roman" w:hAnsi="Times New Roman"/>
          <w:b/>
          <w:bCs/>
          <w:sz w:val="24"/>
          <w:szCs w:val="24"/>
        </w:rPr>
        <w:t xml:space="preserve">1.2 La forma λ</w:t>
      </w:r>
    </w:p>
    <w:p>
      <w:pPr>
        <w:spacing w:after="120" w:before="0" w:line="288"/>
        <w:jc w:val="left"/>
      </w:pPr>
      <w:r>
        <w:rPr>
          <w:rFonts w:ascii="Times New Roman" w:cs="Times New Roman" w:eastAsia="Times New Roman" w:hAnsi="Times New Roman"/>
          <w:sz w:val="24"/>
          <w:szCs w:val="24"/>
        </w:rPr>
        <w:t xml:space="preserve">El anteproyecto pide declarar de manera explícita la familia de distribuciones, porque su elección altera significativamente las estimaciones de duración (§5.2, a partir de Hassi et al., 2025). La forma λ es esa declaración. Con λ = 4 la BetaPERT es la clásica. Con λ = 1 conserva los tres puntos y la media de la triangular, (a + m + b)/3, que es la distribución que usan Costigliola et al. (2017, Tabla 3, p. 9016). Con λ = 0 es la uniforme entre a y b. Para cualquier λ mayor que 0, la moda sigue siendo m.</w:t>
      </w:r>
    </w:p>
    <w:p>
      <w:pPr>
        <w:pStyle w:val="Heading2"/>
        <w:keepNext/>
      </w:pPr>
      <w:r>
        <w:rPr>
          <w:rFonts w:ascii="Times New Roman" w:cs="Times New Roman" w:eastAsia="Times New Roman" w:hAnsi="Times New Roman"/>
          <w:b/>
          <w:bCs/>
          <w:sz w:val="24"/>
          <w:szCs w:val="24"/>
        </w:rPr>
        <w:t xml:space="preserve">1.3 Cuánto cambia la media</w:t>
      </w:r>
    </w:p>
    <w:p>
      <w:pPr>
        <w:keepNext/>
        <w:spacing w:after="120" w:before="0" w:line="288"/>
        <w:jc w:val="left"/>
      </w:pPr>
      <w:r>
        <w:rPr>
          <w:rFonts w:ascii="Times New Roman" w:cs="Times New Roman" w:eastAsia="Times New Roman" w:hAnsi="Times New Roman"/>
          <w:sz w:val="24"/>
          <w:szCs w:val="24"/>
        </w:rPr>
        <w:t xml:space="preserve">Las distribuciones de la fuente son asimétricas: casi todas tienen la moda más cerca del mínimo que del máximo. Por eso la PERT clásica, que le da a la moda cuatro veces más peso, baja la media frente a la triangular. La Tabla 1 lo muestra para las 20 tareas triangulares de la fuente: la diferencia va de −38 % en la corrida de KF a +4 % en el montaje de HPLC, y en la preparación del análisis va de −7 % a −22 % según la técnica, como ya advertía la hoja «Léeme» del Excel (ojo 4). En un ensayo completo el efecto depende de las tareas que lo forman. Con el número medio de soluciones, sustancias relacionadas por HPLC pasa de 377,2 a 364,0 minutos (−3,5 %), porque su corrida es simétrica y la PERT no la cambia; agua por KF volumétrico, en cambio, pasa de 79,8 a 65,6 (−17,8 %), porque a la preparación se suma la corrida de su tramo, que la BetaPERT acorta (sección 1.9).</w:t>
      </w:r>
    </w:p>
    <w:p>
      <w:pPr>
        <w:keepNext/>
        <w:spacing w:after="0" w:before="200" w:line="288"/>
        <w:jc w:val="left"/>
      </w:pPr>
      <w:r>
        <w:rPr>
          <w:rFonts w:ascii="Times New Roman" w:cs="Times New Roman" w:eastAsia="Times New Roman" w:hAnsi="Times New Roman"/>
          <w:b/>
          <w:bCs/>
          <w:sz w:val="24"/>
          <w:szCs w:val="24"/>
        </w:rPr>
        <w:t xml:space="preserve">Tabla 1</w:t>
      </w:r>
    </w:p>
    <w:p>
      <w:pPr>
        <w:keepNext/>
        <w:spacing w:after="80" w:before="0" w:line="288"/>
        <w:jc w:val="left"/>
      </w:pPr>
      <w:r>
        <w:rPr>
          <w:rFonts w:ascii="Times New Roman" w:cs="Times New Roman" w:eastAsia="Times New Roman" w:hAnsi="Times New Roman"/>
          <w:i/>
          <w:iCs/>
          <w:sz w:val="24"/>
          <w:szCs w:val="24"/>
        </w:rPr>
        <w:t xml:space="preserve">Media de cada tarea triangular con la distribución de la fuente y con la PERT clásica</w:t>
      </w:r>
    </w:p>
    <w:tbl>
      <w:tblPr>
        <w:tblW w:type="dxa" w:w="8554"/>
        <w:tblBorders>
          <w:top w:val="none" w:color="FFFFFF" w:sz="0"/>
          <w:left w:val="none" w:color="FFFFFF" w:sz="0"/>
          <w:bottom w:val="none" w:color="FFFFFF" w:sz="0"/>
          <w:right w:val="none" w:color="FFFFFF" w:sz="0"/>
          <w:insideH w:val="none" w:color="FFFFFF" w:sz="0"/>
          <w:insideV w:val="none" w:color="FFFFFF" w:sz="0"/>
        </w:tblBorders>
      </w:tblPr>
      <w:tblGrid>
        <w:gridCol w:w="950"/>
        <w:gridCol w:w="2250"/>
        <w:gridCol w:w="1500"/>
        <w:gridCol w:w="1350"/>
        <w:gridCol w:w="1300"/>
        <w:gridCol w:w="1204"/>
      </w:tblGrid>
      <w:tr>
        <w:trPr>
          <w:cantSplit/>
          <w:tblHeader/>
        </w:trPr>
        <w:tc>
          <w:tcPr>
            <w:tcW w:type="dxa" w:w="950"/>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bCs/>
                <w:sz w:val="19"/>
                <w:szCs w:val="19"/>
              </w:rPr>
              <w:t xml:space="preserve">Técnica</w:t>
            </w:r>
          </w:p>
        </w:tc>
        <w:tc>
          <w:tcPr>
            <w:tcW w:type="dxa" w:w="2250"/>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bCs/>
                <w:sz w:val="19"/>
                <w:szCs w:val="19"/>
              </w:rPr>
              <w:t xml:space="preserve">Tarea</w:t>
            </w:r>
          </w:p>
        </w:tc>
        <w:tc>
          <w:tcPr>
            <w:tcW w:type="dxa" w:w="1500"/>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bCs/>
                <w:sz w:val="19"/>
                <w:szCs w:val="19"/>
              </w:rPr>
              <w:t xml:space="preserve">Fuente</w:t>
            </w:r>
          </w:p>
        </w:tc>
        <w:tc>
          <w:tcPr>
            <w:tcW w:type="dxa" w:w="1350"/>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bCs/>
                <w:sz w:val="19"/>
                <w:szCs w:val="19"/>
              </w:rPr>
              <w:t xml:space="preserve">Media triangular</w:t>
            </w:r>
          </w:p>
        </w:tc>
        <w:tc>
          <w:tcPr>
            <w:tcW w:type="dxa" w:w="1300"/>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bCs/>
                <w:sz w:val="19"/>
                <w:szCs w:val="19"/>
              </w:rPr>
              <w:t xml:space="preserve">Media PERT</w:t>
            </w:r>
          </w:p>
        </w:tc>
        <w:tc>
          <w:tcPr>
            <w:tcW w:type="dxa" w:w="1204"/>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bCs/>
                <w:sz w:val="19"/>
                <w:szCs w:val="19"/>
              </w:rPr>
              <w:t xml:space="preserve">Diferencia</w:t>
            </w:r>
          </w:p>
        </w:tc>
      </w:tr>
      <w:tr>
        <w:trPr>
          <w:cantSplit/>
        </w:trPr>
        <w:tc>
          <w:tcPr>
            <w:tcW w:type="dxa" w:w="9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19"/>
                <w:szCs w:val="19"/>
              </w:rPr>
              <w:t xml:space="preserve">HPLC</w:t>
            </w:r>
          </w:p>
        </w:tc>
        <w:tc>
          <w:tcPr>
            <w:tcW w:type="dxa" w:w="22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19"/>
                <w:szCs w:val="19"/>
              </w:rPr>
              <w:t xml:space="preserve">Preparación de muestra</w:t>
            </w:r>
          </w:p>
        </w:tc>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19"/>
                <w:szCs w:val="19"/>
              </w:rPr>
              <w:t xml:space="preserve">T(5, 40, 100)</w:t>
            </w:r>
          </w:p>
        </w:tc>
        <w:tc>
          <w:tcPr>
            <w:tcW w:type="dxa" w:w="13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9"/>
                <w:szCs w:val="19"/>
              </w:rPr>
              <w:t xml:space="preserve">48,3</w:t>
            </w:r>
          </w:p>
        </w:tc>
        <w:tc>
          <w:tcPr>
            <w:tcW w:type="dxa" w:w="13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9"/>
                <w:szCs w:val="19"/>
              </w:rPr>
              <w:t xml:space="preserve">44,2</w:t>
            </w:r>
          </w:p>
        </w:tc>
        <w:tc>
          <w:tcPr>
            <w:tcW w:type="dxa" w:w="120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9"/>
                <w:szCs w:val="19"/>
              </w:rPr>
              <w:t xml:space="preserve">−9 %</w:t>
            </w:r>
          </w:p>
        </w:tc>
      </w:tr>
      <w:tr>
        <w:trPr>
          <w:cantSplit/>
        </w:trPr>
        <w:tc>
          <w:tcPr>
            <w:tcW w:type="dxa" w:w="9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9"/>
                <w:szCs w:val="19"/>
              </w:rPr>
              <w:t xml:space="preserve">HPLC</w:t>
            </w:r>
          </w:p>
        </w:tc>
        <w:tc>
          <w:tcPr>
            <w:tcW w:type="dxa" w:w="22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9"/>
                <w:szCs w:val="19"/>
              </w:rPr>
              <w:t xml:space="preserve">Montaje del equipo</w:t>
            </w:r>
          </w:p>
        </w:tc>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9"/>
                <w:szCs w:val="19"/>
              </w:rPr>
              <w:t xml:space="preserve">T(25, 50, 65)</w:t>
            </w:r>
          </w:p>
        </w:tc>
        <w:tc>
          <w:tcPr>
            <w:tcW w:type="dxa" w:w="13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9"/>
                <w:szCs w:val="19"/>
              </w:rPr>
              <w:t xml:space="preserve">46,7</w:t>
            </w:r>
          </w:p>
        </w:tc>
        <w:tc>
          <w:tcPr>
            <w:tcW w:type="dxa" w:w="13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9"/>
                <w:szCs w:val="19"/>
              </w:rPr>
              <w:t xml:space="preserve">48,3</w:t>
            </w:r>
          </w:p>
        </w:tc>
        <w:tc>
          <w:tcPr>
            <w:tcW w:type="dxa" w:w="1204"/>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9"/>
                <w:szCs w:val="19"/>
              </w:rPr>
              <w:t xml:space="preserve">+4 %</w:t>
            </w:r>
          </w:p>
        </w:tc>
      </w:tr>
      <w:tr>
        <w:trPr>
          <w:cantSplit/>
        </w:trPr>
        <w:tc>
          <w:tcPr>
            <w:tcW w:type="dxa" w:w="9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9"/>
                <w:szCs w:val="19"/>
              </w:rPr>
              <w:t xml:space="preserve">HPLC</w:t>
            </w:r>
          </w:p>
        </w:tc>
        <w:tc>
          <w:tcPr>
            <w:tcW w:type="dxa" w:w="22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9"/>
                <w:szCs w:val="19"/>
              </w:rPr>
              <w:t xml:space="preserve">Procesamiento de datos</w:t>
            </w:r>
          </w:p>
        </w:tc>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9"/>
                <w:szCs w:val="19"/>
              </w:rPr>
              <w:t xml:space="preserve">T(2, 5, 10)</w:t>
            </w:r>
          </w:p>
        </w:tc>
        <w:tc>
          <w:tcPr>
            <w:tcW w:type="dxa" w:w="13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9"/>
                <w:szCs w:val="19"/>
              </w:rPr>
              <w:t xml:space="preserve">5,7</w:t>
            </w:r>
          </w:p>
        </w:tc>
        <w:tc>
          <w:tcPr>
            <w:tcW w:type="dxa" w:w="13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9"/>
                <w:szCs w:val="19"/>
              </w:rPr>
              <w:t xml:space="preserve">5,3</w:t>
            </w:r>
          </w:p>
        </w:tc>
        <w:tc>
          <w:tcPr>
            <w:tcW w:type="dxa" w:w="1204"/>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9"/>
                <w:szCs w:val="19"/>
              </w:rPr>
              <w:t xml:space="preserve">−6 %</w:t>
            </w:r>
          </w:p>
        </w:tc>
      </w:tr>
      <w:tr>
        <w:trPr>
          <w:cantSplit/>
        </w:trPr>
        <w:tc>
          <w:tcPr>
            <w:tcW w:type="dxa" w:w="9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9"/>
                <w:szCs w:val="19"/>
              </w:rPr>
              <w:t xml:space="preserve">GC</w:t>
            </w:r>
          </w:p>
        </w:tc>
        <w:tc>
          <w:tcPr>
            <w:tcW w:type="dxa" w:w="22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9"/>
                <w:szCs w:val="19"/>
              </w:rPr>
              <w:t xml:space="preserve">Preparación de muestra</w:t>
            </w:r>
          </w:p>
        </w:tc>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9"/>
                <w:szCs w:val="19"/>
              </w:rPr>
              <w:t xml:space="preserve">T(5, 10, 35)</w:t>
            </w:r>
          </w:p>
        </w:tc>
        <w:tc>
          <w:tcPr>
            <w:tcW w:type="dxa" w:w="13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9"/>
                <w:szCs w:val="19"/>
              </w:rPr>
              <w:t xml:space="preserve">16,7</w:t>
            </w:r>
          </w:p>
        </w:tc>
        <w:tc>
          <w:tcPr>
            <w:tcW w:type="dxa" w:w="13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9"/>
                <w:szCs w:val="19"/>
              </w:rPr>
              <w:t xml:space="preserve">13,3</w:t>
            </w:r>
          </w:p>
        </w:tc>
        <w:tc>
          <w:tcPr>
            <w:tcW w:type="dxa" w:w="1204"/>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9"/>
                <w:szCs w:val="19"/>
              </w:rPr>
              <w:t xml:space="preserve">−20 %</w:t>
            </w:r>
          </w:p>
        </w:tc>
      </w:tr>
      <w:tr>
        <w:trPr>
          <w:cantSplit/>
        </w:trPr>
        <w:tc>
          <w:tcPr>
            <w:tcW w:type="dxa" w:w="9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9"/>
                <w:szCs w:val="19"/>
              </w:rPr>
              <w:t xml:space="preserve">GC</w:t>
            </w:r>
          </w:p>
        </w:tc>
        <w:tc>
          <w:tcPr>
            <w:tcW w:type="dxa" w:w="22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9"/>
                <w:szCs w:val="19"/>
              </w:rPr>
              <w:t xml:space="preserve">Montaje del equipo</w:t>
            </w:r>
          </w:p>
        </w:tc>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9"/>
                <w:szCs w:val="19"/>
              </w:rPr>
              <w:t xml:space="preserve">T(2, 5, 30)</w:t>
            </w:r>
          </w:p>
        </w:tc>
        <w:tc>
          <w:tcPr>
            <w:tcW w:type="dxa" w:w="13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9"/>
                <w:szCs w:val="19"/>
              </w:rPr>
              <w:t xml:space="preserve">12,3</w:t>
            </w:r>
          </w:p>
        </w:tc>
        <w:tc>
          <w:tcPr>
            <w:tcW w:type="dxa" w:w="13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9"/>
                <w:szCs w:val="19"/>
              </w:rPr>
              <w:t xml:space="preserve">8,7</w:t>
            </w:r>
          </w:p>
        </w:tc>
        <w:tc>
          <w:tcPr>
            <w:tcW w:type="dxa" w:w="1204"/>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9"/>
                <w:szCs w:val="19"/>
              </w:rPr>
              <w:t xml:space="preserve">−30 %</w:t>
            </w:r>
          </w:p>
        </w:tc>
      </w:tr>
      <w:tr>
        <w:trPr>
          <w:cantSplit/>
        </w:trPr>
        <w:tc>
          <w:tcPr>
            <w:tcW w:type="dxa" w:w="9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9"/>
                <w:szCs w:val="19"/>
              </w:rPr>
              <w:t xml:space="preserve">GC</w:t>
            </w:r>
          </w:p>
        </w:tc>
        <w:tc>
          <w:tcPr>
            <w:tcW w:type="dxa" w:w="22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9"/>
                <w:szCs w:val="19"/>
              </w:rPr>
              <w:t xml:space="preserve">Procesamiento de datos</w:t>
            </w:r>
          </w:p>
        </w:tc>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9"/>
                <w:szCs w:val="19"/>
              </w:rPr>
              <w:t xml:space="preserve">T(10, 20, 45)</w:t>
            </w:r>
          </w:p>
        </w:tc>
        <w:tc>
          <w:tcPr>
            <w:tcW w:type="dxa" w:w="13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9"/>
                <w:szCs w:val="19"/>
              </w:rPr>
              <w:t xml:space="preserve">25,0</w:t>
            </w:r>
          </w:p>
        </w:tc>
        <w:tc>
          <w:tcPr>
            <w:tcW w:type="dxa" w:w="13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9"/>
                <w:szCs w:val="19"/>
              </w:rPr>
              <w:t xml:space="preserve">22,5</w:t>
            </w:r>
          </w:p>
        </w:tc>
        <w:tc>
          <w:tcPr>
            <w:tcW w:type="dxa" w:w="1204"/>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9"/>
                <w:szCs w:val="19"/>
              </w:rPr>
              <w:t xml:space="preserve">−10 %</w:t>
            </w:r>
          </w:p>
        </w:tc>
      </w:tr>
      <w:tr>
        <w:trPr>
          <w:cantSplit/>
        </w:trPr>
        <w:tc>
          <w:tcPr>
            <w:tcW w:type="dxa" w:w="9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9"/>
                <w:szCs w:val="19"/>
              </w:rPr>
              <w:t xml:space="preserve">PSA</w:t>
            </w:r>
          </w:p>
        </w:tc>
        <w:tc>
          <w:tcPr>
            <w:tcW w:type="dxa" w:w="22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9"/>
                <w:szCs w:val="19"/>
              </w:rPr>
              <w:t xml:space="preserve">Preparación de muestra</w:t>
            </w:r>
          </w:p>
        </w:tc>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9"/>
                <w:szCs w:val="19"/>
              </w:rPr>
              <w:t xml:space="preserve">T(5, 7.5, 21)</w:t>
            </w:r>
          </w:p>
        </w:tc>
        <w:tc>
          <w:tcPr>
            <w:tcW w:type="dxa" w:w="13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9"/>
                <w:szCs w:val="19"/>
              </w:rPr>
              <w:t xml:space="preserve">11,2</w:t>
            </w:r>
          </w:p>
        </w:tc>
        <w:tc>
          <w:tcPr>
            <w:tcW w:type="dxa" w:w="13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9"/>
                <w:szCs w:val="19"/>
              </w:rPr>
              <w:t xml:space="preserve">9,3</w:t>
            </w:r>
          </w:p>
        </w:tc>
        <w:tc>
          <w:tcPr>
            <w:tcW w:type="dxa" w:w="1204"/>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9"/>
                <w:szCs w:val="19"/>
              </w:rPr>
              <w:t xml:space="preserve">−16 %</w:t>
            </w:r>
          </w:p>
        </w:tc>
      </w:tr>
      <w:tr>
        <w:trPr>
          <w:cantSplit/>
        </w:trPr>
        <w:tc>
          <w:tcPr>
            <w:tcW w:type="dxa" w:w="9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9"/>
                <w:szCs w:val="19"/>
              </w:rPr>
              <w:t xml:space="preserve">PSA</w:t>
            </w:r>
          </w:p>
        </w:tc>
        <w:tc>
          <w:tcPr>
            <w:tcW w:type="dxa" w:w="22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9"/>
                <w:szCs w:val="19"/>
              </w:rPr>
              <w:t xml:space="preserve">Corrida</w:t>
            </w:r>
          </w:p>
        </w:tc>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9"/>
                <w:szCs w:val="19"/>
              </w:rPr>
              <w:t xml:space="preserve">T(5, 10, 30)</w:t>
            </w:r>
          </w:p>
        </w:tc>
        <w:tc>
          <w:tcPr>
            <w:tcW w:type="dxa" w:w="13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9"/>
                <w:szCs w:val="19"/>
              </w:rPr>
              <w:t xml:space="preserve">15,0</w:t>
            </w:r>
          </w:p>
        </w:tc>
        <w:tc>
          <w:tcPr>
            <w:tcW w:type="dxa" w:w="13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9"/>
                <w:szCs w:val="19"/>
              </w:rPr>
              <w:t xml:space="preserve">12,5</w:t>
            </w:r>
          </w:p>
        </w:tc>
        <w:tc>
          <w:tcPr>
            <w:tcW w:type="dxa" w:w="1204"/>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9"/>
                <w:szCs w:val="19"/>
              </w:rPr>
              <w:t xml:space="preserve">−17 %</w:t>
            </w:r>
          </w:p>
        </w:tc>
      </w:tr>
      <w:tr>
        <w:trPr>
          <w:cantSplit/>
        </w:trPr>
        <w:tc>
          <w:tcPr>
            <w:tcW w:type="dxa" w:w="9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9"/>
                <w:szCs w:val="19"/>
              </w:rPr>
              <w:t xml:space="preserve">PSA</w:t>
            </w:r>
          </w:p>
        </w:tc>
        <w:tc>
          <w:tcPr>
            <w:tcW w:type="dxa" w:w="22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9"/>
                <w:szCs w:val="19"/>
              </w:rPr>
              <w:t xml:space="preserve">Procesamiento de datos</w:t>
            </w:r>
          </w:p>
        </w:tc>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9"/>
                <w:szCs w:val="19"/>
              </w:rPr>
              <w:t xml:space="preserve">T(2, 6, 10)</w:t>
            </w:r>
          </w:p>
        </w:tc>
        <w:tc>
          <w:tcPr>
            <w:tcW w:type="dxa" w:w="13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9"/>
                <w:szCs w:val="19"/>
              </w:rPr>
              <w:t xml:space="preserve">6,0</w:t>
            </w:r>
          </w:p>
        </w:tc>
        <w:tc>
          <w:tcPr>
            <w:tcW w:type="dxa" w:w="13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9"/>
                <w:szCs w:val="19"/>
              </w:rPr>
              <w:t xml:space="preserve">6,0</w:t>
            </w:r>
          </w:p>
        </w:tc>
        <w:tc>
          <w:tcPr>
            <w:tcW w:type="dxa" w:w="1204"/>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9"/>
                <w:szCs w:val="19"/>
              </w:rPr>
              <w:t xml:space="preserve">0 %</w:t>
            </w:r>
          </w:p>
        </w:tc>
      </w:tr>
      <w:tr>
        <w:trPr>
          <w:cantSplit/>
        </w:trPr>
        <w:tc>
          <w:tcPr>
            <w:tcW w:type="dxa" w:w="9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9"/>
                <w:szCs w:val="19"/>
              </w:rPr>
              <w:t xml:space="preserve">KF</w:t>
            </w:r>
          </w:p>
        </w:tc>
        <w:tc>
          <w:tcPr>
            <w:tcW w:type="dxa" w:w="22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9"/>
                <w:szCs w:val="19"/>
              </w:rPr>
              <w:t xml:space="preserve">Preparación de muestra</w:t>
            </w:r>
          </w:p>
        </w:tc>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9"/>
                <w:szCs w:val="19"/>
              </w:rPr>
              <w:t xml:space="preserve">T(1, 6, 25)</w:t>
            </w:r>
          </w:p>
        </w:tc>
        <w:tc>
          <w:tcPr>
            <w:tcW w:type="dxa" w:w="13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9"/>
                <w:szCs w:val="19"/>
              </w:rPr>
              <w:t xml:space="preserve">10,7</w:t>
            </w:r>
          </w:p>
        </w:tc>
        <w:tc>
          <w:tcPr>
            <w:tcW w:type="dxa" w:w="13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9"/>
                <w:szCs w:val="19"/>
              </w:rPr>
              <w:t xml:space="preserve">8,3</w:t>
            </w:r>
          </w:p>
        </w:tc>
        <w:tc>
          <w:tcPr>
            <w:tcW w:type="dxa" w:w="1204"/>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9"/>
                <w:szCs w:val="19"/>
              </w:rPr>
              <w:t xml:space="preserve">−22 %</w:t>
            </w:r>
          </w:p>
        </w:tc>
      </w:tr>
      <w:tr>
        <w:trPr>
          <w:cantSplit/>
        </w:trPr>
        <w:tc>
          <w:tcPr>
            <w:tcW w:type="dxa" w:w="9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9"/>
                <w:szCs w:val="19"/>
              </w:rPr>
              <w:t xml:space="preserve">KF</w:t>
            </w:r>
          </w:p>
        </w:tc>
        <w:tc>
          <w:tcPr>
            <w:tcW w:type="dxa" w:w="22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9"/>
                <w:szCs w:val="19"/>
              </w:rPr>
              <w:t xml:space="preserve">Montaje del equipo</w:t>
            </w:r>
          </w:p>
        </w:tc>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9"/>
                <w:szCs w:val="19"/>
              </w:rPr>
              <w:t xml:space="preserve">T(4, 8, 16)</w:t>
            </w:r>
          </w:p>
        </w:tc>
        <w:tc>
          <w:tcPr>
            <w:tcW w:type="dxa" w:w="13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9"/>
                <w:szCs w:val="19"/>
              </w:rPr>
              <w:t xml:space="preserve">9,3</w:t>
            </w:r>
          </w:p>
        </w:tc>
        <w:tc>
          <w:tcPr>
            <w:tcW w:type="dxa" w:w="13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9"/>
                <w:szCs w:val="19"/>
              </w:rPr>
              <w:t xml:space="preserve">8,7</w:t>
            </w:r>
          </w:p>
        </w:tc>
        <w:tc>
          <w:tcPr>
            <w:tcW w:type="dxa" w:w="1204"/>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9"/>
                <w:szCs w:val="19"/>
              </w:rPr>
              <w:t xml:space="preserve">−7 %</w:t>
            </w:r>
          </w:p>
        </w:tc>
      </w:tr>
      <w:tr>
        <w:trPr>
          <w:cantSplit/>
        </w:trPr>
        <w:tc>
          <w:tcPr>
            <w:tcW w:type="dxa" w:w="9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9"/>
                <w:szCs w:val="19"/>
              </w:rPr>
              <w:t xml:space="preserve">KF</w:t>
            </w:r>
          </w:p>
        </w:tc>
        <w:tc>
          <w:tcPr>
            <w:tcW w:type="dxa" w:w="22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9"/>
                <w:szCs w:val="19"/>
              </w:rPr>
              <w:t xml:space="preserve">Corrida</w:t>
            </w:r>
          </w:p>
        </w:tc>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9"/>
                <w:szCs w:val="19"/>
              </w:rPr>
              <w:t xml:space="preserve">T(2, 5, 56)</w:t>
            </w:r>
          </w:p>
        </w:tc>
        <w:tc>
          <w:tcPr>
            <w:tcW w:type="dxa" w:w="13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9"/>
                <w:szCs w:val="19"/>
              </w:rPr>
              <w:t xml:space="preserve">21,0</w:t>
            </w:r>
          </w:p>
        </w:tc>
        <w:tc>
          <w:tcPr>
            <w:tcW w:type="dxa" w:w="13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9"/>
                <w:szCs w:val="19"/>
              </w:rPr>
              <w:t xml:space="preserve">13,0</w:t>
            </w:r>
          </w:p>
        </w:tc>
        <w:tc>
          <w:tcPr>
            <w:tcW w:type="dxa" w:w="1204"/>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9"/>
                <w:szCs w:val="19"/>
              </w:rPr>
              <w:t xml:space="preserve">−38 %</w:t>
            </w:r>
          </w:p>
        </w:tc>
      </w:tr>
      <w:tr>
        <w:trPr>
          <w:cantSplit/>
        </w:trPr>
        <w:tc>
          <w:tcPr>
            <w:tcW w:type="dxa" w:w="9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9"/>
                <w:szCs w:val="19"/>
              </w:rPr>
              <w:t xml:space="preserve">KF</w:t>
            </w:r>
          </w:p>
        </w:tc>
        <w:tc>
          <w:tcPr>
            <w:tcW w:type="dxa" w:w="22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9"/>
                <w:szCs w:val="19"/>
              </w:rPr>
              <w:t xml:space="preserve">Procesamiento de datos</w:t>
            </w:r>
          </w:p>
        </w:tc>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9"/>
                <w:szCs w:val="19"/>
              </w:rPr>
              <w:t xml:space="preserve">T(10, 20, 30)</w:t>
            </w:r>
          </w:p>
        </w:tc>
        <w:tc>
          <w:tcPr>
            <w:tcW w:type="dxa" w:w="13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9"/>
                <w:szCs w:val="19"/>
              </w:rPr>
              <w:t xml:space="preserve">20,0</w:t>
            </w:r>
          </w:p>
        </w:tc>
        <w:tc>
          <w:tcPr>
            <w:tcW w:type="dxa" w:w="13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9"/>
                <w:szCs w:val="19"/>
              </w:rPr>
              <w:t xml:space="preserve">20,0</w:t>
            </w:r>
          </w:p>
        </w:tc>
        <w:tc>
          <w:tcPr>
            <w:tcW w:type="dxa" w:w="1204"/>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9"/>
                <w:szCs w:val="19"/>
              </w:rPr>
              <w:t xml:space="preserve">0 %</w:t>
            </w:r>
          </w:p>
        </w:tc>
      </w:tr>
      <w:tr>
        <w:trPr>
          <w:cantSplit/>
        </w:trPr>
        <w:tc>
          <w:tcPr>
            <w:tcW w:type="dxa" w:w="9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9"/>
                <w:szCs w:val="19"/>
              </w:rPr>
              <w:t xml:space="preserve">DSC</w:t>
            </w:r>
          </w:p>
        </w:tc>
        <w:tc>
          <w:tcPr>
            <w:tcW w:type="dxa" w:w="22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9"/>
                <w:szCs w:val="19"/>
              </w:rPr>
              <w:t xml:space="preserve">Preparación de muestra</w:t>
            </w:r>
          </w:p>
        </w:tc>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9"/>
                <w:szCs w:val="19"/>
              </w:rPr>
              <w:t xml:space="preserve">T(5, 10, 30)</w:t>
            </w:r>
          </w:p>
        </w:tc>
        <w:tc>
          <w:tcPr>
            <w:tcW w:type="dxa" w:w="13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9"/>
                <w:szCs w:val="19"/>
              </w:rPr>
              <w:t xml:space="preserve">15,0</w:t>
            </w:r>
          </w:p>
        </w:tc>
        <w:tc>
          <w:tcPr>
            <w:tcW w:type="dxa" w:w="13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9"/>
                <w:szCs w:val="19"/>
              </w:rPr>
              <w:t xml:space="preserve">12,5</w:t>
            </w:r>
          </w:p>
        </w:tc>
        <w:tc>
          <w:tcPr>
            <w:tcW w:type="dxa" w:w="1204"/>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9"/>
                <w:szCs w:val="19"/>
              </w:rPr>
              <w:t xml:space="preserve">−17 %</w:t>
            </w:r>
          </w:p>
        </w:tc>
      </w:tr>
      <w:tr>
        <w:trPr>
          <w:cantSplit/>
        </w:trPr>
        <w:tc>
          <w:tcPr>
            <w:tcW w:type="dxa" w:w="9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9"/>
                <w:szCs w:val="19"/>
              </w:rPr>
              <w:t xml:space="preserve">DSC</w:t>
            </w:r>
          </w:p>
        </w:tc>
        <w:tc>
          <w:tcPr>
            <w:tcW w:type="dxa" w:w="22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9"/>
                <w:szCs w:val="19"/>
              </w:rPr>
              <w:t xml:space="preserve">Montaje del equipo</w:t>
            </w:r>
          </w:p>
        </w:tc>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9"/>
                <w:szCs w:val="19"/>
              </w:rPr>
              <w:t xml:space="preserve">T(1, 3, 12)</w:t>
            </w:r>
          </w:p>
        </w:tc>
        <w:tc>
          <w:tcPr>
            <w:tcW w:type="dxa" w:w="13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9"/>
                <w:szCs w:val="19"/>
              </w:rPr>
              <w:t xml:space="preserve">5,3</w:t>
            </w:r>
          </w:p>
        </w:tc>
        <w:tc>
          <w:tcPr>
            <w:tcW w:type="dxa" w:w="13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9"/>
                <w:szCs w:val="19"/>
              </w:rPr>
              <w:t xml:space="preserve">4,2</w:t>
            </w:r>
          </w:p>
        </w:tc>
        <w:tc>
          <w:tcPr>
            <w:tcW w:type="dxa" w:w="1204"/>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9"/>
                <w:szCs w:val="19"/>
              </w:rPr>
              <w:t xml:space="preserve">−22 %</w:t>
            </w:r>
          </w:p>
        </w:tc>
      </w:tr>
      <w:tr>
        <w:trPr>
          <w:cantSplit/>
        </w:trPr>
        <w:tc>
          <w:tcPr>
            <w:tcW w:type="dxa" w:w="9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9"/>
                <w:szCs w:val="19"/>
              </w:rPr>
              <w:t xml:space="preserve">DSC</w:t>
            </w:r>
          </w:p>
        </w:tc>
        <w:tc>
          <w:tcPr>
            <w:tcW w:type="dxa" w:w="22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9"/>
                <w:szCs w:val="19"/>
              </w:rPr>
              <w:t xml:space="preserve">Procesamiento de datos</w:t>
            </w:r>
          </w:p>
        </w:tc>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9"/>
                <w:szCs w:val="19"/>
              </w:rPr>
              <w:t xml:space="preserve">T(4, 9, 16)</w:t>
            </w:r>
          </w:p>
        </w:tc>
        <w:tc>
          <w:tcPr>
            <w:tcW w:type="dxa" w:w="13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9"/>
                <w:szCs w:val="19"/>
              </w:rPr>
              <w:t xml:space="preserve">9,7</w:t>
            </w:r>
          </w:p>
        </w:tc>
        <w:tc>
          <w:tcPr>
            <w:tcW w:type="dxa" w:w="13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9"/>
                <w:szCs w:val="19"/>
              </w:rPr>
              <w:t xml:space="preserve">9,3</w:t>
            </w:r>
          </w:p>
        </w:tc>
        <w:tc>
          <w:tcPr>
            <w:tcW w:type="dxa" w:w="1204"/>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9"/>
                <w:szCs w:val="19"/>
              </w:rPr>
              <w:t xml:space="preserve">−3 %</w:t>
            </w:r>
          </w:p>
        </w:tc>
      </w:tr>
      <w:tr>
        <w:trPr>
          <w:cantSplit/>
        </w:trPr>
        <w:tc>
          <w:tcPr>
            <w:tcW w:type="dxa" w:w="9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9"/>
                <w:szCs w:val="19"/>
              </w:rPr>
              <w:t xml:space="preserve">XRPD</w:t>
            </w:r>
          </w:p>
        </w:tc>
        <w:tc>
          <w:tcPr>
            <w:tcW w:type="dxa" w:w="22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9"/>
                <w:szCs w:val="19"/>
              </w:rPr>
              <w:t xml:space="preserve">Preparación de muestra</w:t>
            </w:r>
          </w:p>
        </w:tc>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9"/>
                <w:szCs w:val="19"/>
              </w:rPr>
              <w:t xml:space="preserve">T(5, 10, 20)</w:t>
            </w:r>
          </w:p>
        </w:tc>
        <w:tc>
          <w:tcPr>
            <w:tcW w:type="dxa" w:w="13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9"/>
                <w:szCs w:val="19"/>
              </w:rPr>
              <w:t xml:space="preserve">11,7</w:t>
            </w:r>
          </w:p>
        </w:tc>
        <w:tc>
          <w:tcPr>
            <w:tcW w:type="dxa" w:w="13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9"/>
                <w:szCs w:val="19"/>
              </w:rPr>
              <w:t xml:space="preserve">10,8</w:t>
            </w:r>
          </w:p>
        </w:tc>
        <w:tc>
          <w:tcPr>
            <w:tcW w:type="dxa" w:w="1204"/>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9"/>
                <w:szCs w:val="19"/>
              </w:rPr>
              <w:t xml:space="preserve">−7 %</w:t>
            </w:r>
          </w:p>
        </w:tc>
      </w:tr>
      <w:tr>
        <w:trPr>
          <w:cantSplit/>
        </w:trPr>
        <w:tc>
          <w:tcPr>
            <w:tcW w:type="dxa" w:w="9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9"/>
                <w:szCs w:val="19"/>
              </w:rPr>
              <w:t xml:space="preserve">XRPD</w:t>
            </w:r>
          </w:p>
        </w:tc>
        <w:tc>
          <w:tcPr>
            <w:tcW w:type="dxa" w:w="22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9"/>
                <w:szCs w:val="19"/>
              </w:rPr>
              <w:t xml:space="preserve">Montaje del equipo</w:t>
            </w:r>
          </w:p>
        </w:tc>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9"/>
                <w:szCs w:val="19"/>
              </w:rPr>
              <w:t xml:space="preserve">T(1, 5, 20)</w:t>
            </w:r>
          </w:p>
        </w:tc>
        <w:tc>
          <w:tcPr>
            <w:tcW w:type="dxa" w:w="13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9"/>
                <w:szCs w:val="19"/>
              </w:rPr>
              <w:t xml:space="preserve">8,7</w:t>
            </w:r>
          </w:p>
        </w:tc>
        <w:tc>
          <w:tcPr>
            <w:tcW w:type="dxa" w:w="13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9"/>
                <w:szCs w:val="19"/>
              </w:rPr>
              <w:t xml:space="preserve">6,8</w:t>
            </w:r>
          </w:p>
        </w:tc>
        <w:tc>
          <w:tcPr>
            <w:tcW w:type="dxa" w:w="1204"/>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9"/>
                <w:szCs w:val="19"/>
              </w:rPr>
              <w:t xml:space="preserve">−21 %</w:t>
            </w:r>
          </w:p>
        </w:tc>
      </w:tr>
      <w:tr>
        <w:trPr>
          <w:cantSplit/>
        </w:trPr>
        <w:tc>
          <w:tcPr>
            <w:tcW w:type="dxa" w:w="9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9"/>
                <w:szCs w:val="19"/>
              </w:rPr>
              <w:t xml:space="preserve">XRPD</w:t>
            </w:r>
          </w:p>
        </w:tc>
        <w:tc>
          <w:tcPr>
            <w:tcW w:type="dxa" w:w="22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9"/>
                <w:szCs w:val="19"/>
              </w:rPr>
              <w:t xml:space="preserve">Corrida</w:t>
            </w:r>
          </w:p>
        </w:tc>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9"/>
                <w:szCs w:val="19"/>
              </w:rPr>
              <w:t xml:space="preserve">T(11, 25, 203)</w:t>
            </w:r>
          </w:p>
        </w:tc>
        <w:tc>
          <w:tcPr>
            <w:tcW w:type="dxa" w:w="13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9"/>
                <w:szCs w:val="19"/>
              </w:rPr>
              <w:t xml:space="preserve">79,7</w:t>
            </w:r>
          </w:p>
        </w:tc>
        <w:tc>
          <w:tcPr>
            <w:tcW w:type="dxa" w:w="13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9"/>
                <w:szCs w:val="19"/>
              </w:rPr>
              <w:t xml:space="preserve">52,3</w:t>
            </w:r>
          </w:p>
        </w:tc>
        <w:tc>
          <w:tcPr>
            <w:tcW w:type="dxa" w:w="1204"/>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9"/>
                <w:szCs w:val="19"/>
              </w:rPr>
              <w:t xml:space="preserve">−34 %</w:t>
            </w:r>
          </w:p>
        </w:tc>
      </w:tr>
      <w:tr>
        <w:trPr>
          <w:cantSplit/>
        </w:trPr>
        <w:tc>
          <w:tcPr>
            <w:tcW w:type="dxa" w:w="950"/>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9"/>
                <w:szCs w:val="19"/>
              </w:rPr>
              <w:t xml:space="preserve">XRPD</w:t>
            </w:r>
          </w:p>
        </w:tc>
        <w:tc>
          <w:tcPr>
            <w:tcW w:type="dxa" w:w="2250"/>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9"/>
                <w:szCs w:val="19"/>
              </w:rPr>
              <w:t xml:space="preserve">Procesamiento de datos</w:t>
            </w:r>
          </w:p>
        </w:tc>
        <w:tc>
          <w:tcPr>
            <w:tcW w:type="dxa" w:w="1500"/>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9"/>
                <w:szCs w:val="19"/>
              </w:rPr>
              <w:t xml:space="preserve">T(2, 7, 30)</w:t>
            </w:r>
          </w:p>
        </w:tc>
        <w:tc>
          <w:tcPr>
            <w:tcW w:type="dxa" w:w="1350"/>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9"/>
                <w:szCs w:val="19"/>
              </w:rPr>
              <w:t xml:space="preserve">13,0</w:t>
            </w:r>
          </w:p>
        </w:tc>
        <w:tc>
          <w:tcPr>
            <w:tcW w:type="dxa" w:w="1300"/>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9"/>
                <w:szCs w:val="19"/>
              </w:rPr>
              <w:t xml:space="preserve">10,0</w:t>
            </w:r>
          </w:p>
        </w:tc>
        <w:tc>
          <w:tcPr>
            <w:tcW w:type="dxa" w:w="1204"/>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9"/>
                <w:szCs w:val="19"/>
              </w:rPr>
              <w:t xml:space="preserve">−23 %</w:t>
            </w:r>
          </w:p>
        </w:tc>
      </w:tr>
    </w:tbl>
    <w:p>
      <w:pPr>
        <w:spacing w:after="200" w:before="60" w:line="240"/>
        <w:jc w:val="left"/>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Minutos. Media triangular = (a + m + b)/3, igual a la de la BetaPERT con λ = 1; media PERT = (a + 4m + b)/6. Tres puntos: Costigliola et al. (2017, Tabla 3, p. 9016). No se incluyen las corridas deterministas de HPLC y GC ni las dos tareas uniformes. La preparación es por solución.</w:t>
      </w:r>
    </w:p>
    <w:p>
      <w:pPr>
        <w:pStyle w:val="Heading2"/>
        <w:keepNext/>
      </w:pPr>
      <w:r>
        <w:rPr>
          <w:rFonts w:ascii="Times New Roman" w:cs="Times New Roman" w:eastAsia="Times New Roman" w:hAnsi="Times New Roman"/>
          <w:b/>
          <w:bCs/>
          <w:sz w:val="24"/>
          <w:szCs w:val="24"/>
        </w:rPr>
        <w:t xml:space="preserve">1.4 Las dos tareas uniformes</w:t>
      </w:r>
    </w:p>
    <w:p>
      <w:pPr>
        <w:spacing w:after="120" w:before="0" w:line="288"/>
        <w:jc w:val="left"/>
      </w:pPr>
      <w:r>
        <w:rPr>
          <w:rFonts w:ascii="Times New Roman" w:cs="Times New Roman" w:eastAsia="Times New Roman" w:hAnsi="Times New Roman"/>
          <w:sz w:val="24"/>
          <w:szCs w:val="24"/>
        </w:rPr>
        <w:t xml:space="preserve">La fuente da dos tareas como uniformes: el montaje de PSA, U(1, 32), y la corrida de DSC, U(12, 180). La hoja «Duraciones» propone ponerles la moda en el punto medio para usar la BetaPERT, pero con λ = 4 eso las concentra alrededor del centro: la desviación del montaje de PSA bajaría de 8,9 a 5,9 minutos, y la de la corrida de DSC, de 48,5 a 31,7. Con λ = 0 la función reproduce la uniforme de la fuente sin cambiar nada más.</w:t>
      </w:r>
    </w:p>
    <w:p>
      <w:pPr>
        <w:pStyle w:val="Heading2"/>
        <w:keepNext/>
      </w:pPr>
      <w:r>
        <w:rPr>
          <w:rFonts w:ascii="Times New Roman" w:cs="Times New Roman" w:eastAsia="Times New Roman" w:hAnsi="Times New Roman"/>
          <w:b/>
          <w:bCs/>
          <w:sz w:val="24"/>
          <w:szCs w:val="24"/>
        </w:rPr>
        <w:t xml:space="preserve">1.5 La desviación exacta</w:t>
      </w:r>
    </w:p>
    <w:p>
      <w:pPr>
        <w:spacing w:after="120" w:before="0" w:line="288"/>
        <w:jc w:val="left"/>
      </w:pPr>
      <w:r>
        <w:rPr>
          <w:rFonts w:ascii="Times New Roman" w:cs="Times New Roman" w:eastAsia="Times New Roman" w:hAnsi="Times New Roman"/>
          <w:sz w:val="24"/>
          <w:szCs w:val="24"/>
        </w:rPr>
        <w:t xml:space="preserve">La hoja «Duraciones» calculaba la desviación con la regla (b − a)/6 de los libros de PERT, que es solo una aproximación. Ahora trae también la desviación exacta de la BetaPERT con λ = 4, √((media − a)(b − media)/7), que es la que reproduce la función; frente a la aproximación, la exacta va de −9 % a +13 % según la tarea.</w:t>
      </w:r>
    </w:p>
    <w:p>
      <w:pPr>
        <w:pStyle w:val="Heading2"/>
        <w:keepNext/>
      </w:pPr>
      <w:r>
        <w:rPr>
          <w:rFonts w:ascii="Times New Roman" w:cs="Times New Roman" w:eastAsia="Times New Roman" w:hAnsi="Times New Roman"/>
          <w:b/>
          <w:bCs/>
          <w:sz w:val="24"/>
          <w:szCs w:val="24"/>
        </w:rPr>
        <w:t xml:space="preserve">1.6 Pruebas</w:t>
      </w:r>
    </w:p>
    <w:p>
      <w:pPr>
        <w:keepNext/>
        <w:spacing w:after="120" w:before="0" w:line="288"/>
        <w:jc w:val="left"/>
      </w:pPr>
      <w:r>
        <w:rPr>
          <w:rFonts w:ascii="Times New Roman" w:cs="Times New Roman" w:eastAsia="Times New Roman" w:hAnsi="Times New Roman"/>
          <w:sz w:val="24"/>
          <w:szCs w:val="24"/>
        </w:rPr>
        <w:t xml:space="preserve">Cualquier muestra BetaPERT debe cumplir dos propiedades: todos los valores quedan entre a y b, y la media se acerca a (a + 4m + b)/6. La prueba las verifica en las 22 tareas de la hoja «Duraciones» a la vez, con 100 000 valores por tarea y una semilla fija. La media simulada no tiene que ser idéntica a la fórmula: se acepta si queda a menos de cinco errores estándar, σ/√n, calculados con la desviación exacta de la sección 1.5. Con ese margen, una falsa alarma tiene una probabilidad menor que una en un millón por tarea, y el error permitido es pequeño: en la preparación de HPLC, 0,3 minutos sobre 44,2. La Tabla 2 muestra el resultado con λ = 4; la misma prueba se corre con λ = 1 y λ = 0, contra sus propias fórmulas.</w:t>
      </w:r>
    </w:p>
    <w:p>
      <w:pPr>
        <w:keepNext/>
        <w:spacing w:after="0" w:before="200" w:line="288"/>
        <w:jc w:val="left"/>
      </w:pPr>
      <w:r>
        <w:rPr>
          <w:rFonts w:ascii="Times New Roman" w:cs="Times New Roman" w:eastAsia="Times New Roman" w:hAnsi="Times New Roman"/>
          <w:b/>
          <w:bCs/>
          <w:sz w:val="24"/>
          <w:szCs w:val="24"/>
        </w:rPr>
        <w:t xml:space="preserve">Tabla 2</w:t>
      </w:r>
    </w:p>
    <w:p>
      <w:pPr>
        <w:keepNext/>
        <w:spacing w:after="80" w:before="0" w:line="288"/>
        <w:jc w:val="left"/>
      </w:pPr>
      <w:r>
        <w:rPr>
          <w:rFonts w:ascii="Times New Roman" w:cs="Times New Roman" w:eastAsia="Times New Roman" w:hAnsi="Times New Roman"/>
          <w:i/>
          <w:iCs/>
          <w:sz w:val="24"/>
          <w:szCs w:val="24"/>
        </w:rPr>
        <w:t xml:space="preserve">Rango y media de las tareas en la prueba con λ = 4</w:t>
      </w:r>
    </w:p>
    <w:tbl>
      <w:tblPr>
        <w:tblW w:type="dxa" w:w="8554"/>
        <w:tblBorders>
          <w:top w:val="none" w:color="FFFFFF" w:sz="0"/>
          <w:left w:val="none" w:color="FFFFFF" w:sz="0"/>
          <w:bottom w:val="none" w:color="FFFFFF" w:sz="0"/>
          <w:right w:val="none" w:color="FFFFFF" w:sz="0"/>
          <w:insideH w:val="none" w:color="FFFFFF" w:sz="0"/>
          <w:insideV w:val="none" w:color="FFFFFF" w:sz="0"/>
        </w:tblBorders>
      </w:tblPr>
      <w:tblGrid>
        <w:gridCol w:w="2600"/>
        <w:gridCol w:w="1100"/>
        <w:gridCol w:w="1250"/>
        <w:gridCol w:w="1150"/>
        <w:gridCol w:w="1250"/>
        <w:gridCol w:w="1204"/>
      </w:tblGrid>
      <w:tr>
        <w:trPr>
          <w:cantSplit/>
          <w:tblHeader/>
        </w:trPr>
        <w:tc>
          <w:tcPr>
            <w:tcW w:type="dxa" w:w="2600"/>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bCs/>
                <w:sz w:val="18"/>
                <w:szCs w:val="18"/>
              </w:rPr>
              <w:t xml:space="preserve">Tarea</w:t>
            </w:r>
          </w:p>
        </w:tc>
        <w:tc>
          <w:tcPr>
            <w:tcW w:type="dxa" w:w="1100"/>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bCs/>
                <w:sz w:val="18"/>
                <w:szCs w:val="18"/>
              </w:rPr>
              <w:t xml:space="preserve">Rango [a, b]</w:t>
            </w:r>
          </w:p>
        </w:tc>
        <w:tc>
          <w:tcPr>
            <w:tcW w:type="dxa" w:w="1250"/>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bCs/>
                <w:sz w:val="18"/>
                <w:szCs w:val="18"/>
              </w:rPr>
              <w:t xml:space="preserve">Media (a + 4m + b)/6</w:t>
            </w:r>
          </w:p>
        </w:tc>
        <w:tc>
          <w:tcPr>
            <w:tcW w:type="dxa" w:w="1150"/>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bCs/>
                <w:sz w:val="18"/>
                <w:szCs w:val="18"/>
              </w:rPr>
              <w:t xml:space="preserve">Media simulada</w:t>
            </w:r>
          </w:p>
        </w:tc>
        <w:tc>
          <w:tcPr>
            <w:tcW w:type="dxa" w:w="1250"/>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bCs/>
                <w:sz w:val="18"/>
                <w:szCs w:val="18"/>
              </w:rPr>
              <w:t xml:space="preserve">Diferencia (errores estándar)</w:t>
            </w:r>
          </w:p>
        </w:tc>
        <w:tc>
          <w:tcPr>
            <w:tcW w:type="dxa" w:w="1204"/>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bCs/>
                <w:sz w:val="18"/>
                <w:szCs w:val="18"/>
              </w:rPr>
              <w:t xml:space="preserve">Mínimo y máximo simulados</w:t>
            </w:r>
          </w:p>
        </w:tc>
      </w:tr>
      <w:tr>
        <w:trPr>
          <w:cantSplit/>
        </w:trPr>
        <w:tc>
          <w:tcPr>
            <w:tcW w:type="dxa" w:w="26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18"/>
                <w:szCs w:val="18"/>
              </w:rPr>
              <w:t xml:space="preserve">HPLC · Preparación de muestra</w:t>
            </w:r>
          </w:p>
        </w:tc>
        <w:tc>
          <w:tcPr>
            <w:tcW w:type="dxa" w:w="11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8"/>
                <w:szCs w:val="18"/>
              </w:rPr>
              <w:t xml:space="preserve">5–100</w:t>
            </w:r>
          </w:p>
        </w:tc>
        <w:tc>
          <w:tcPr>
            <w:tcW w:type="dxa" w:w="12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8"/>
                <w:szCs w:val="18"/>
              </w:rPr>
              <w:t xml:space="preserve">44,17</w:t>
            </w:r>
          </w:p>
        </w:tc>
        <w:tc>
          <w:tcPr>
            <w:tcW w:type="dxa" w:w="1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8"/>
                <w:szCs w:val="18"/>
              </w:rPr>
              <w:t xml:space="preserve">44,27</w:t>
            </w:r>
          </w:p>
        </w:tc>
        <w:tc>
          <w:tcPr>
            <w:tcW w:type="dxa" w:w="12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8"/>
                <w:szCs w:val="18"/>
              </w:rPr>
              <w:t xml:space="preserve">+1,8</w:t>
            </w:r>
          </w:p>
        </w:tc>
        <w:tc>
          <w:tcPr>
            <w:tcW w:type="dxa" w:w="120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8"/>
                <w:szCs w:val="18"/>
              </w:rPr>
              <w:t xml:space="preserve">5,3–98,0</w:t>
            </w:r>
          </w:p>
        </w:tc>
      </w:tr>
      <w:tr>
        <w:trPr>
          <w:cantSplit/>
        </w:trPr>
        <w:tc>
          <w:tcPr>
            <w:tcW w:type="dxa" w:w="26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HPLC · Montaje del equipo</w:t>
            </w:r>
          </w:p>
        </w:tc>
        <w:tc>
          <w:tcPr>
            <w:tcW w:type="dxa" w:w="11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25–65</w:t>
            </w:r>
          </w:p>
        </w:tc>
        <w:tc>
          <w:tcPr>
            <w:tcW w:type="dxa" w:w="12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48,33</w:t>
            </w:r>
          </w:p>
        </w:tc>
        <w:tc>
          <w:tcPr>
            <w:tcW w:type="dxa" w:w="1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48,34</w:t>
            </w:r>
          </w:p>
        </w:tc>
        <w:tc>
          <w:tcPr>
            <w:tcW w:type="dxa" w:w="12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+0,1</w:t>
            </w:r>
          </w:p>
        </w:tc>
        <w:tc>
          <w:tcPr>
            <w:tcW w:type="dxa" w:w="1204"/>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25,8–64,8</w:t>
            </w:r>
          </w:p>
        </w:tc>
      </w:tr>
      <w:tr>
        <w:trPr>
          <w:cantSplit/>
        </w:trPr>
        <w:tc>
          <w:tcPr>
            <w:tcW w:type="dxa" w:w="26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HPLC · Procesamiento de datos</w:t>
            </w:r>
          </w:p>
        </w:tc>
        <w:tc>
          <w:tcPr>
            <w:tcW w:type="dxa" w:w="11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2–10</w:t>
            </w:r>
          </w:p>
        </w:tc>
        <w:tc>
          <w:tcPr>
            <w:tcW w:type="dxa" w:w="12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5,33</w:t>
            </w:r>
          </w:p>
        </w:tc>
        <w:tc>
          <w:tcPr>
            <w:tcW w:type="dxa" w:w="1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5,34</w:t>
            </w:r>
          </w:p>
        </w:tc>
        <w:tc>
          <w:tcPr>
            <w:tcW w:type="dxa" w:w="12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+1,0</w:t>
            </w:r>
          </w:p>
        </w:tc>
        <w:tc>
          <w:tcPr>
            <w:tcW w:type="dxa" w:w="1204"/>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2,0–9,8</w:t>
            </w:r>
          </w:p>
        </w:tc>
      </w:tr>
      <w:tr>
        <w:trPr>
          <w:cantSplit/>
        </w:trPr>
        <w:tc>
          <w:tcPr>
            <w:tcW w:type="dxa" w:w="26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GC · Preparación de muestra</w:t>
            </w:r>
          </w:p>
        </w:tc>
        <w:tc>
          <w:tcPr>
            <w:tcW w:type="dxa" w:w="11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5–35</w:t>
            </w:r>
          </w:p>
        </w:tc>
        <w:tc>
          <w:tcPr>
            <w:tcW w:type="dxa" w:w="12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13,33</w:t>
            </w:r>
          </w:p>
        </w:tc>
        <w:tc>
          <w:tcPr>
            <w:tcW w:type="dxa" w:w="1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13,32</w:t>
            </w:r>
          </w:p>
        </w:tc>
        <w:tc>
          <w:tcPr>
            <w:tcW w:type="dxa" w:w="12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−0,6</w:t>
            </w:r>
          </w:p>
        </w:tc>
        <w:tc>
          <w:tcPr>
            <w:tcW w:type="dxa" w:w="1204"/>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5,0–33,8</w:t>
            </w:r>
          </w:p>
        </w:tc>
      </w:tr>
      <w:tr>
        <w:trPr>
          <w:cantSplit/>
        </w:trPr>
        <w:tc>
          <w:tcPr>
            <w:tcW w:type="dxa" w:w="26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GC · Montaje del equipo</w:t>
            </w:r>
          </w:p>
        </w:tc>
        <w:tc>
          <w:tcPr>
            <w:tcW w:type="dxa" w:w="11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2–30</w:t>
            </w:r>
          </w:p>
        </w:tc>
        <w:tc>
          <w:tcPr>
            <w:tcW w:type="dxa" w:w="12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8,67</w:t>
            </w:r>
          </w:p>
        </w:tc>
        <w:tc>
          <w:tcPr>
            <w:tcW w:type="dxa" w:w="1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8,66</w:t>
            </w:r>
          </w:p>
        </w:tc>
        <w:tc>
          <w:tcPr>
            <w:tcW w:type="dxa" w:w="12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−0,2</w:t>
            </w:r>
          </w:p>
        </w:tc>
        <w:tc>
          <w:tcPr>
            <w:tcW w:type="dxa" w:w="1204"/>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2,0–28,1</w:t>
            </w:r>
          </w:p>
        </w:tc>
      </w:tr>
      <w:tr>
        <w:trPr>
          <w:cantSplit/>
        </w:trPr>
        <w:tc>
          <w:tcPr>
            <w:tcW w:type="dxa" w:w="26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GC · Procesamiento de datos</w:t>
            </w:r>
          </w:p>
        </w:tc>
        <w:tc>
          <w:tcPr>
            <w:tcW w:type="dxa" w:w="11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10–45</w:t>
            </w:r>
          </w:p>
        </w:tc>
        <w:tc>
          <w:tcPr>
            <w:tcW w:type="dxa" w:w="12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22,50</w:t>
            </w:r>
          </w:p>
        </w:tc>
        <w:tc>
          <w:tcPr>
            <w:tcW w:type="dxa" w:w="1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22,47</w:t>
            </w:r>
          </w:p>
        </w:tc>
        <w:tc>
          <w:tcPr>
            <w:tcW w:type="dxa" w:w="12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−1,4</w:t>
            </w:r>
          </w:p>
        </w:tc>
        <w:tc>
          <w:tcPr>
            <w:tcW w:type="dxa" w:w="1204"/>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10,1–43,8</w:t>
            </w:r>
          </w:p>
        </w:tc>
      </w:tr>
      <w:tr>
        <w:trPr>
          <w:cantSplit/>
        </w:trPr>
        <w:tc>
          <w:tcPr>
            <w:tcW w:type="dxa" w:w="26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PSA · Preparación de muestra</w:t>
            </w:r>
          </w:p>
        </w:tc>
        <w:tc>
          <w:tcPr>
            <w:tcW w:type="dxa" w:w="11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5–21</w:t>
            </w:r>
          </w:p>
        </w:tc>
        <w:tc>
          <w:tcPr>
            <w:tcW w:type="dxa" w:w="12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9,33</w:t>
            </w:r>
          </w:p>
        </w:tc>
        <w:tc>
          <w:tcPr>
            <w:tcW w:type="dxa" w:w="1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9,33</w:t>
            </w:r>
          </w:p>
        </w:tc>
        <w:tc>
          <w:tcPr>
            <w:tcW w:type="dxa" w:w="12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+0,2</w:t>
            </w:r>
          </w:p>
        </w:tc>
        <w:tc>
          <w:tcPr>
            <w:tcW w:type="dxa" w:w="1204"/>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5,0–20,3</w:t>
            </w:r>
          </w:p>
        </w:tc>
      </w:tr>
      <w:tr>
        <w:trPr>
          <w:cantSplit/>
        </w:trPr>
        <w:tc>
          <w:tcPr>
            <w:tcW w:type="dxa" w:w="26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PSA · Montaje del equipo</w:t>
            </w:r>
          </w:p>
        </w:tc>
        <w:tc>
          <w:tcPr>
            <w:tcW w:type="dxa" w:w="11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1–32</w:t>
            </w:r>
          </w:p>
        </w:tc>
        <w:tc>
          <w:tcPr>
            <w:tcW w:type="dxa" w:w="12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16,50</w:t>
            </w:r>
          </w:p>
        </w:tc>
        <w:tc>
          <w:tcPr>
            <w:tcW w:type="dxa" w:w="1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16,52</w:t>
            </w:r>
          </w:p>
        </w:tc>
        <w:tc>
          <w:tcPr>
            <w:tcW w:type="dxa" w:w="12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+1,0</w:t>
            </w:r>
          </w:p>
        </w:tc>
        <w:tc>
          <w:tcPr>
            <w:tcW w:type="dxa" w:w="1204"/>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1,2–31,8</w:t>
            </w:r>
          </w:p>
        </w:tc>
      </w:tr>
      <w:tr>
        <w:trPr>
          <w:cantSplit/>
        </w:trPr>
        <w:tc>
          <w:tcPr>
            <w:tcW w:type="dxa" w:w="26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PSA · Corrida</w:t>
            </w:r>
          </w:p>
        </w:tc>
        <w:tc>
          <w:tcPr>
            <w:tcW w:type="dxa" w:w="11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5–30</w:t>
            </w:r>
          </w:p>
        </w:tc>
        <w:tc>
          <w:tcPr>
            <w:tcW w:type="dxa" w:w="12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12,50</w:t>
            </w:r>
          </w:p>
        </w:tc>
        <w:tc>
          <w:tcPr>
            <w:tcW w:type="dxa" w:w="1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12,50</w:t>
            </w:r>
          </w:p>
        </w:tc>
        <w:tc>
          <w:tcPr>
            <w:tcW w:type="dxa" w:w="12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−0,3</w:t>
            </w:r>
          </w:p>
        </w:tc>
        <w:tc>
          <w:tcPr>
            <w:tcW w:type="dxa" w:w="1204"/>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5,0–28,3</w:t>
            </w:r>
          </w:p>
        </w:tc>
      </w:tr>
      <w:tr>
        <w:trPr>
          <w:cantSplit/>
        </w:trPr>
        <w:tc>
          <w:tcPr>
            <w:tcW w:type="dxa" w:w="26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PSA · Procesamiento de datos</w:t>
            </w:r>
          </w:p>
        </w:tc>
        <w:tc>
          <w:tcPr>
            <w:tcW w:type="dxa" w:w="11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2–10</w:t>
            </w:r>
          </w:p>
        </w:tc>
        <w:tc>
          <w:tcPr>
            <w:tcW w:type="dxa" w:w="12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6,00</w:t>
            </w:r>
          </w:p>
        </w:tc>
        <w:tc>
          <w:tcPr>
            <w:tcW w:type="dxa" w:w="1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6,00</w:t>
            </w:r>
          </w:p>
        </w:tc>
        <w:tc>
          <w:tcPr>
            <w:tcW w:type="dxa" w:w="12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−0,2</w:t>
            </w:r>
          </w:p>
        </w:tc>
        <w:tc>
          <w:tcPr>
            <w:tcW w:type="dxa" w:w="1204"/>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2,1–9,9</w:t>
            </w:r>
          </w:p>
        </w:tc>
      </w:tr>
      <w:tr>
        <w:trPr>
          <w:cantSplit/>
        </w:trPr>
        <w:tc>
          <w:tcPr>
            <w:tcW w:type="dxa" w:w="26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KF · Preparación de muestra</w:t>
            </w:r>
          </w:p>
        </w:tc>
        <w:tc>
          <w:tcPr>
            <w:tcW w:type="dxa" w:w="11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1–25</w:t>
            </w:r>
          </w:p>
        </w:tc>
        <w:tc>
          <w:tcPr>
            <w:tcW w:type="dxa" w:w="12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8,33</w:t>
            </w:r>
          </w:p>
        </w:tc>
        <w:tc>
          <w:tcPr>
            <w:tcW w:type="dxa" w:w="1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8,34</w:t>
            </w:r>
          </w:p>
        </w:tc>
        <w:tc>
          <w:tcPr>
            <w:tcW w:type="dxa" w:w="12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+0,4</w:t>
            </w:r>
          </w:p>
        </w:tc>
        <w:tc>
          <w:tcPr>
            <w:tcW w:type="dxa" w:w="1204"/>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1,0–24,3</w:t>
            </w:r>
          </w:p>
        </w:tc>
      </w:tr>
      <w:tr>
        <w:trPr>
          <w:cantSplit/>
        </w:trPr>
        <w:tc>
          <w:tcPr>
            <w:tcW w:type="dxa" w:w="26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KF · Montaje del equipo</w:t>
            </w:r>
          </w:p>
        </w:tc>
        <w:tc>
          <w:tcPr>
            <w:tcW w:type="dxa" w:w="11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4–16</w:t>
            </w:r>
          </w:p>
        </w:tc>
        <w:tc>
          <w:tcPr>
            <w:tcW w:type="dxa" w:w="12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8,67</w:t>
            </w:r>
          </w:p>
        </w:tc>
        <w:tc>
          <w:tcPr>
            <w:tcW w:type="dxa" w:w="1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8,66</w:t>
            </w:r>
          </w:p>
        </w:tc>
        <w:tc>
          <w:tcPr>
            <w:tcW w:type="dxa" w:w="12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−1,6</w:t>
            </w:r>
          </w:p>
        </w:tc>
        <w:tc>
          <w:tcPr>
            <w:tcW w:type="dxa" w:w="1204"/>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4,0–15,6</w:t>
            </w:r>
          </w:p>
        </w:tc>
      </w:tr>
      <w:tr>
        <w:trPr>
          <w:cantSplit/>
        </w:trPr>
        <w:tc>
          <w:tcPr>
            <w:tcW w:type="dxa" w:w="26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KF · Corrida</w:t>
            </w:r>
          </w:p>
        </w:tc>
        <w:tc>
          <w:tcPr>
            <w:tcW w:type="dxa" w:w="11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2–56</w:t>
            </w:r>
          </w:p>
        </w:tc>
        <w:tc>
          <w:tcPr>
            <w:tcW w:type="dxa" w:w="12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13,00</w:t>
            </w:r>
          </w:p>
        </w:tc>
        <w:tc>
          <w:tcPr>
            <w:tcW w:type="dxa" w:w="1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13,02</w:t>
            </w:r>
          </w:p>
        </w:tc>
        <w:tc>
          <w:tcPr>
            <w:tcW w:type="dxa" w:w="12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+0,9</w:t>
            </w:r>
          </w:p>
        </w:tc>
        <w:tc>
          <w:tcPr>
            <w:tcW w:type="dxa" w:w="1204"/>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2,0–51,6</w:t>
            </w:r>
          </w:p>
        </w:tc>
      </w:tr>
      <w:tr>
        <w:trPr>
          <w:cantSplit/>
        </w:trPr>
        <w:tc>
          <w:tcPr>
            <w:tcW w:type="dxa" w:w="26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KF · Procesamiento de datos</w:t>
            </w:r>
          </w:p>
        </w:tc>
        <w:tc>
          <w:tcPr>
            <w:tcW w:type="dxa" w:w="11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10–30</w:t>
            </w:r>
          </w:p>
        </w:tc>
        <w:tc>
          <w:tcPr>
            <w:tcW w:type="dxa" w:w="12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20,00</w:t>
            </w:r>
          </w:p>
        </w:tc>
        <w:tc>
          <w:tcPr>
            <w:tcW w:type="dxa" w:w="1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20,01</w:t>
            </w:r>
          </w:p>
        </w:tc>
        <w:tc>
          <w:tcPr>
            <w:tcW w:type="dxa" w:w="12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+0,5</w:t>
            </w:r>
          </w:p>
        </w:tc>
        <w:tc>
          <w:tcPr>
            <w:tcW w:type="dxa" w:w="1204"/>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10,2–29,9</w:t>
            </w:r>
          </w:p>
        </w:tc>
      </w:tr>
      <w:tr>
        <w:trPr>
          <w:cantSplit/>
        </w:trPr>
        <w:tc>
          <w:tcPr>
            <w:tcW w:type="dxa" w:w="26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DSC · Preparación de muestra</w:t>
            </w:r>
          </w:p>
        </w:tc>
        <w:tc>
          <w:tcPr>
            <w:tcW w:type="dxa" w:w="11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5–30</w:t>
            </w:r>
          </w:p>
        </w:tc>
        <w:tc>
          <w:tcPr>
            <w:tcW w:type="dxa" w:w="12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12,50</w:t>
            </w:r>
          </w:p>
        </w:tc>
        <w:tc>
          <w:tcPr>
            <w:tcW w:type="dxa" w:w="1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12,48</w:t>
            </w:r>
          </w:p>
        </w:tc>
        <w:tc>
          <w:tcPr>
            <w:tcW w:type="dxa" w:w="12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−1,1</w:t>
            </w:r>
          </w:p>
        </w:tc>
        <w:tc>
          <w:tcPr>
            <w:tcW w:type="dxa" w:w="1204"/>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5,0–28,6</w:t>
            </w:r>
          </w:p>
        </w:tc>
      </w:tr>
      <w:tr>
        <w:trPr>
          <w:cantSplit/>
        </w:trPr>
        <w:tc>
          <w:tcPr>
            <w:tcW w:type="dxa" w:w="26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DSC · Montaje del equipo</w:t>
            </w:r>
          </w:p>
        </w:tc>
        <w:tc>
          <w:tcPr>
            <w:tcW w:type="dxa" w:w="11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1–12</w:t>
            </w:r>
          </w:p>
        </w:tc>
        <w:tc>
          <w:tcPr>
            <w:tcW w:type="dxa" w:w="12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4,17</w:t>
            </w:r>
          </w:p>
        </w:tc>
        <w:tc>
          <w:tcPr>
            <w:tcW w:type="dxa" w:w="1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4,17</w:t>
            </w:r>
          </w:p>
        </w:tc>
        <w:tc>
          <w:tcPr>
            <w:tcW w:type="dxa" w:w="12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+0,6</w:t>
            </w:r>
          </w:p>
        </w:tc>
        <w:tc>
          <w:tcPr>
            <w:tcW w:type="dxa" w:w="1204"/>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1,0–11,5</w:t>
            </w:r>
          </w:p>
        </w:tc>
      </w:tr>
      <w:tr>
        <w:trPr>
          <w:cantSplit/>
        </w:trPr>
        <w:tc>
          <w:tcPr>
            <w:tcW w:type="dxa" w:w="26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DSC · Corrida</w:t>
            </w:r>
          </w:p>
        </w:tc>
        <w:tc>
          <w:tcPr>
            <w:tcW w:type="dxa" w:w="11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12–180</w:t>
            </w:r>
          </w:p>
        </w:tc>
        <w:tc>
          <w:tcPr>
            <w:tcW w:type="dxa" w:w="12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96,00</w:t>
            </w:r>
          </w:p>
        </w:tc>
        <w:tc>
          <w:tcPr>
            <w:tcW w:type="dxa" w:w="1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96,16</w:t>
            </w:r>
          </w:p>
        </w:tc>
        <w:tc>
          <w:tcPr>
            <w:tcW w:type="dxa" w:w="12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+1,6</w:t>
            </w:r>
          </w:p>
        </w:tc>
        <w:tc>
          <w:tcPr>
            <w:tcW w:type="dxa" w:w="1204"/>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13,8–177,8</w:t>
            </w:r>
          </w:p>
        </w:tc>
      </w:tr>
      <w:tr>
        <w:trPr>
          <w:cantSplit/>
        </w:trPr>
        <w:tc>
          <w:tcPr>
            <w:tcW w:type="dxa" w:w="26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DSC · Procesamiento de datos</w:t>
            </w:r>
          </w:p>
        </w:tc>
        <w:tc>
          <w:tcPr>
            <w:tcW w:type="dxa" w:w="11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4–16</w:t>
            </w:r>
          </w:p>
        </w:tc>
        <w:tc>
          <w:tcPr>
            <w:tcW w:type="dxa" w:w="12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9,33</w:t>
            </w:r>
          </w:p>
        </w:tc>
        <w:tc>
          <w:tcPr>
            <w:tcW w:type="dxa" w:w="1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9,34</w:t>
            </w:r>
          </w:p>
        </w:tc>
        <w:tc>
          <w:tcPr>
            <w:tcW w:type="dxa" w:w="12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+0,8</w:t>
            </w:r>
          </w:p>
        </w:tc>
        <w:tc>
          <w:tcPr>
            <w:tcW w:type="dxa" w:w="1204"/>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4,0–15,7</w:t>
            </w:r>
          </w:p>
        </w:tc>
      </w:tr>
      <w:tr>
        <w:trPr>
          <w:cantSplit/>
        </w:trPr>
        <w:tc>
          <w:tcPr>
            <w:tcW w:type="dxa" w:w="26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XRPD · Preparación de muestra</w:t>
            </w:r>
          </w:p>
        </w:tc>
        <w:tc>
          <w:tcPr>
            <w:tcW w:type="dxa" w:w="11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5–20</w:t>
            </w:r>
          </w:p>
        </w:tc>
        <w:tc>
          <w:tcPr>
            <w:tcW w:type="dxa" w:w="12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10,83</w:t>
            </w:r>
          </w:p>
        </w:tc>
        <w:tc>
          <w:tcPr>
            <w:tcW w:type="dxa" w:w="1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10,84</w:t>
            </w:r>
          </w:p>
        </w:tc>
        <w:tc>
          <w:tcPr>
            <w:tcW w:type="dxa" w:w="12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+1,2</w:t>
            </w:r>
          </w:p>
        </w:tc>
        <w:tc>
          <w:tcPr>
            <w:tcW w:type="dxa" w:w="1204"/>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5,1–19,6</w:t>
            </w:r>
          </w:p>
        </w:tc>
      </w:tr>
      <w:tr>
        <w:trPr>
          <w:cantSplit/>
        </w:trPr>
        <w:tc>
          <w:tcPr>
            <w:tcW w:type="dxa" w:w="26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XRPD · Montaje del equipo</w:t>
            </w:r>
          </w:p>
        </w:tc>
        <w:tc>
          <w:tcPr>
            <w:tcW w:type="dxa" w:w="11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1–20</w:t>
            </w:r>
          </w:p>
        </w:tc>
        <w:tc>
          <w:tcPr>
            <w:tcW w:type="dxa" w:w="12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6,83</w:t>
            </w:r>
          </w:p>
        </w:tc>
        <w:tc>
          <w:tcPr>
            <w:tcW w:type="dxa" w:w="1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6,83</w:t>
            </w:r>
          </w:p>
        </w:tc>
        <w:tc>
          <w:tcPr>
            <w:tcW w:type="dxa" w:w="12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−0,7</w:t>
            </w:r>
          </w:p>
        </w:tc>
        <w:tc>
          <w:tcPr>
            <w:tcW w:type="dxa" w:w="1204"/>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1,0–19,4</w:t>
            </w:r>
          </w:p>
        </w:tc>
      </w:tr>
      <w:tr>
        <w:trPr>
          <w:cantSplit/>
        </w:trPr>
        <w:tc>
          <w:tcPr>
            <w:tcW w:type="dxa" w:w="26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XRPD · Corrida</w:t>
            </w:r>
          </w:p>
        </w:tc>
        <w:tc>
          <w:tcPr>
            <w:tcW w:type="dxa" w:w="11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11–203</w:t>
            </w:r>
          </w:p>
        </w:tc>
        <w:tc>
          <w:tcPr>
            <w:tcW w:type="dxa" w:w="12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52,33</w:t>
            </w:r>
          </w:p>
        </w:tc>
        <w:tc>
          <w:tcPr>
            <w:tcW w:type="dxa" w:w="1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52,54</w:t>
            </w:r>
          </w:p>
        </w:tc>
        <w:tc>
          <w:tcPr>
            <w:tcW w:type="dxa" w:w="12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+2,2</w:t>
            </w:r>
          </w:p>
        </w:tc>
        <w:tc>
          <w:tcPr>
            <w:tcW w:type="dxa" w:w="1204"/>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11,0–192,0</w:t>
            </w:r>
          </w:p>
        </w:tc>
      </w:tr>
      <w:tr>
        <w:trPr>
          <w:cantSplit/>
        </w:trPr>
        <w:tc>
          <w:tcPr>
            <w:tcW w:type="dxa" w:w="2600"/>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XRPD · Procesamiento de datos</w:t>
            </w:r>
          </w:p>
        </w:tc>
        <w:tc>
          <w:tcPr>
            <w:tcW w:type="dxa" w:w="1100"/>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2–30</w:t>
            </w:r>
          </w:p>
        </w:tc>
        <w:tc>
          <w:tcPr>
            <w:tcW w:type="dxa" w:w="1250"/>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10,00</w:t>
            </w:r>
          </w:p>
        </w:tc>
        <w:tc>
          <w:tcPr>
            <w:tcW w:type="dxa" w:w="1150"/>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9,99</w:t>
            </w:r>
          </w:p>
        </w:tc>
        <w:tc>
          <w:tcPr>
            <w:tcW w:type="dxa" w:w="1250"/>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−0,4</w:t>
            </w:r>
          </w:p>
        </w:tc>
        <w:tc>
          <w:tcPr>
            <w:tcW w:type="dxa" w:w="1204"/>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2,0–29,1</w:t>
            </w:r>
          </w:p>
        </w:tc>
      </w:tr>
    </w:tbl>
    <w:p>
      <w:pPr>
        <w:spacing w:after="200" w:before="60" w:line="240"/>
        <w:jc w:val="left"/>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Minutos; 100 000 valores por tarea con la semilla 2026, los mismos de tests/test_duraciones.py. Se acepta una diferencia de hasta cinco errores estándar. En el montaje de PSA y la corrida de DSC, que la fuente da como uniformes, la moda es el punto medio que propone la hoja «Duraciones».</w:t>
      </w:r>
    </w:p>
    <w:p>
      <w:pPr>
        <w:spacing w:after="120" w:before="0" w:line="288"/>
        <w:jc w:val="left"/>
      </w:pPr>
      <w:r>
        <w:rPr>
          <w:rFonts w:ascii="Times New Roman" w:cs="Times New Roman" w:eastAsia="Times New Roman" w:hAnsi="Times New Roman"/>
          <w:sz w:val="24"/>
          <w:szCs w:val="24"/>
        </w:rPr>
        <w:t xml:space="preserve">Una prueba que siempre pasa no sirve. Para comprobar que esta no lo es, se le da la triangular de la fuente en lugar de la BetaPERT: la rechaza en 18 de las 20 tareas triangulares y solo la acepta en las dos simétricas, el procesamiento de PSA y el de KF, donde las dos medias coinciden. Es decir, la prueba distingue la PERT clásica de la triangular, que es la diferencia de la sección 1.3.</w:t>
      </w:r>
    </w:p>
    <w:p>
      <w:pPr>
        <w:spacing w:after="120" w:before="0" w:line="288"/>
        <w:jc w:val="left"/>
      </w:pPr>
      <w:r>
        <w:rPr>
          <w:rFonts w:ascii="Times New Roman" w:cs="Times New Roman" w:eastAsia="Times New Roman" w:hAnsi="Times New Roman"/>
          <w:sz w:val="24"/>
          <w:szCs w:val="24"/>
        </w:rPr>
        <w:t xml:space="preserve">Las demás pruebas de tests/test_duraciones.py comprueban la varianza, la moda, el ajuste a la beta reescalada (prueba de Kolmogorov-Smirnov), que la misma semilla dé los mismos valores, el trabajo con muchos casos a la vez, los casos límite (duración fija y moda en un extremo), el rechazo de tres puntos sin sentido, λ = 1 y λ = 0, el cuantil inverso y que las columnas de la hoja «Duraciones» coincidan con la función.</w:t>
      </w:r>
    </w:p>
    <w:p>
      <w:pPr>
        <w:pStyle w:val="Heading2"/>
        <w:keepNext/>
      </w:pPr>
      <w:r>
        <w:rPr>
          <w:rFonts w:ascii="Times New Roman" w:cs="Times New Roman" w:eastAsia="Times New Roman" w:hAnsi="Times New Roman"/>
          <w:b/>
          <w:bCs/>
          <w:sz w:val="24"/>
          <w:szCs w:val="24"/>
        </w:rPr>
        <w:t xml:space="preserve">1.7 La duración de un ensayo</w:t>
      </w:r>
    </w:p>
    <w:p>
      <w:pPr>
        <w:spacing w:after="120" w:before="0" w:line="288"/>
        <w:jc w:val="left"/>
      </w:pPr>
      <w:r>
        <w:rPr>
          <w:rFonts w:ascii="Times New Roman" w:cs="Times New Roman" w:eastAsia="Times New Roman" w:hAnsi="Times New Roman"/>
          <w:sz w:val="24"/>
          <w:szCs w:val="24"/>
        </w:rPr>
        <w:t xml:space="preserve">La función muestrear_ensayo (src/generador/duraciones.py) arma la duración de un ensayo completo. Toma los tres puntos de cada tarea de registro.tres_puntos_tareas, saca cada tarea de su BetaPERT y las suma como dice el diccionario: preparación del sistema, montaje, la mayor entre la idoneidad y la preparación del análisis, corrida y procesamiento (Costigliola et al., 2017, pp. 9016–9017, Figs. 1 y 3). La preparación del análisis es un solo valor del tiempo por solución multiplicado por el número de soluciones (S04), así que conserva la forma de esa tarea. El factor del nivel del analista (S07) multiplica las cuatro tareas del analista y deja igual la idoneidad y la corrida, que son del equipo. La preparación y la idoneidad del sistema quedan en cero hasta que se fijen sus tres puntos (sección 1.10). La función devuelve una fila por ejecución, con los nombres de campo del diccionario: duracion_simulada y t_prep_sistema a t_procesamiento. Con el parámetro correlacion, las tareas salen correlacionadas entre sí (sección 2); sin él, independientes, que es como se comparan con la fuente (sección 1.9).</w:t>
      </w:r>
    </w:p>
    <w:p>
      <w:pPr>
        <w:spacing w:after="120" w:before="0" w:line="288"/>
        <w:jc w:val="left"/>
      </w:pPr>
      <w:r>
        <w:rPr>
          <w:rFonts w:ascii="Times New Roman" w:cs="Times New Roman" w:eastAsia="Times New Roman" w:hAnsi="Times New Roman"/>
          <w:sz w:val="24"/>
          <w:szCs w:val="24"/>
        </w:rPr>
        <w:t xml:space="preserve">Los campos t_optimista, t_mas_probable y t_pesimista salen de esos mismos tres puntos por tarea. Por eso la duración simulada siempre queda entre el tiempo optimista y el pesimista, corregidos por el factor del analista (regla duracion_coherente). Y como, sin idoneidad y con un analista intermedio, es una suma de tareas, su media es exactamente la fórmula de la media aplicada a esos tres campos, estén o no correlacionadas las tareas (sección 2.4): con λ = 4, (t_optimista + 4 · t_mas_probable + t_pesimista)/6. Para el O2 eso significa que la línea base PERT que propone el diccionario acierta en promedio, para un analista intermedio, si los datos se generan con λ = 4, y se queda corta con λ = 1.</w:t>
      </w:r>
    </w:p>
    <w:p>
      <w:pPr>
        <w:spacing w:after="120" w:before="0" w:line="288"/>
        <w:jc w:val="left"/>
      </w:pPr>
      <w:r>
        <w:rPr>
          <w:rFonts w:ascii="Times New Roman" w:cs="Times New Roman" w:eastAsia="Times New Roman" w:hAnsi="Times New Roman"/>
          <w:sz w:val="24"/>
          <w:szCs w:val="24"/>
        </w:rPr>
        <w:t xml:space="preserve">Las pruebas nuevas lo verifican en los 12 métodos, con los dos números de soluciones de cada uno: cada tarea dentro de su rango y la duración entre los tiempos optimista y pesimista; la media frente a la fórmula con λ = 4 y λ = 1, con el margen de cinco errores estándar de la sección 1.6; el factor del analista solo sobre sus tareas; la idoneidad en paralelo con la preparación; una λ distinta por tarea; la reproducibilidad con la semilla, y el rechazo de un número de soluciones fuera del rango de la complejidad (S08).</w:t>
      </w:r>
    </w:p>
    <w:p>
      <w:pPr>
        <w:pStyle w:val="Heading2"/>
        <w:keepNext/>
      </w:pPr>
      <w:r>
        <w:rPr>
          <w:rFonts w:ascii="Times New Roman" w:cs="Times New Roman" w:eastAsia="Times New Roman" w:hAnsi="Times New Roman"/>
          <w:b/>
          <w:bCs/>
          <w:sz w:val="24"/>
          <w:szCs w:val="24"/>
        </w:rPr>
        <w:t xml:space="preserve">1.8 Forma de cuatro ensayos</w:t>
      </w:r>
    </w:p>
    <w:p>
      <w:pPr>
        <w:spacing w:after="120" w:before="0" w:line="288"/>
        <w:jc w:val="left"/>
      </w:pPr>
      <w:r>
        <w:rPr>
          <w:rFonts w:ascii="Times New Roman" w:cs="Times New Roman" w:eastAsia="Times New Roman" w:hAnsi="Times New Roman"/>
          <w:sz w:val="24"/>
          <w:szCs w:val="24"/>
        </w:rPr>
        <w:t xml:space="preserve">La Figura 1 muestra la duración de cuatro ensayos de complejidad media, con cuatro soluciones y un analista intermedio: sustancias relacionadas por HPLC (M02), agua por KF volumétrico (M07), forma polimórfica y pureza por DSC (M10) e identificación de la forma cristalina por XRPD (M11). Cubren las tres reglas de corrida del catálogo: triangular alrededor de la moda en HPLC (S05), tramo de una triangular en KF y XRPD y tramo de una uniforme en DSC (S15). En dos manda la preparación y en los otros dos, la corrida. Cada panel compara tres formas: λ = 4, la propuesta de la sección 1.10 (λ = 1, y λ = 0 en las tareas uniformes) y las distribuciones de la fuente. Las curvas salen de 400 000 ejecuciones por forma con la semilla 2026; el cuaderno notebooks/01_forma_duraciones_ensayos.ipynb las calcula y guarda la figura y las tablas en resultados/.</w:t>
      </w:r>
    </w:p>
    <w:p>
      <w:pPr>
        <w:spacing w:after="120" w:before="0" w:line="288"/>
        <w:jc w:val="left"/>
      </w:pPr>
      <w:r>
        <w:rPr>
          <w:rFonts w:ascii="Times New Roman" w:cs="Times New Roman" w:eastAsia="Times New Roman" w:hAnsi="Times New Roman"/>
          <w:sz w:val="24"/>
          <w:szCs w:val="24"/>
        </w:rPr>
        <w:t xml:space="preserve">La forma es la esperada: un solo pico, ningún valor fuera del rango del registro y una cola derecha moderada, con una asimetría entre 0,09 y 0,47 con λ = 4. El rango de tres puntos, en cambio, es mucho más ancho que la distribución: el 90 % central ocupa entre el 33 % y el 48 % del intervalo entre t_optimista y t_pesimista, porque es muy raro que todas las tareas caigan a la vez en su extremo. Para el O2, esos campos son cotas, no una predicción. La tarea que más varía decide la forma del ensayo: la preparación explica el 96 % de la varianza en M02 y el 89 % en M07, y la corrida, el 69 % en M10 y el 66 % en M11.</w:t>
      </w:r>
    </w:p>
    <w:p>
      <w:pPr>
        <w:keepNext/>
        <w:spacing w:after="0" w:before="200" w:line="288"/>
        <w:jc w:val="left"/>
      </w:pPr>
      <w:r>
        <w:rPr>
          <w:rFonts w:ascii="Times New Roman" w:cs="Times New Roman" w:eastAsia="Times New Roman" w:hAnsi="Times New Roman"/>
          <w:b/>
          <w:bCs/>
          <w:sz w:val="24"/>
          <w:szCs w:val="24"/>
        </w:rPr>
        <w:t xml:space="preserve">Figura 1</w:t>
      </w:r>
    </w:p>
    <w:p>
      <w:pPr>
        <w:keepNext/>
        <w:spacing w:after="80" w:before="0" w:line="288"/>
        <w:jc w:val="left"/>
      </w:pPr>
      <w:r>
        <w:rPr>
          <w:rFonts w:ascii="Times New Roman" w:cs="Times New Roman" w:eastAsia="Times New Roman" w:hAnsi="Times New Roman"/>
          <w:i/>
          <w:iCs/>
          <w:sz w:val="24"/>
          <w:szCs w:val="24"/>
        </w:rPr>
        <w:t xml:space="preserve">Duración simulada de cuatro ensayos con tres formas de distribución</w:t>
      </w:r>
    </w:p>
    <w:p>
      <w:pPr>
        <w:keepNext/>
        <w:spacing w:after="0" w:before="0"/>
      </w:pPr>
      <w:r>
        <w:drawing>
          <wp:inline distT="0" distB="0" distL="0" distR="0">
            <wp:extent cx="5391150" cy="4114800"/>
            <wp:effectExtent t="0" r="0" b="0" l="0"/>
            <wp:docPr id="1" name="figura-1" descr="Cuatro paneles con la densidad de la duración de M02, M07, M10 y M11. En todos, la curva azul (λ = 4) queda a la izquierda del área gris de la fuente y es más angosta. La curva naranja (propuesta) se acerca más a la fuente: coincide con ella en M10, es más ancha en M02 y sigue un poco a la izquierda en M07 y M11." title="Duración simulada de cuatro ensayos con tres formas de distribu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91150" cy="4114800"/>
                    </a:xfrm>
                    <a:prstGeom prst="rect">
                      <a:avLst/>
                    </a:prstGeom>
                  </pic:spPr>
                </pic:pic>
              </a:graphicData>
            </a:graphic>
          </wp:inline>
        </w:drawing>
      </w:r>
    </w:p>
    <w:p>
      <w:pPr>
        <w:spacing w:after="200" w:before="60" w:line="240"/>
        <w:jc w:val="left"/>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Densidad de la duración, en minutos, con cuatro soluciones, un analista intermedio, tareas independientes y sin preparación ni idoneidad del sistema. El eje horizontal de cada panel va del tiempo optimista al pesimista del registro, y la línea vertical marca el más probable; la escala vertical cambia de un panel a otro. Fuente: distribuciones de Costigliola et al. (2017, Tabla 3, p. 9016), con la corrida de HPLC del supuesto S05 y la de los métodos de tramo recortada a su tramo (S15).</w:t>
      </w:r>
    </w:p>
    <w:p>
      <w:pPr>
        <w:spacing w:after="120" w:before="0" w:line="288"/>
        <w:jc w:val="left"/>
      </w:pPr>
      <w:r>
        <w:rPr>
          <w:rFonts w:ascii="Times New Roman" w:cs="Times New Roman" w:eastAsia="Times New Roman" w:hAnsi="Times New Roman"/>
          <w:sz w:val="24"/>
          <w:szCs w:val="24"/>
        </w:rPr>
        <w:t xml:space="preserve">Con λ = 4 las cuatro curvas quedan a la izquierda de la fuente y son más angostas: la media baja entre 3,8 % y 24,3 %, y la desviación, entre 10 % y 32 % (Tabla 3). La propuesta recupera la media de la fuente en M02 y M10. En M10 recupera también la forma, porque la corrida de DSC vuelve a ser uniforme: su desviación es de 46,7 minutos, frente a 45,2 en la fuente y 31,3 con λ = 4. En M02, en cambio, es más ancha que la fuente (96,6 frente a 79,8), porque la BetaPERT con λ = 1 tiene más varianza que la triangular con los mismos tres puntos. En M07 y M11 la propuesta se acerca, pero se queda a la izquierda por la corrida de los métodos de tramo (sección 1.9).</w:t>
      </w:r>
    </w:p>
    <w:p>
      <w:pPr>
        <w:keepNext/>
        <w:spacing w:after="0" w:before="200" w:line="288"/>
        <w:jc w:val="left"/>
      </w:pPr>
      <w:r>
        <w:rPr>
          <w:rFonts w:ascii="Times New Roman" w:cs="Times New Roman" w:eastAsia="Times New Roman" w:hAnsi="Times New Roman"/>
          <w:b/>
          <w:bCs/>
          <w:sz w:val="24"/>
          <w:szCs w:val="24"/>
        </w:rPr>
        <w:t xml:space="preserve">Tabla 3</w:t>
      </w:r>
    </w:p>
    <w:p>
      <w:pPr>
        <w:keepNext/>
        <w:spacing w:after="80" w:before="0" w:line="288"/>
        <w:jc w:val="left"/>
      </w:pPr>
      <w:r>
        <w:rPr>
          <w:rFonts w:ascii="Times New Roman" w:cs="Times New Roman" w:eastAsia="Times New Roman" w:hAnsi="Times New Roman"/>
          <w:i/>
          <w:iCs/>
          <w:sz w:val="24"/>
          <w:szCs w:val="24"/>
        </w:rPr>
        <w:t xml:space="preserve">Duración de los cuatro ensayos con cada forma</w:t>
      </w:r>
    </w:p>
    <w:tbl>
      <w:tblPr>
        <w:tblW w:type="dxa" w:w="8554"/>
        <w:tblBorders>
          <w:top w:val="none" w:color="FFFFFF" w:sz="0"/>
          <w:left w:val="none" w:color="FFFFFF" w:sz="0"/>
          <w:bottom w:val="none" w:color="FFFFFF" w:sz="0"/>
          <w:right w:val="none" w:color="FFFFFF" w:sz="0"/>
          <w:insideH w:val="none" w:color="FFFFFF" w:sz="0"/>
          <w:insideV w:val="none" w:color="FFFFFF" w:sz="0"/>
        </w:tblBorders>
      </w:tblPr>
      <w:tblGrid>
        <w:gridCol w:w="1500"/>
        <w:gridCol w:w="1300"/>
        <w:gridCol w:w="1000"/>
        <w:gridCol w:w="1100"/>
        <w:gridCol w:w="1000"/>
        <w:gridCol w:w="884"/>
        <w:gridCol w:w="884"/>
        <w:gridCol w:w="886"/>
      </w:tblGrid>
      <w:tr>
        <w:trPr>
          <w:cantSplit/>
          <w:tblHeader/>
        </w:trPr>
        <w:tc>
          <w:tcPr>
            <w:tcW w:type="dxa" w:w="1500"/>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bCs/>
                <w:sz w:val="19"/>
                <w:szCs w:val="19"/>
              </w:rPr>
              <w:t xml:space="preserve">Ensayo</w:t>
            </w:r>
          </w:p>
        </w:tc>
        <w:tc>
          <w:tcPr>
            <w:tcW w:type="dxa" w:w="1300"/>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bCs/>
                <w:sz w:val="19"/>
                <w:szCs w:val="19"/>
              </w:rPr>
              <w:t xml:space="preserve">Forma</w:t>
            </w:r>
          </w:p>
        </w:tc>
        <w:tc>
          <w:tcPr>
            <w:tcW w:type="dxa" w:w="1000"/>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bCs/>
                <w:sz w:val="19"/>
                <w:szCs w:val="19"/>
              </w:rPr>
              <w:t xml:space="preserve">Media</w:t>
            </w:r>
          </w:p>
        </w:tc>
        <w:tc>
          <w:tcPr>
            <w:tcW w:type="dxa" w:w="1100"/>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bCs/>
                <w:sz w:val="19"/>
                <w:szCs w:val="19"/>
              </w:rPr>
              <w:t xml:space="preserve">Desviación</w:t>
            </w:r>
          </w:p>
        </w:tc>
        <w:tc>
          <w:tcPr>
            <w:tcW w:type="dxa" w:w="1000"/>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bCs/>
                <w:sz w:val="19"/>
                <w:szCs w:val="19"/>
              </w:rPr>
              <w:t xml:space="preserve">Asimetría</w:t>
            </w:r>
          </w:p>
        </w:tc>
        <w:tc>
          <w:tcPr>
            <w:tcW w:type="dxa" w:w="884"/>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bCs/>
                <w:sz w:val="19"/>
                <w:szCs w:val="19"/>
              </w:rPr>
              <w:t xml:space="preserve">P5</w:t>
            </w:r>
          </w:p>
        </w:tc>
        <w:tc>
          <w:tcPr>
            <w:tcW w:type="dxa" w:w="884"/>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bCs/>
                <w:sz w:val="19"/>
                <w:szCs w:val="19"/>
              </w:rPr>
              <w:t xml:space="preserve">P50</w:t>
            </w:r>
          </w:p>
        </w:tc>
        <w:tc>
          <w:tcPr>
            <w:tcW w:type="dxa" w:w="886"/>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bCs/>
                <w:sz w:val="19"/>
                <w:szCs w:val="19"/>
              </w:rPr>
              <w:t xml:space="preserve">P95</w:t>
            </w:r>
          </w:p>
        </w:tc>
      </w:tr>
      <w:tr>
        <w:trPr>
          <w:cantSplit/>
        </w:trPr>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19"/>
                <w:szCs w:val="19"/>
              </w:rPr>
              <w:t xml:space="preserve">M02 · HPLC</w:t>
            </w:r>
          </w:p>
        </w:tc>
        <w:tc>
          <w:tcPr>
            <w:tcW w:type="dxa" w:w="13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19"/>
                <w:szCs w:val="19"/>
              </w:rPr>
              <w:t xml:space="preserve">λ = 4</w:t>
            </w:r>
          </w:p>
        </w:tc>
        <w:tc>
          <w:tcPr>
            <w:tcW w:type="dxa" w:w="10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9"/>
                <w:szCs w:val="19"/>
              </w:rPr>
              <w:t xml:space="preserve">386,0</w:t>
            </w:r>
          </w:p>
        </w:tc>
        <w:tc>
          <w:tcPr>
            <w:tcW w:type="dxa" w:w="11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9"/>
                <w:szCs w:val="19"/>
              </w:rPr>
              <w:t xml:space="preserve">72,1</w:t>
            </w:r>
          </w:p>
        </w:tc>
        <w:tc>
          <w:tcPr>
            <w:tcW w:type="dxa" w:w="10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9"/>
                <w:szCs w:val="19"/>
              </w:rPr>
              <w:t xml:space="preserve">0,22</w:t>
            </w:r>
          </w:p>
        </w:tc>
        <w:tc>
          <w:tcPr>
            <w:tcW w:type="dxa" w:w="88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9"/>
                <w:szCs w:val="19"/>
              </w:rPr>
              <w:t xml:space="preserve">274,3</w:t>
            </w:r>
          </w:p>
        </w:tc>
        <w:tc>
          <w:tcPr>
            <w:tcW w:type="dxa" w:w="88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9"/>
                <w:szCs w:val="19"/>
              </w:rPr>
              <w:t xml:space="preserve">382,2</w:t>
            </w:r>
          </w:p>
        </w:tc>
        <w:tc>
          <w:tcPr>
            <w:tcW w:type="dxa" w:w="886"/>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9"/>
                <w:szCs w:val="19"/>
              </w:rPr>
              <w:t xml:space="preserve">510,6</w:t>
            </w:r>
          </w:p>
        </w:tc>
      </w:tr>
      <w:tr>
        <w:trPr>
          <w:cantSplit/>
        </w:trPr>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19"/>
                <w:szCs w:val="19"/>
              </w:rPr>
              <w:t xml:space="preserve"/>
            </w:r>
          </w:p>
        </w:tc>
        <w:tc>
          <w:tcPr>
            <w:tcW w:type="dxa" w:w="13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19"/>
                <w:szCs w:val="19"/>
              </w:rPr>
              <w:t xml:space="preserve">Propuesta</w:t>
            </w:r>
          </w:p>
        </w:tc>
        <w:tc>
          <w:tcPr>
            <w:tcW w:type="dxa" w:w="10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9"/>
                <w:szCs w:val="19"/>
              </w:rPr>
              <w:t xml:space="preserve">401,2</w:t>
            </w:r>
          </w:p>
        </w:tc>
        <w:tc>
          <w:tcPr>
            <w:tcW w:type="dxa" w:w="11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9"/>
                <w:szCs w:val="19"/>
              </w:rPr>
              <w:t xml:space="preserve">96,6</w:t>
            </w:r>
          </w:p>
        </w:tc>
        <w:tc>
          <w:tcPr>
            <w:tcW w:type="dxa" w:w="10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9"/>
                <w:szCs w:val="19"/>
              </w:rPr>
              <w:t xml:space="preserve">0,13</w:t>
            </w:r>
          </w:p>
        </w:tc>
        <w:tc>
          <w:tcPr>
            <w:tcW w:type="dxa" w:w="88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9"/>
                <w:szCs w:val="19"/>
              </w:rPr>
              <w:t xml:space="preserve">253,0</w:t>
            </w:r>
          </w:p>
        </w:tc>
        <w:tc>
          <w:tcPr>
            <w:tcW w:type="dxa" w:w="88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9"/>
                <w:szCs w:val="19"/>
              </w:rPr>
              <w:t xml:space="preserve">397,3</w:t>
            </w:r>
          </w:p>
        </w:tc>
        <w:tc>
          <w:tcPr>
            <w:tcW w:type="dxa" w:w="886"/>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9"/>
                <w:szCs w:val="19"/>
              </w:rPr>
              <w:t xml:space="preserve">562,8</w:t>
            </w:r>
          </w:p>
        </w:tc>
      </w:tr>
      <w:tr>
        <w:trPr>
          <w:cantSplit/>
        </w:trPr>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19"/>
                <w:szCs w:val="19"/>
              </w:rPr>
              <w:t xml:space="preserve"/>
            </w:r>
          </w:p>
        </w:tc>
        <w:tc>
          <w:tcPr>
            <w:tcW w:type="dxa" w:w="13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19"/>
                <w:szCs w:val="19"/>
              </w:rPr>
              <w:t xml:space="preserve">Fuente</w:t>
            </w:r>
          </w:p>
        </w:tc>
        <w:tc>
          <w:tcPr>
            <w:tcW w:type="dxa" w:w="10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9"/>
                <w:szCs w:val="19"/>
              </w:rPr>
              <w:t xml:space="preserve">401,4</w:t>
            </w:r>
          </w:p>
        </w:tc>
        <w:tc>
          <w:tcPr>
            <w:tcW w:type="dxa" w:w="11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9"/>
                <w:szCs w:val="19"/>
              </w:rPr>
              <w:t xml:space="preserve">79,8</w:t>
            </w:r>
          </w:p>
        </w:tc>
        <w:tc>
          <w:tcPr>
            <w:tcW w:type="dxa" w:w="10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9"/>
                <w:szCs w:val="19"/>
              </w:rPr>
              <w:t xml:space="preserve">0,23</w:t>
            </w:r>
          </w:p>
        </w:tc>
        <w:tc>
          <w:tcPr>
            <w:tcW w:type="dxa" w:w="88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9"/>
                <w:szCs w:val="19"/>
              </w:rPr>
              <w:t xml:space="preserve">277,5</w:t>
            </w:r>
          </w:p>
        </w:tc>
        <w:tc>
          <w:tcPr>
            <w:tcW w:type="dxa" w:w="88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9"/>
                <w:szCs w:val="19"/>
              </w:rPr>
              <w:t xml:space="preserve">395,1</w:t>
            </w:r>
          </w:p>
        </w:tc>
        <w:tc>
          <w:tcPr>
            <w:tcW w:type="dxa" w:w="886"/>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9"/>
                <w:szCs w:val="19"/>
              </w:rPr>
              <w:t xml:space="preserve">542,2</w:t>
            </w:r>
          </w:p>
        </w:tc>
      </w:tr>
      <w:tr>
        <w:trPr>
          <w:cantSplit/>
        </w:trPr>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19"/>
                <w:szCs w:val="19"/>
              </w:rPr>
              <w:t xml:space="preserve">M07 · KF</w:t>
            </w:r>
          </w:p>
        </w:tc>
        <w:tc>
          <w:tcPr>
            <w:tcW w:type="dxa" w:w="13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19"/>
                <w:szCs w:val="19"/>
              </w:rPr>
              <w:t xml:space="preserve">λ = 4</w:t>
            </w:r>
          </w:p>
        </w:tc>
        <w:tc>
          <w:tcPr>
            <w:tcW w:type="dxa" w:w="10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9"/>
                <w:szCs w:val="19"/>
              </w:rPr>
              <w:t xml:space="preserve">69,7</w:t>
            </w:r>
          </w:p>
        </w:tc>
        <w:tc>
          <w:tcPr>
            <w:tcW w:type="dxa" w:w="11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9"/>
                <w:szCs w:val="19"/>
              </w:rPr>
              <w:t xml:space="preserve">17,7</w:t>
            </w:r>
          </w:p>
        </w:tc>
        <w:tc>
          <w:tcPr>
            <w:tcW w:type="dxa" w:w="10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9"/>
                <w:szCs w:val="19"/>
              </w:rPr>
              <w:t xml:space="preserve">0,47</w:t>
            </w:r>
          </w:p>
        </w:tc>
        <w:tc>
          <w:tcPr>
            <w:tcW w:type="dxa" w:w="88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9"/>
                <w:szCs w:val="19"/>
              </w:rPr>
              <w:t xml:space="preserve">44,2</w:t>
            </w:r>
          </w:p>
        </w:tc>
        <w:tc>
          <w:tcPr>
            <w:tcW w:type="dxa" w:w="88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9"/>
                <w:szCs w:val="19"/>
              </w:rPr>
              <w:t xml:space="preserve">67,8</w:t>
            </w:r>
          </w:p>
        </w:tc>
        <w:tc>
          <w:tcPr>
            <w:tcW w:type="dxa" w:w="886"/>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9"/>
                <w:szCs w:val="19"/>
              </w:rPr>
              <w:t xml:space="preserve">101,8</w:t>
            </w:r>
          </w:p>
        </w:tc>
      </w:tr>
      <w:tr>
        <w:trPr>
          <w:cantSplit/>
        </w:trPr>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19"/>
                <w:szCs w:val="19"/>
              </w:rPr>
              <w:t xml:space="preserve"/>
            </w:r>
          </w:p>
        </w:tc>
        <w:tc>
          <w:tcPr>
            <w:tcW w:type="dxa" w:w="13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19"/>
                <w:szCs w:val="19"/>
              </w:rPr>
              <w:t xml:space="preserve">Propuesta</w:t>
            </w:r>
          </w:p>
        </w:tc>
        <w:tc>
          <w:tcPr>
            <w:tcW w:type="dxa" w:w="10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9"/>
                <w:szCs w:val="19"/>
              </w:rPr>
              <w:t xml:space="preserve">82,4</w:t>
            </w:r>
          </w:p>
        </w:tc>
        <w:tc>
          <w:tcPr>
            <w:tcW w:type="dxa" w:w="11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9"/>
                <w:szCs w:val="19"/>
              </w:rPr>
              <w:t xml:space="preserve">24,9</w:t>
            </w:r>
          </w:p>
        </w:tc>
        <w:tc>
          <w:tcPr>
            <w:tcW w:type="dxa" w:w="10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9"/>
                <w:szCs w:val="19"/>
              </w:rPr>
              <w:t xml:space="preserve">0,27</w:t>
            </w:r>
          </w:p>
        </w:tc>
        <w:tc>
          <w:tcPr>
            <w:tcW w:type="dxa" w:w="88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9"/>
                <w:szCs w:val="19"/>
              </w:rPr>
              <w:t xml:space="preserve">45,5</w:t>
            </w:r>
          </w:p>
        </w:tc>
        <w:tc>
          <w:tcPr>
            <w:tcW w:type="dxa" w:w="88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9"/>
                <w:szCs w:val="19"/>
              </w:rPr>
              <w:t xml:space="preserve">80,3</w:t>
            </w:r>
          </w:p>
        </w:tc>
        <w:tc>
          <w:tcPr>
            <w:tcW w:type="dxa" w:w="886"/>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9"/>
                <w:szCs w:val="19"/>
              </w:rPr>
              <w:t xml:space="preserve">125,7</w:t>
            </w:r>
          </w:p>
        </w:tc>
      </w:tr>
      <w:tr>
        <w:trPr>
          <w:cantSplit/>
        </w:trPr>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19"/>
                <w:szCs w:val="19"/>
              </w:rPr>
              <w:t xml:space="preserve"/>
            </w:r>
          </w:p>
        </w:tc>
        <w:tc>
          <w:tcPr>
            <w:tcW w:type="dxa" w:w="13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19"/>
                <w:szCs w:val="19"/>
              </w:rPr>
              <w:t xml:space="preserve">Fuente</w:t>
            </w:r>
          </w:p>
        </w:tc>
        <w:tc>
          <w:tcPr>
            <w:tcW w:type="dxa" w:w="10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9"/>
                <w:szCs w:val="19"/>
              </w:rPr>
              <w:t xml:space="preserve">85,1</w:t>
            </w:r>
          </w:p>
        </w:tc>
        <w:tc>
          <w:tcPr>
            <w:tcW w:type="dxa" w:w="11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9"/>
                <w:szCs w:val="19"/>
              </w:rPr>
              <w:t xml:space="preserve">22,0</w:t>
            </w:r>
          </w:p>
        </w:tc>
        <w:tc>
          <w:tcPr>
            <w:tcW w:type="dxa" w:w="10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9"/>
                <w:szCs w:val="19"/>
              </w:rPr>
              <w:t xml:space="preserve">0,39</w:t>
            </w:r>
          </w:p>
        </w:tc>
        <w:tc>
          <w:tcPr>
            <w:tcW w:type="dxa" w:w="88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9"/>
                <w:szCs w:val="19"/>
              </w:rPr>
              <w:t xml:space="preserve">53,0</w:t>
            </w:r>
          </w:p>
        </w:tc>
        <w:tc>
          <w:tcPr>
            <w:tcW w:type="dxa" w:w="88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9"/>
                <w:szCs w:val="19"/>
              </w:rPr>
              <w:t xml:space="preserve">82,5</w:t>
            </w:r>
          </w:p>
        </w:tc>
        <w:tc>
          <w:tcPr>
            <w:tcW w:type="dxa" w:w="886"/>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9"/>
                <w:szCs w:val="19"/>
              </w:rPr>
              <w:t xml:space="preserve">124,9</w:t>
            </w:r>
          </w:p>
        </w:tc>
      </w:tr>
      <w:tr>
        <w:trPr>
          <w:cantSplit/>
        </w:trPr>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19"/>
                <w:szCs w:val="19"/>
              </w:rPr>
              <w:t xml:space="preserve">M10 · DSC</w:t>
            </w:r>
          </w:p>
        </w:tc>
        <w:tc>
          <w:tcPr>
            <w:tcW w:type="dxa" w:w="13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19"/>
                <w:szCs w:val="19"/>
              </w:rPr>
              <w:t xml:space="preserve">λ = 4</w:t>
            </w:r>
          </w:p>
        </w:tc>
        <w:tc>
          <w:tcPr>
            <w:tcW w:type="dxa" w:w="10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9"/>
                <w:szCs w:val="19"/>
              </w:rPr>
              <w:t xml:space="preserve">174,8</w:t>
            </w:r>
          </w:p>
        </w:tc>
        <w:tc>
          <w:tcPr>
            <w:tcW w:type="dxa" w:w="11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9"/>
                <w:szCs w:val="19"/>
              </w:rPr>
              <w:t xml:space="preserve">31,3</w:t>
            </w:r>
          </w:p>
        </w:tc>
        <w:tc>
          <w:tcPr>
            <w:tcW w:type="dxa" w:w="10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9"/>
                <w:szCs w:val="19"/>
              </w:rPr>
              <w:t xml:space="preserve">0,09</w:t>
            </w:r>
          </w:p>
        </w:tc>
        <w:tc>
          <w:tcPr>
            <w:tcW w:type="dxa" w:w="88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9"/>
                <w:szCs w:val="19"/>
              </w:rPr>
              <w:t xml:space="preserve">124,0</w:t>
            </w:r>
          </w:p>
        </w:tc>
        <w:tc>
          <w:tcPr>
            <w:tcW w:type="dxa" w:w="88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9"/>
                <w:szCs w:val="19"/>
              </w:rPr>
              <w:t xml:space="preserve">174,5</w:t>
            </w:r>
          </w:p>
        </w:tc>
        <w:tc>
          <w:tcPr>
            <w:tcW w:type="dxa" w:w="886"/>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9"/>
                <w:szCs w:val="19"/>
              </w:rPr>
              <w:t xml:space="preserve">227,2</w:t>
            </w:r>
          </w:p>
        </w:tc>
      </w:tr>
      <w:tr>
        <w:trPr>
          <w:cantSplit/>
        </w:trPr>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19"/>
                <w:szCs w:val="19"/>
              </w:rPr>
              <w:t xml:space="preserve"/>
            </w:r>
          </w:p>
        </w:tc>
        <w:tc>
          <w:tcPr>
            <w:tcW w:type="dxa" w:w="13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19"/>
                <w:szCs w:val="19"/>
              </w:rPr>
              <w:t xml:space="preserve">Propuesta</w:t>
            </w:r>
          </w:p>
        </w:tc>
        <w:tc>
          <w:tcPr>
            <w:tcW w:type="dxa" w:w="10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9"/>
                <w:szCs w:val="19"/>
              </w:rPr>
              <w:t xml:space="preserve">186,4</w:t>
            </w:r>
          </w:p>
        </w:tc>
        <w:tc>
          <w:tcPr>
            <w:tcW w:type="dxa" w:w="11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9"/>
                <w:szCs w:val="19"/>
              </w:rPr>
              <w:t xml:space="preserve">46,7</w:t>
            </w:r>
          </w:p>
        </w:tc>
        <w:tc>
          <w:tcPr>
            <w:tcW w:type="dxa" w:w="10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9"/>
                <w:szCs w:val="19"/>
              </w:rPr>
              <w:t xml:space="preserve">0,05</w:t>
            </w:r>
          </w:p>
        </w:tc>
        <w:tc>
          <w:tcPr>
            <w:tcW w:type="dxa" w:w="88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9"/>
                <w:szCs w:val="19"/>
              </w:rPr>
              <w:t xml:space="preserve">110,4</w:t>
            </w:r>
          </w:p>
        </w:tc>
        <w:tc>
          <w:tcPr>
            <w:tcW w:type="dxa" w:w="88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9"/>
                <w:szCs w:val="19"/>
              </w:rPr>
              <w:t xml:space="preserve">186,3</w:t>
            </w:r>
          </w:p>
        </w:tc>
        <w:tc>
          <w:tcPr>
            <w:tcW w:type="dxa" w:w="886"/>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9"/>
                <w:szCs w:val="19"/>
              </w:rPr>
              <w:t xml:space="preserve">263,8</w:t>
            </w:r>
          </w:p>
        </w:tc>
      </w:tr>
      <w:tr>
        <w:trPr>
          <w:cantSplit/>
        </w:trPr>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19"/>
                <w:szCs w:val="19"/>
              </w:rPr>
              <w:t xml:space="preserve"/>
            </w:r>
          </w:p>
        </w:tc>
        <w:tc>
          <w:tcPr>
            <w:tcW w:type="dxa" w:w="13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19"/>
                <w:szCs w:val="19"/>
              </w:rPr>
              <w:t xml:space="preserve">Fuente</w:t>
            </w:r>
          </w:p>
        </w:tc>
        <w:tc>
          <w:tcPr>
            <w:tcW w:type="dxa" w:w="10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9"/>
                <w:szCs w:val="19"/>
              </w:rPr>
              <w:t xml:space="preserve">186,2</w:t>
            </w:r>
          </w:p>
        </w:tc>
        <w:tc>
          <w:tcPr>
            <w:tcW w:type="dxa" w:w="11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9"/>
                <w:szCs w:val="19"/>
              </w:rPr>
              <w:t xml:space="preserve">45,2</w:t>
            </w:r>
          </w:p>
        </w:tc>
        <w:tc>
          <w:tcPr>
            <w:tcW w:type="dxa" w:w="10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9"/>
                <w:szCs w:val="19"/>
              </w:rPr>
              <w:t xml:space="preserve">0,05</w:t>
            </w:r>
          </w:p>
        </w:tc>
        <w:tc>
          <w:tcPr>
            <w:tcW w:type="dxa" w:w="88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9"/>
                <w:szCs w:val="19"/>
              </w:rPr>
              <w:t xml:space="preserve">113,3</w:t>
            </w:r>
          </w:p>
        </w:tc>
        <w:tc>
          <w:tcPr>
            <w:tcW w:type="dxa" w:w="88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9"/>
                <w:szCs w:val="19"/>
              </w:rPr>
              <w:t xml:space="preserve">186,2</w:t>
            </w:r>
          </w:p>
        </w:tc>
        <w:tc>
          <w:tcPr>
            <w:tcW w:type="dxa" w:w="886"/>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9"/>
                <w:szCs w:val="19"/>
              </w:rPr>
              <w:t xml:space="preserve">260,2</w:t>
            </w:r>
          </w:p>
        </w:tc>
      </w:tr>
      <w:tr>
        <w:trPr>
          <w:cantSplit/>
        </w:trPr>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19"/>
                <w:szCs w:val="19"/>
              </w:rPr>
              <w:t xml:space="preserve">M11 · XRPD</w:t>
            </w:r>
          </w:p>
        </w:tc>
        <w:tc>
          <w:tcPr>
            <w:tcW w:type="dxa" w:w="13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19"/>
                <w:szCs w:val="19"/>
              </w:rPr>
              <w:t xml:space="preserve">λ = 4</w:t>
            </w:r>
          </w:p>
        </w:tc>
        <w:tc>
          <w:tcPr>
            <w:tcW w:type="dxa" w:w="10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9"/>
                <w:szCs w:val="19"/>
              </w:rPr>
              <w:t xml:space="preserve">97,9</w:t>
            </w:r>
          </w:p>
        </w:tc>
        <w:tc>
          <w:tcPr>
            <w:tcW w:type="dxa" w:w="11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9"/>
                <w:szCs w:val="19"/>
              </w:rPr>
              <w:t xml:space="preserve">21,4</w:t>
            </w:r>
          </w:p>
        </w:tc>
        <w:tc>
          <w:tcPr>
            <w:tcW w:type="dxa" w:w="10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9"/>
                <w:szCs w:val="19"/>
              </w:rPr>
              <w:t xml:space="preserve">0,45</w:t>
            </w:r>
          </w:p>
        </w:tc>
        <w:tc>
          <w:tcPr>
            <w:tcW w:type="dxa" w:w="88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9"/>
                <w:szCs w:val="19"/>
              </w:rPr>
              <w:t xml:space="preserve">66,1</w:t>
            </w:r>
          </w:p>
        </w:tc>
        <w:tc>
          <w:tcPr>
            <w:tcW w:type="dxa" w:w="88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9"/>
                <w:szCs w:val="19"/>
              </w:rPr>
              <w:t xml:space="preserve">96,0</w:t>
            </w:r>
          </w:p>
        </w:tc>
        <w:tc>
          <w:tcPr>
            <w:tcW w:type="dxa" w:w="886"/>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9"/>
                <w:szCs w:val="19"/>
              </w:rPr>
              <w:t xml:space="preserve">136,3</w:t>
            </w:r>
          </w:p>
        </w:tc>
      </w:tr>
      <w:tr>
        <w:trPr>
          <w:cantSplit/>
        </w:trPr>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19"/>
                <w:szCs w:val="19"/>
              </w:rPr>
              <w:t xml:space="preserve"/>
            </w:r>
          </w:p>
        </w:tc>
        <w:tc>
          <w:tcPr>
            <w:tcW w:type="dxa" w:w="13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19"/>
                <w:szCs w:val="19"/>
              </w:rPr>
              <w:t xml:space="preserve">Propuesta</w:t>
            </w:r>
          </w:p>
        </w:tc>
        <w:tc>
          <w:tcPr>
            <w:tcW w:type="dxa" w:w="10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9"/>
                <w:szCs w:val="19"/>
              </w:rPr>
              <w:t xml:space="preserve">118,9</w:t>
            </w:r>
          </w:p>
        </w:tc>
        <w:tc>
          <w:tcPr>
            <w:tcW w:type="dxa" w:w="11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9"/>
                <w:szCs w:val="19"/>
              </w:rPr>
              <w:t xml:space="preserve">30,7</w:t>
            </w:r>
          </w:p>
        </w:tc>
        <w:tc>
          <w:tcPr>
            <w:tcW w:type="dxa" w:w="10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9"/>
                <w:szCs w:val="19"/>
              </w:rPr>
              <w:t xml:space="preserve">0,25</w:t>
            </w:r>
          </w:p>
        </w:tc>
        <w:tc>
          <w:tcPr>
            <w:tcW w:type="dxa" w:w="88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9"/>
                <w:szCs w:val="19"/>
              </w:rPr>
              <w:t xml:space="preserve">71,5</w:t>
            </w:r>
          </w:p>
        </w:tc>
        <w:tc>
          <w:tcPr>
            <w:tcW w:type="dxa" w:w="88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9"/>
                <w:szCs w:val="19"/>
              </w:rPr>
              <w:t xml:space="preserve">116,9</w:t>
            </w:r>
          </w:p>
        </w:tc>
        <w:tc>
          <w:tcPr>
            <w:tcW w:type="dxa" w:w="886"/>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9"/>
                <w:szCs w:val="19"/>
              </w:rPr>
              <w:t xml:space="preserve">172,3</w:t>
            </w:r>
          </w:p>
        </w:tc>
      </w:tr>
      <w:tr>
        <w:trPr>
          <w:cantSplit/>
        </w:trPr>
        <w:tc>
          <w:tcPr>
            <w:tcW w:type="dxa" w:w="1500"/>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9"/>
                <w:szCs w:val="19"/>
              </w:rPr>
              <w:t xml:space="preserve"/>
            </w:r>
          </w:p>
        </w:tc>
        <w:tc>
          <w:tcPr>
            <w:tcW w:type="dxa" w:w="1300"/>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9"/>
                <w:szCs w:val="19"/>
              </w:rPr>
              <w:t xml:space="preserve">Fuente</w:t>
            </w:r>
          </w:p>
        </w:tc>
        <w:tc>
          <w:tcPr>
            <w:tcW w:type="dxa" w:w="1000"/>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9"/>
                <w:szCs w:val="19"/>
              </w:rPr>
              <w:t xml:space="preserve">129,3</w:t>
            </w:r>
          </w:p>
        </w:tc>
        <w:tc>
          <w:tcPr>
            <w:tcW w:type="dxa" w:w="1100"/>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9"/>
                <w:szCs w:val="19"/>
              </w:rPr>
              <w:t xml:space="preserve">31,3</w:t>
            </w:r>
          </w:p>
        </w:tc>
        <w:tc>
          <w:tcPr>
            <w:tcW w:type="dxa" w:w="1000"/>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9"/>
                <w:szCs w:val="19"/>
              </w:rPr>
              <w:t xml:space="preserve">0,18</w:t>
            </w:r>
          </w:p>
        </w:tc>
        <w:tc>
          <w:tcPr>
            <w:tcW w:type="dxa" w:w="884"/>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9"/>
                <w:szCs w:val="19"/>
              </w:rPr>
              <w:t xml:space="preserve">81,2</w:t>
            </w:r>
          </w:p>
        </w:tc>
        <w:tc>
          <w:tcPr>
            <w:tcW w:type="dxa" w:w="884"/>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9"/>
                <w:szCs w:val="19"/>
              </w:rPr>
              <w:t xml:space="preserve">127,5</w:t>
            </w:r>
          </w:p>
        </w:tc>
        <w:tc>
          <w:tcPr>
            <w:tcW w:type="dxa" w:w="886"/>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9"/>
                <w:szCs w:val="19"/>
              </w:rPr>
              <w:t xml:space="preserve">182,2</w:t>
            </w:r>
          </w:p>
        </w:tc>
      </w:tr>
    </w:tbl>
    <w:p>
      <w:pPr>
        <w:spacing w:after="200" w:before="60" w:line="240"/>
        <w:jc w:val="left"/>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Minutos; 400 000 ejecuciones por forma con la semilla 2026, cuatro soluciones, un analista intermedio y tareas independientes. P5, P50 y P95: percentiles 5, 50 y 95. Tiempos optimista, más probable y pesimista del registro: M02, 172, 371 y 662; M07, 20, 57 y 171; M10, 68, 163 y 328; M11, 34, 77 y 246.</w:t>
      </w:r>
    </w:p>
    <w:p>
      <w:pPr>
        <w:pStyle w:val="Heading2"/>
        <w:keepNext/>
      </w:pPr>
      <w:r>
        <w:rPr>
          <w:rFonts w:ascii="Times New Roman" w:cs="Times New Roman" w:eastAsia="Times New Roman" w:hAnsi="Times New Roman"/>
          <w:b/>
          <w:bCs/>
          <w:sz w:val="24"/>
          <w:szCs w:val="24"/>
        </w:rPr>
        <w:t xml:space="preserve">1.9 Distancia a la fuente en los doce ensayos</w:t>
      </w:r>
    </w:p>
    <w:p>
      <w:pPr>
        <w:spacing w:after="120" w:before="0" w:line="288"/>
        <w:jc w:val="left"/>
      </w:pPr>
      <w:r>
        <w:rPr>
          <w:rFonts w:ascii="Times New Roman" w:cs="Times New Roman" w:eastAsia="Times New Roman" w:hAnsi="Times New Roman"/>
          <w:sz w:val="24"/>
          <w:szCs w:val="24"/>
        </w:rPr>
        <w:t xml:space="preserve">Para juzgar las dos formas en todo el catálogo, la Tabla 4 compara la duración simulada de los 12 ensayos con la de la fuente. Además de la diferencia de media y de desviación, da la distancia de Wasserstein: cuántos minutos, en promedio, habría que mover las duraciones simuladas para que su distribución coincida con la de la fuente, aquí como porcentaje de la media de la fuente. A diferencia de la media sola, recoge a la vez el corrimiento y el ancho. La distancia promedio es de 11,2 % con λ = 4 y de 2,7 % con la propuesta, que queda más cerca en 10 de los 12 ensayos. Las excepciones son los dos de HPLC, en los que la preparación explica casi toda la varianza: allí λ = 4 queda apenas más cerca, porque la propuesta acierta la media pero ensancha la distribución un 21 %.</w:t>
      </w:r>
    </w:p>
    <w:p>
      <w:pPr>
        <w:keepNext/>
        <w:spacing w:after="0" w:before="200" w:line="288"/>
        <w:jc w:val="left"/>
      </w:pPr>
      <w:r>
        <w:rPr>
          <w:rFonts w:ascii="Times New Roman" w:cs="Times New Roman" w:eastAsia="Times New Roman" w:hAnsi="Times New Roman"/>
          <w:b/>
          <w:bCs/>
          <w:sz w:val="24"/>
          <w:szCs w:val="24"/>
        </w:rPr>
        <w:t xml:space="preserve">Tabla 4</w:t>
      </w:r>
    </w:p>
    <w:p>
      <w:pPr>
        <w:keepNext/>
        <w:spacing w:after="80" w:before="0" w:line="288"/>
        <w:jc w:val="left"/>
      </w:pPr>
      <w:r>
        <w:rPr>
          <w:rFonts w:ascii="Times New Roman" w:cs="Times New Roman" w:eastAsia="Times New Roman" w:hAnsi="Times New Roman"/>
          <w:i/>
          <w:iCs/>
          <w:sz w:val="24"/>
          <w:szCs w:val="24"/>
        </w:rPr>
        <w:t xml:space="preserve">Diferencia entre la duración simulada y la de la fuente en los 12 ensayos</w:t>
      </w:r>
    </w:p>
    <w:tbl>
      <w:tblPr>
        <w:tblW w:type="dxa" w:w="8554"/>
        <w:tblBorders>
          <w:top w:val="none" w:color="FFFFFF" w:sz="0"/>
          <w:left w:val="none" w:color="FFFFFF" w:sz="0"/>
          <w:bottom w:val="none" w:color="FFFFFF" w:sz="0"/>
          <w:right w:val="none" w:color="FFFFFF" w:sz="0"/>
          <w:insideH w:val="none" w:color="FFFFFF" w:sz="0"/>
          <w:insideV w:val="none" w:color="FFFFFF" w:sz="0"/>
        </w:tblBorders>
      </w:tblPr>
      <w:tblGrid>
        <w:gridCol w:w="1300"/>
        <w:gridCol w:w="1000"/>
        <w:gridCol w:w="1042"/>
        <w:gridCol w:w="1042"/>
        <w:gridCol w:w="1042"/>
        <w:gridCol w:w="1042"/>
        <w:gridCol w:w="1042"/>
        <w:gridCol w:w="1044"/>
      </w:tblGrid>
      <w:tr>
        <w:trPr>
          <w:cantSplit/>
          <w:tblHeader/>
        </w:trPr>
        <w:tc>
          <w:tcPr>
            <w:tcW w:type="dxa" w:w="1300"/>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bCs/>
                <w:sz w:val="18"/>
                <w:szCs w:val="18"/>
              </w:rPr>
              <w:t xml:space="preserve">Ensayo</w:t>
            </w:r>
          </w:p>
        </w:tc>
        <w:tc>
          <w:tcPr>
            <w:tcW w:type="dxa" w:w="1000"/>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bCs/>
                <w:sz w:val="18"/>
                <w:szCs w:val="18"/>
              </w:rPr>
              <w:t xml:space="preserve">Media de la fuente</w:t>
            </w:r>
          </w:p>
        </w:tc>
        <w:tc>
          <w:tcPr>
            <w:tcW w:type="dxa" w:w="1042"/>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bCs/>
                <w:sz w:val="18"/>
                <w:szCs w:val="18"/>
              </w:rPr>
              <w:t xml:space="preserve">Media, λ = 4</w:t>
            </w:r>
          </w:p>
        </w:tc>
        <w:tc>
          <w:tcPr>
            <w:tcW w:type="dxa" w:w="1042"/>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bCs/>
                <w:sz w:val="18"/>
                <w:szCs w:val="18"/>
              </w:rPr>
              <w:t xml:space="preserve">Desviación, λ = 4</w:t>
            </w:r>
          </w:p>
        </w:tc>
        <w:tc>
          <w:tcPr>
            <w:tcW w:type="dxa" w:w="1042"/>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bCs/>
                <w:sz w:val="18"/>
                <w:szCs w:val="18"/>
              </w:rPr>
              <w:t xml:space="preserve">Distancia, λ = 4</w:t>
            </w:r>
          </w:p>
        </w:tc>
        <w:tc>
          <w:tcPr>
            <w:tcW w:type="dxa" w:w="1042"/>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bCs/>
                <w:sz w:val="18"/>
                <w:szCs w:val="18"/>
              </w:rPr>
              <w:t xml:space="preserve">Media, propuesta</w:t>
            </w:r>
          </w:p>
        </w:tc>
        <w:tc>
          <w:tcPr>
            <w:tcW w:type="dxa" w:w="1042"/>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bCs/>
                <w:sz w:val="18"/>
                <w:szCs w:val="18"/>
              </w:rPr>
              <w:t xml:space="preserve">Desviación, propuesta</w:t>
            </w:r>
          </w:p>
        </w:tc>
        <w:tc>
          <w:tcPr>
            <w:tcW w:type="dxa" w:w="1044"/>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bCs/>
                <w:sz w:val="18"/>
                <w:szCs w:val="18"/>
              </w:rPr>
              <w:t xml:space="preserve">Distancia, propuesta</w:t>
            </w:r>
          </w:p>
        </w:tc>
      </w:tr>
      <w:tr>
        <w:trPr>
          <w:cantSplit/>
        </w:trPr>
        <w:tc>
          <w:tcPr>
            <w:tcW w:type="dxa" w:w="13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18"/>
                <w:szCs w:val="18"/>
              </w:rPr>
              <w:t xml:space="preserve">M01 · HPLC</w:t>
            </w:r>
          </w:p>
        </w:tc>
        <w:tc>
          <w:tcPr>
            <w:tcW w:type="dxa" w:w="10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8"/>
                <w:szCs w:val="18"/>
              </w:rPr>
              <w:t xml:space="preserve">211,3</w:t>
            </w:r>
          </w:p>
        </w:tc>
        <w:tc>
          <w:tcPr>
            <w:tcW w:type="dxa" w:w="1042"/>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8"/>
                <w:szCs w:val="18"/>
              </w:rPr>
              <w:t xml:space="preserve">−3,3 %</w:t>
            </w:r>
          </w:p>
        </w:tc>
        <w:tc>
          <w:tcPr>
            <w:tcW w:type="dxa" w:w="1042"/>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8"/>
                <w:szCs w:val="18"/>
              </w:rPr>
              <w:t xml:space="preserve">−9,7 %</w:t>
            </w:r>
          </w:p>
        </w:tc>
        <w:tc>
          <w:tcPr>
            <w:tcW w:type="dxa" w:w="1042"/>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8"/>
                <w:szCs w:val="18"/>
              </w:rPr>
              <w:t xml:space="preserve">3,4 %</w:t>
            </w:r>
          </w:p>
        </w:tc>
        <w:tc>
          <w:tcPr>
            <w:tcW w:type="dxa" w:w="1042"/>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8"/>
                <w:szCs w:val="18"/>
              </w:rPr>
              <w:t xml:space="preserve">−0,1 %</w:t>
            </w:r>
          </w:p>
        </w:tc>
        <w:tc>
          <w:tcPr>
            <w:tcW w:type="dxa" w:w="1042"/>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8"/>
                <w:szCs w:val="18"/>
              </w:rPr>
              <w:t xml:space="preserve">+20,9 %</w:t>
            </w:r>
          </w:p>
        </w:tc>
        <w:tc>
          <w:tcPr>
            <w:tcW w:type="dxa" w:w="104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8"/>
                <w:szCs w:val="18"/>
              </w:rPr>
              <w:t xml:space="preserve">3,9 %</w:t>
            </w:r>
          </w:p>
        </w:tc>
      </w:tr>
      <w:tr>
        <w:trPr>
          <w:cantSplit/>
        </w:trPr>
        <w:tc>
          <w:tcPr>
            <w:tcW w:type="dxa" w:w="13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M02 · HPLC</w:t>
            </w:r>
          </w:p>
        </w:tc>
        <w:tc>
          <w:tcPr>
            <w:tcW w:type="dxa" w:w="10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401,4</w:t>
            </w:r>
          </w:p>
        </w:tc>
        <w:tc>
          <w:tcPr>
            <w:tcW w:type="dxa" w:w="1042"/>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−3,8 %</w:t>
            </w:r>
          </w:p>
        </w:tc>
        <w:tc>
          <w:tcPr>
            <w:tcW w:type="dxa" w:w="1042"/>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−9,6 %</w:t>
            </w:r>
          </w:p>
        </w:tc>
        <w:tc>
          <w:tcPr>
            <w:tcW w:type="dxa" w:w="1042"/>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3,9 %</w:t>
            </w:r>
          </w:p>
        </w:tc>
        <w:tc>
          <w:tcPr>
            <w:tcW w:type="dxa" w:w="1042"/>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−0,1 %</w:t>
            </w:r>
          </w:p>
        </w:tc>
        <w:tc>
          <w:tcPr>
            <w:tcW w:type="dxa" w:w="1042"/>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+20,9 %</w:t>
            </w:r>
          </w:p>
        </w:tc>
        <w:tc>
          <w:tcPr>
            <w:tcW w:type="dxa" w:w="1044"/>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4,1 %</w:t>
            </w:r>
          </w:p>
        </w:tc>
      </w:tr>
      <w:tr>
        <w:trPr>
          <w:cantSplit/>
        </w:trPr>
        <w:tc>
          <w:tcPr>
            <w:tcW w:type="dxa" w:w="13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M03 · GC</w:t>
            </w:r>
          </w:p>
        </w:tc>
        <w:tc>
          <w:tcPr>
            <w:tcW w:type="dxa" w:w="10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116,8</w:t>
            </w:r>
          </w:p>
        </w:tc>
        <w:tc>
          <w:tcPr>
            <w:tcW w:type="dxa" w:w="1042"/>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−11,0 %</w:t>
            </w:r>
          </w:p>
        </w:tc>
        <w:tc>
          <w:tcPr>
            <w:tcW w:type="dxa" w:w="1042"/>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−20,5 %</w:t>
            </w:r>
          </w:p>
        </w:tc>
        <w:tc>
          <w:tcPr>
            <w:tcW w:type="dxa" w:w="1042"/>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11,0 %</w:t>
            </w:r>
          </w:p>
        </w:tc>
        <w:tc>
          <w:tcPr>
            <w:tcW w:type="dxa" w:w="1042"/>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−0,1 %</w:t>
            </w:r>
          </w:p>
        </w:tc>
        <w:tc>
          <w:tcPr>
            <w:tcW w:type="dxa" w:w="1042"/>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+13,0 %</w:t>
            </w:r>
          </w:p>
        </w:tc>
        <w:tc>
          <w:tcPr>
            <w:tcW w:type="dxa" w:w="1044"/>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1,6 %</w:t>
            </w:r>
          </w:p>
        </w:tc>
      </w:tr>
      <w:tr>
        <w:trPr>
          <w:cantSplit/>
        </w:trPr>
        <w:tc>
          <w:tcPr>
            <w:tcW w:type="dxa" w:w="13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M04 · GC</w:t>
            </w:r>
          </w:p>
        </w:tc>
        <w:tc>
          <w:tcPr>
            <w:tcW w:type="dxa" w:w="10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173,1</w:t>
            </w:r>
          </w:p>
        </w:tc>
        <w:tc>
          <w:tcPr>
            <w:tcW w:type="dxa" w:w="1042"/>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−11,3 %</w:t>
            </w:r>
          </w:p>
        </w:tc>
        <w:tc>
          <w:tcPr>
            <w:tcW w:type="dxa" w:w="1042"/>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−21,4 %</w:t>
            </w:r>
          </w:p>
        </w:tc>
        <w:tc>
          <w:tcPr>
            <w:tcW w:type="dxa" w:w="1042"/>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11,3 %</w:t>
            </w:r>
          </w:p>
        </w:tc>
        <w:tc>
          <w:tcPr>
            <w:tcW w:type="dxa" w:w="1042"/>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−0,1 %</w:t>
            </w:r>
          </w:p>
        </w:tc>
        <w:tc>
          <w:tcPr>
            <w:tcW w:type="dxa" w:w="1042"/>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+12,4 %</w:t>
            </w:r>
          </w:p>
        </w:tc>
        <w:tc>
          <w:tcPr>
            <w:tcW w:type="dxa" w:w="1044"/>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1,9 %</w:t>
            </w:r>
          </w:p>
        </w:tc>
      </w:tr>
      <w:tr>
        <w:trPr>
          <w:cantSplit/>
        </w:trPr>
        <w:tc>
          <w:tcPr>
            <w:tcW w:type="dxa" w:w="13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M05 · PSA</w:t>
            </w:r>
          </w:p>
        </w:tc>
        <w:tc>
          <w:tcPr>
            <w:tcW w:type="dxa" w:w="10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54,4</w:t>
            </w:r>
          </w:p>
        </w:tc>
        <w:tc>
          <w:tcPr>
            <w:tcW w:type="dxa" w:w="1042"/>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−6,8 %</w:t>
            </w:r>
          </w:p>
        </w:tc>
        <w:tc>
          <w:tcPr>
            <w:tcW w:type="dxa" w:w="1042"/>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−29,3 %</w:t>
            </w:r>
          </w:p>
        </w:tc>
        <w:tc>
          <w:tcPr>
            <w:tcW w:type="dxa" w:w="1042"/>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7,7 %</w:t>
            </w:r>
          </w:p>
        </w:tc>
        <w:tc>
          <w:tcPr>
            <w:tcW w:type="dxa" w:w="1042"/>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−0,9 %</w:t>
            </w:r>
          </w:p>
        </w:tc>
        <w:tc>
          <w:tcPr>
            <w:tcW w:type="dxa" w:w="1042"/>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+4,7 %</w:t>
            </w:r>
          </w:p>
        </w:tc>
        <w:tc>
          <w:tcPr>
            <w:tcW w:type="dxa" w:w="1044"/>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1,2 %</w:t>
            </w:r>
          </w:p>
        </w:tc>
      </w:tr>
      <w:tr>
        <w:trPr>
          <w:cantSplit/>
        </w:trPr>
        <w:tc>
          <w:tcPr>
            <w:tcW w:type="dxa" w:w="13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M06 · PSA</w:t>
            </w:r>
          </w:p>
        </w:tc>
        <w:tc>
          <w:tcPr>
            <w:tcW w:type="dxa" w:w="10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85,3</w:t>
            </w:r>
          </w:p>
        </w:tc>
        <w:tc>
          <w:tcPr>
            <w:tcW w:type="dxa" w:w="1042"/>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−12,1 %</w:t>
            </w:r>
          </w:p>
        </w:tc>
        <w:tc>
          <w:tcPr>
            <w:tcW w:type="dxa" w:w="1042"/>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−27,0 %</w:t>
            </w:r>
          </w:p>
        </w:tc>
        <w:tc>
          <w:tcPr>
            <w:tcW w:type="dxa" w:w="1042"/>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12,1 %</w:t>
            </w:r>
          </w:p>
        </w:tc>
        <w:tc>
          <w:tcPr>
            <w:tcW w:type="dxa" w:w="1042"/>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0,0 %</w:t>
            </w:r>
          </w:p>
        </w:tc>
        <w:tc>
          <w:tcPr>
            <w:tcW w:type="dxa" w:w="1042"/>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+7,6 %</w:t>
            </w:r>
          </w:p>
        </w:tc>
        <w:tc>
          <w:tcPr>
            <w:tcW w:type="dxa" w:w="1044"/>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1,4 %</w:t>
            </w:r>
          </w:p>
        </w:tc>
      </w:tr>
      <w:tr>
        <w:trPr>
          <w:cantSplit/>
        </w:trPr>
        <w:tc>
          <w:tcPr>
            <w:tcW w:type="dxa" w:w="13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M07 · KF</w:t>
            </w:r>
          </w:p>
        </w:tc>
        <w:tc>
          <w:tcPr>
            <w:tcW w:type="dxa" w:w="10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85,1</w:t>
            </w:r>
          </w:p>
        </w:tc>
        <w:tc>
          <w:tcPr>
            <w:tcW w:type="dxa" w:w="1042"/>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−18,1 %</w:t>
            </w:r>
          </w:p>
        </w:tc>
        <w:tc>
          <w:tcPr>
            <w:tcW w:type="dxa" w:w="1042"/>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−19,8 %</w:t>
            </w:r>
          </w:p>
        </w:tc>
        <w:tc>
          <w:tcPr>
            <w:tcW w:type="dxa" w:w="1042"/>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18,1 %</w:t>
            </w:r>
          </w:p>
        </w:tc>
        <w:tc>
          <w:tcPr>
            <w:tcW w:type="dxa" w:w="1042"/>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−3,2 %</w:t>
            </w:r>
          </w:p>
        </w:tc>
        <w:tc>
          <w:tcPr>
            <w:tcW w:type="dxa" w:w="1042"/>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+13,0 %</w:t>
            </w:r>
          </w:p>
        </w:tc>
        <w:tc>
          <w:tcPr>
            <w:tcW w:type="dxa" w:w="1044"/>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3,7 %</w:t>
            </w:r>
          </w:p>
        </w:tc>
      </w:tr>
      <w:tr>
        <w:trPr>
          <w:cantSplit/>
        </w:trPr>
        <w:tc>
          <w:tcPr>
            <w:tcW w:type="dxa" w:w="13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M08 · KF</w:t>
            </w:r>
          </w:p>
        </w:tc>
        <w:tc>
          <w:tcPr>
            <w:tcW w:type="dxa" w:w="10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128,4</w:t>
            </w:r>
          </w:p>
        </w:tc>
        <w:tc>
          <w:tcPr>
            <w:tcW w:type="dxa" w:w="1042"/>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−15,5 %</w:t>
            </w:r>
          </w:p>
        </w:tc>
        <w:tc>
          <w:tcPr>
            <w:tcW w:type="dxa" w:w="1042"/>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−19,9 %</w:t>
            </w:r>
          </w:p>
        </w:tc>
        <w:tc>
          <w:tcPr>
            <w:tcW w:type="dxa" w:w="1042"/>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15,5 %</w:t>
            </w:r>
          </w:p>
        </w:tc>
        <w:tc>
          <w:tcPr>
            <w:tcW w:type="dxa" w:w="1042"/>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−0,1 %</w:t>
            </w:r>
          </w:p>
        </w:tc>
        <w:tc>
          <w:tcPr>
            <w:tcW w:type="dxa" w:w="1042"/>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+13,4 %</w:t>
            </w:r>
          </w:p>
        </w:tc>
        <w:tc>
          <w:tcPr>
            <w:tcW w:type="dxa" w:w="1044"/>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3,2 %</w:t>
            </w:r>
          </w:p>
        </w:tc>
      </w:tr>
      <w:tr>
        <w:trPr>
          <w:cantSplit/>
        </w:trPr>
        <w:tc>
          <w:tcPr>
            <w:tcW w:type="dxa" w:w="13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M09 · DSC</w:t>
            </w:r>
          </w:p>
        </w:tc>
        <w:tc>
          <w:tcPr>
            <w:tcW w:type="dxa" w:w="10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72,4</w:t>
            </w:r>
          </w:p>
        </w:tc>
        <w:tc>
          <w:tcPr>
            <w:tcW w:type="dxa" w:w="1042"/>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−9,0 %</w:t>
            </w:r>
          </w:p>
        </w:tc>
        <w:tc>
          <w:tcPr>
            <w:tcW w:type="dxa" w:w="1042"/>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−24,5 %</w:t>
            </w:r>
          </w:p>
        </w:tc>
        <w:tc>
          <w:tcPr>
            <w:tcW w:type="dxa" w:w="1042"/>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9,0 %</w:t>
            </w:r>
          </w:p>
        </w:tc>
        <w:tc>
          <w:tcPr>
            <w:tcW w:type="dxa" w:w="1042"/>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+0,1 %</w:t>
            </w:r>
          </w:p>
        </w:tc>
        <w:tc>
          <w:tcPr>
            <w:tcW w:type="dxa" w:w="1042"/>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+8,9 %</w:t>
            </w:r>
          </w:p>
        </w:tc>
        <w:tc>
          <w:tcPr>
            <w:tcW w:type="dxa" w:w="1044"/>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1,5 %</w:t>
            </w:r>
          </w:p>
        </w:tc>
      </w:tr>
      <w:tr>
        <w:trPr>
          <w:cantSplit/>
        </w:trPr>
        <w:tc>
          <w:tcPr>
            <w:tcW w:type="dxa" w:w="13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M10 · DSC</w:t>
            </w:r>
          </w:p>
        </w:tc>
        <w:tc>
          <w:tcPr>
            <w:tcW w:type="dxa" w:w="10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186,2</w:t>
            </w:r>
          </w:p>
        </w:tc>
        <w:tc>
          <w:tcPr>
            <w:tcW w:type="dxa" w:w="1042"/>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−6,1 %</w:t>
            </w:r>
          </w:p>
        </w:tc>
        <w:tc>
          <w:tcPr>
            <w:tcW w:type="dxa" w:w="1042"/>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−30,7 %</w:t>
            </w:r>
          </w:p>
        </w:tc>
        <w:tc>
          <w:tcPr>
            <w:tcW w:type="dxa" w:w="1042"/>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8,0 %</w:t>
            </w:r>
          </w:p>
        </w:tc>
        <w:tc>
          <w:tcPr>
            <w:tcW w:type="dxa" w:w="1042"/>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+0,1 %</w:t>
            </w:r>
          </w:p>
        </w:tc>
        <w:tc>
          <w:tcPr>
            <w:tcW w:type="dxa" w:w="1042"/>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+3,4 %</w:t>
            </w:r>
          </w:p>
        </w:tc>
        <w:tc>
          <w:tcPr>
            <w:tcW w:type="dxa" w:w="1044"/>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0,6 %</w:t>
            </w:r>
          </w:p>
        </w:tc>
      </w:tr>
      <w:tr>
        <w:trPr>
          <w:cantSplit/>
        </w:trPr>
        <w:tc>
          <w:tcPr>
            <w:tcW w:type="dxa" w:w="13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M11 · XRPD</w:t>
            </w:r>
          </w:p>
        </w:tc>
        <w:tc>
          <w:tcPr>
            <w:tcW w:type="dxa" w:w="10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129,3</w:t>
            </w:r>
          </w:p>
        </w:tc>
        <w:tc>
          <w:tcPr>
            <w:tcW w:type="dxa" w:w="1042"/>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−24,3 %</w:t>
            </w:r>
          </w:p>
        </w:tc>
        <w:tc>
          <w:tcPr>
            <w:tcW w:type="dxa" w:w="1042"/>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−31,7 %</w:t>
            </w:r>
          </w:p>
        </w:tc>
        <w:tc>
          <w:tcPr>
            <w:tcW w:type="dxa" w:w="1042"/>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24,3 %</w:t>
            </w:r>
          </w:p>
        </w:tc>
        <w:tc>
          <w:tcPr>
            <w:tcW w:type="dxa" w:w="1042"/>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−8,1 %</w:t>
            </w:r>
          </w:p>
        </w:tc>
        <w:tc>
          <w:tcPr>
            <w:tcW w:type="dxa" w:w="1042"/>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−2,0 %</w:t>
            </w:r>
          </w:p>
        </w:tc>
        <w:tc>
          <w:tcPr>
            <w:tcW w:type="dxa" w:w="1044"/>
            <w:tcBorders>
              <w:top w:val="none" w:color="FFFFFF" w:sz="0"/>
              <w:left w:val="none" w:color="FFFFFF" w:sz="0"/>
              <w:bottom w:val="none" w:color="FFFFFF" w:sz="0"/>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8,1 %</w:t>
            </w:r>
          </w:p>
        </w:tc>
      </w:tr>
      <w:tr>
        <w:trPr>
          <w:cantSplit/>
        </w:trPr>
        <w:tc>
          <w:tcPr>
            <w:tcW w:type="dxa" w:w="1300"/>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M12 · XRPD</w:t>
            </w:r>
          </w:p>
        </w:tc>
        <w:tc>
          <w:tcPr>
            <w:tcW w:type="dxa" w:w="1000"/>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236,6</w:t>
            </w:r>
          </w:p>
        </w:tc>
        <w:tc>
          <w:tcPr>
            <w:tcW w:type="dxa" w:w="1042"/>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−10,3 %</w:t>
            </w:r>
          </w:p>
        </w:tc>
        <w:tc>
          <w:tcPr>
            <w:tcW w:type="dxa" w:w="1042"/>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−25,3 %</w:t>
            </w:r>
          </w:p>
        </w:tc>
        <w:tc>
          <w:tcPr>
            <w:tcW w:type="dxa" w:w="1042"/>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10,3 %</w:t>
            </w:r>
          </w:p>
        </w:tc>
        <w:tc>
          <w:tcPr>
            <w:tcW w:type="dxa" w:w="1042"/>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0,0 %</w:t>
            </w:r>
          </w:p>
        </w:tc>
        <w:tc>
          <w:tcPr>
            <w:tcW w:type="dxa" w:w="1042"/>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+9,7 %</w:t>
            </w:r>
          </w:p>
        </w:tc>
        <w:tc>
          <w:tcPr>
            <w:tcW w:type="dxa" w:w="1044"/>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1,0 %</w:t>
            </w:r>
          </w:p>
        </w:tc>
      </w:tr>
    </w:tbl>
    <w:p>
      <w:pPr>
        <w:spacing w:after="200" w:before="60" w:line="240"/>
        <w:jc w:val="left"/>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La media de la fuente va en minutos; lo demás, como porcentaje de la media o de la desviación de la fuente. Cada ensayo con el máximo de soluciones de su complejidad, un analista intermedio y tareas independientes; 400 000 ejecuciones por forma con la semilla 2026. Distancia: distancia de Wasserstein entre la duración simulada y la de la fuente, dividida por la media de la fuente. Propuesta: λ = 1, y λ = 0 en el montaje de PSA y la corrida de DSC.</w:t>
      </w:r>
    </w:p>
    <w:p>
      <w:pPr>
        <w:spacing w:after="120" w:before="0" w:line="288"/>
        <w:jc w:val="left"/>
      </w:pPr>
      <w:r>
        <w:rPr>
          <w:rFonts w:ascii="Times New Roman" w:cs="Times New Roman" w:eastAsia="Times New Roman" w:hAnsi="Times New Roman"/>
          <w:sz w:val="24"/>
          <w:szCs w:val="24"/>
        </w:rPr>
        <w:t xml:space="preserve">Fuera de los de HPLC, la mayor distancia que deja la propuesta está en M11 (8,1 %) y M07 (3,7 %), y no depende de λ. En los métodos de tramo inferior, la BetaPERT toma el final del tramo como máximo y lleva la densidad a cero justo donde la distribución de la técnica todavía es alta, así que su media se queda corta con cualquier λ: la corrida de M07 promedia 7,8 minutos con λ = 4 y 10,5 con λ = 1, frente a 13,1 en el tramo de la fuente (columna «Corrida promedio» del catálogo), y la de M11, 37,8 y 50,7 frente a 61,1. En los tramos superiores (M06, M08 y M12), el recorte deja la parte decreciente de la triangular, que es otra triangular con la moda en el mínimo, y λ = 1 reproduce su media exacta. En DSC la moda está en el centro del tramo y cualquier λ conserva la media, y en M05 el recorte es corto y la diferencia, pequeña.</w:t>
      </w:r>
    </w:p>
    <w:p>
      <w:pPr>
        <w:pStyle w:val="Heading2"/>
        <w:keepNext/>
      </w:pPr>
      <w:r>
        <w:rPr>
          <w:rFonts w:ascii="Times New Roman" w:cs="Times New Roman" w:eastAsia="Times New Roman" w:hAnsi="Times New Roman"/>
          <w:b/>
          <w:bCs/>
          <w:sz w:val="24"/>
          <w:szCs w:val="24"/>
        </w:rPr>
        <w:t xml:space="preserve">1.10 Decisiones abiertas</w:t>
      </w:r>
    </w:p>
    <w:p>
      <w:pPr>
        <w:pStyle w:val="ListParagraph"/>
        <w:numPr>
          <w:ilvl w:val="0"/>
          <w:numId w:val="2"/>
        </w:numPr>
        <w:spacing w:after="80" w:line="288"/>
      </w:pPr>
      <w:r>
        <w:rPr>
          <w:rFonts w:ascii="Times New Roman" w:cs="Times New Roman" w:eastAsia="Times New Roman" w:hAnsi="Times New Roman"/>
          <w:b/>
          <w:bCs/>
          <w:sz w:val="24"/>
          <w:szCs w:val="24"/>
        </w:rPr>
        <w:t xml:space="preserve">Forma de las tareas triangulares. </w:t>
      </w:r>
      <w:r>
        <w:rPr>
          <w:rFonts w:ascii="Times New Roman" w:cs="Times New Roman" w:eastAsia="Times New Roman" w:hAnsi="Times New Roman"/>
          <w:sz w:val="24"/>
          <w:szCs w:val="24"/>
        </w:rPr>
        <w:t xml:space="preserve">λ = 4 sigue la PERT clásica, pero corre la duración de los ensayos a la izquierda de la fuente y la angosta: queda en promedio a 11,2 % de la fuente (sección 1.9) y baja las medias con que se calibró el catálogo y con las que se validarán las duraciones (indicador T5). λ = 1 conserva esas medias y queda a 2,7 %, aunque ensancha los ensayos que dependen de la preparación, como los de HPLC. Propuesta: λ = 1 en el escenario base y λ = 4 como sensibilidad, que además muestra el efecto de la elección de la distribución que recoge el anteproyecto. Con λ = 1, la media PERT clásica que el diccionario propone como línea base del O2 queda por debajo de la media real, como le pasaría a un planificador que estima con esa fórmula.</w:t>
      </w:r>
    </w:p>
    <w:p>
      <w:pPr>
        <w:pStyle w:val="ListParagraph"/>
        <w:numPr>
          <w:ilvl w:val="0"/>
          <w:numId w:val="2"/>
        </w:numPr>
        <w:spacing w:after="80" w:line="288"/>
      </w:pPr>
      <w:r>
        <w:rPr>
          <w:rFonts w:ascii="Times New Roman" w:cs="Times New Roman" w:eastAsia="Times New Roman" w:hAnsi="Times New Roman"/>
          <w:b/>
          <w:bCs/>
          <w:sz w:val="24"/>
          <w:szCs w:val="24"/>
        </w:rPr>
        <w:t xml:space="preserve">Tareas uniformes. </w:t>
      </w:r>
      <w:r>
        <w:rPr>
          <w:rFonts w:ascii="Times New Roman" w:cs="Times New Roman" w:eastAsia="Times New Roman" w:hAnsi="Times New Roman"/>
          <w:sz w:val="24"/>
          <w:szCs w:val="24"/>
        </w:rPr>
        <w:t xml:space="preserve">Propuesta: λ = 0 para el montaje de PSA y la corrida de DSC, que reproduce la fuente (panel M10 de la Figura 1). La alternativa es la moda en el punto medio con la misma λ de las demás tareas, que concentra esas tareas alrededor del centro.</w:t>
      </w:r>
    </w:p>
    <w:p>
      <w:pPr>
        <w:pStyle w:val="ListParagraph"/>
        <w:numPr>
          <w:ilvl w:val="0"/>
          <w:numId w:val="2"/>
        </w:numPr>
        <w:spacing w:after="80" w:line="288"/>
      </w:pPr>
      <w:r>
        <w:rPr>
          <w:rFonts w:ascii="Times New Roman" w:cs="Times New Roman" w:eastAsia="Times New Roman" w:hAnsi="Times New Roman"/>
          <w:b/>
          <w:bCs/>
          <w:sz w:val="24"/>
          <w:szCs w:val="24"/>
        </w:rPr>
        <w:t xml:space="preserve">Corrida de los métodos de tramo. </w:t>
      </w:r>
      <w:r>
        <w:rPr>
          <w:rFonts w:ascii="Times New Roman" w:cs="Times New Roman" w:eastAsia="Times New Roman" w:hAnsi="Times New Roman"/>
          <w:sz w:val="24"/>
          <w:szCs w:val="24"/>
        </w:rPr>
        <w:t xml:space="preserve">Propuesta: sacar la corrida de PSA, KF, DSC y XRPD de la BetaPERT de la técnica limitada al tramo de cuantiles del método (cuantil_betapert con una probabilidad entre «Cuantil desde» y «Cuantil hasta»), que es como el supuesto S15 define el tramo. Así, los dos métodos de cada técnica juntos reproducen la distribución completa de la técnica con cualquier λ. Cambian los extremos de cada tramo en minutos y, con ellos, las columnas de corrida del catálogo. La alternativa más simple, con λ = 1, es mover la moda de la corrida de M05, M07 y M11 hasta que la media de su BetaPERT sea la del tramo, a costa de que t_mas_probable deje de ser el valor más probable de la técnica.</w:t>
      </w:r>
    </w:p>
    <w:p>
      <w:pPr>
        <w:pStyle w:val="ListParagraph"/>
        <w:numPr>
          <w:ilvl w:val="0"/>
          <w:numId w:val="2"/>
        </w:numPr>
        <w:spacing w:after="80" w:line="288"/>
      </w:pPr>
      <w:r>
        <w:rPr>
          <w:rFonts w:ascii="Times New Roman" w:cs="Times New Roman" w:eastAsia="Times New Roman" w:hAnsi="Times New Roman"/>
          <w:b/>
          <w:bCs/>
          <w:sz w:val="24"/>
          <w:szCs w:val="24"/>
        </w:rPr>
        <w:t xml:space="preserve">Dónde se fija λ. </w:t>
      </w:r>
      <w:r>
        <w:rPr>
          <w:rFonts w:ascii="Times New Roman" w:cs="Times New Roman" w:eastAsia="Times New Roman" w:hAnsi="Times New Roman"/>
          <w:sz w:val="24"/>
          <w:szCs w:val="24"/>
        </w:rPr>
        <w:t xml:space="preserve">Propuesta: una columna «Forma λ» en la hoja «Duraciones», con el valor de cada tarea, para que el generador la lea junto con los tres puntos. muestrear_ensayo ya acepta una λ por tarea; la columna se agrega cuando se decida la forma.</w:t>
      </w:r>
    </w:p>
    <w:p>
      <w:pPr>
        <w:pStyle w:val="ListParagraph"/>
        <w:numPr>
          <w:ilvl w:val="0"/>
          <w:numId w:val="2"/>
        </w:numPr>
        <w:spacing w:after="80" w:line="288"/>
      </w:pPr>
      <w:r>
        <w:rPr>
          <w:rFonts w:ascii="Times New Roman" w:cs="Times New Roman" w:eastAsia="Times New Roman" w:hAnsi="Times New Roman"/>
          <w:b/>
          <w:bCs/>
          <w:sz w:val="24"/>
          <w:szCs w:val="24"/>
        </w:rPr>
        <w:t xml:space="preserve">Preparación e idoneidad del sistema. </w:t>
      </w:r>
      <w:r>
        <w:rPr>
          <w:rFonts w:ascii="Times New Roman" w:cs="Times New Roman" w:eastAsia="Times New Roman" w:hAnsi="Times New Roman"/>
          <w:sz w:val="24"/>
          <w:szCs w:val="24"/>
        </w:rPr>
        <w:t xml:space="preserve">Faltan sus tres puntos y la frecuencia con que un registro las necesita. En el modelo de Costigliola et al. (2017, Tabla 6, p. 9019) promedian 207 y 227 minutos en HPLC y 67 y 152 en GC, y la referencia del indicador T5 compara los ensayos de HPLC y GC con alistamiento con el laboratorio de Coito et al. (2021, p. 74), donde el 90 % de los ensayos dura entre 458 y 786 minutos sin contar el procesamiento de datos ni la revisión. Cuando entren, esos ensayos formarán un segundo grupo, mucho más largo, que la Figura 1 todavía no muestra.</w:t>
      </w:r>
    </w:p>
    <w:p>
      <w:pPr>
        <w:pStyle w:val="Heading2"/>
        <w:keepNext/>
      </w:pPr>
      <w:r>
        <w:rPr>
          <w:rFonts w:ascii="Times New Roman" w:cs="Times New Roman" w:eastAsia="Times New Roman" w:hAnsi="Times New Roman"/>
          <w:b/>
          <w:bCs/>
          <w:sz w:val="24"/>
          <w:szCs w:val="24"/>
        </w:rPr>
        <w:t xml:space="preserve">1.11 Estado del módulo</w:t>
      </w:r>
    </w:p>
    <w:p>
      <w:pPr>
        <w:spacing w:after="120" w:before="0" w:line="288"/>
        <w:jc w:val="left"/>
      </w:pPr>
      <w:r>
        <w:rPr>
          <w:rFonts w:ascii="Times New Roman" w:cs="Times New Roman" w:eastAsia="Times New Roman" w:hAnsi="Times New Roman"/>
          <w:sz w:val="24"/>
          <w:szCs w:val="24"/>
        </w:rPr>
        <w:t xml:space="preserve">El módulo src/generador/duraciones.py queda probado: sus 33 pruebas de tests/test_duraciones.py pasan, junto con las demás del repositorio (114 en total), y, con las 26 de tests/test_correlacion.py (sección 2), ejecutan el 100 % de sus 59 sentencias y de sus 14 ramas (cobertura medida con pytest-cov). La revisión de la forma no encontró errores en el código: lo que dejó son las decisiones de la sección 1.10, que cambian parámetros (la λ de cada tarea, los tres puntos del sistema y la regla de la corrida de los tramos) y no la manera de llamar a las funciones. El resto del generador ya puede pedir la duración de cada registro con muestrear_ensayo.</w:t>
      </w:r>
    </w:p>
    <w:p>
      <w:pPr>
        <w:pStyle w:val="Heading1"/>
        <w:keepNext/>
      </w:pPr>
      <w:r>
        <w:rPr>
          <w:rFonts w:ascii="Times New Roman" w:cs="Times New Roman" w:eastAsia="Times New Roman" w:hAnsi="Times New Roman"/>
          <w:b/>
          <w:bCs/>
          <w:sz w:val="26"/>
          <w:szCs w:val="26"/>
        </w:rPr>
        <w:t xml:space="preserve">2. Factores de correlación</w:t>
      </w:r>
    </w:p>
    <w:p>
      <w:pPr>
        <w:pStyle w:val="Heading2"/>
        <w:keepNext/>
      </w:pPr>
      <w:r>
        <w:rPr>
          <w:rFonts w:ascii="Times New Roman" w:cs="Times New Roman" w:eastAsia="Times New Roman" w:hAnsi="Times New Roman"/>
          <w:b/>
          <w:bCs/>
          <w:sz w:val="24"/>
          <w:szCs w:val="24"/>
        </w:rPr>
        <w:t xml:space="preserve">2.1 Qué se correlaciona</w:t>
      </w:r>
    </w:p>
    <w:p>
      <w:pPr>
        <w:spacing w:after="120" w:before="0" w:line="288"/>
        <w:jc w:val="left"/>
      </w:pPr>
      <w:r>
        <w:rPr>
          <w:rFonts w:ascii="Times New Roman" w:cs="Times New Roman" w:eastAsia="Times New Roman" w:hAnsi="Times New Roman"/>
          <w:sz w:val="24"/>
          <w:szCs w:val="24"/>
        </w:rPr>
        <w:t xml:space="preserve">El anteproyecto genera las duraciones con simulación de Monte Carlo, estimaciones de tres puntos y factores de correlación (§1.4), y pide incorporar la correlación entre variables en lugar de asumir independencia por conveniencia (§5.2, a partir de Hassi et al., 2025). Como ejemplo, el bloque propone la complejidad, el número de soluciones y la duración. Entre ellas, la dependencia principal es estructural y ya está en el diseño del generador: el número de soluciones se sortea en el rango de la complejidad del método (S08 y S11; lo hará el bloque de llegadas) y la preparación del análisis es el tiempo por solución multiplicado por el número de soluciones (Costigliola et al., 2017, p. 9019), como ya la calcula registro.tres_puntos_tareas. Inducir además un coeficiente entre esas variables contaría dos veces la misma relación. Por eso el supuesto S04 deja la relación estructural como dependencia principal y usa el coeficiente solo para el ruido: la variación de cada tarea alrededor de sus tres puntos.</w:t>
      </w:r>
    </w:p>
    <w:p>
      <w:pPr>
        <w:spacing w:after="120" w:before="0" w:line="288"/>
        <w:jc w:val="left"/>
      </w:pPr>
      <w:r>
        <w:rPr>
          <w:rFonts w:ascii="Times New Roman" w:cs="Times New Roman" w:eastAsia="Times New Roman" w:hAnsi="Times New Roman"/>
          <w:sz w:val="24"/>
          <w:szCs w:val="24"/>
        </w:rPr>
        <w:t xml:space="preserve">El ruido que comparten las tareas de una ejecución es el del analista. La preparación del sistema, la preparación del análisis, el montaje y el procesamiento de datos los hace el mismo analista en la misma ejecución (Costigliola et al., 2017, p. 9016, Fig. 1; un analista por registro, diccionario de datos, sección 1), así que lo que lo demora en ella (interrupciones mientras trabaja o, en la preparación del análisis y el procesamiento de datos, una muestra difícil de manejar) tiende a demorar las otras. La correlación no liga ejecuciones distintas del mismo analista o del mismo día: eso sería otra dependencia, que ninguna fuente describe. La idoneidad y la corrida, en cambio, las hace el equipo. En HPLC y GC la corrida sale del informe del método y la fuente la trata como determinista (p. 9016, Tabla 3), así que su variación en el generador es un supuesto propio (S05 y S14); en PSA, KF, DSC y XRPD la fuente le da una distribución por técnica, que el generador reparte en tramos entre los métodos (S15). En ningún caso depende del analista. La idoneidad y la corrida son inyecciones del mismo método en el mismo sistema y podrían variar juntas, y la idoneidad se hace con lo que deja listo la preparación del sistema (Fig. 1), pero ninguna fuente cuantifica esas relaciones. La disponibilidad del equipo, que sí comparten la idoneidad y la corrida, se simula aparte, con las fallas y las ventanas de mantenimiento (S02 y S26).</w:t>
      </w:r>
    </w:p>
    <w:p>
      <w:pPr>
        <w:spacing w:after="120" w:before="0" w:line="288"/>
        <w:jc w:val="left"/>
      </w:pPr>
      <w:r>
        <w:rPr>
          <w:rFonts w:ascii="Times New Roman" w:cs="Times New Roman" w:eastAsia="Times New Roman" w:hAnsi="Times New Roman"/>
          <w:sz w:val="24"/>
          <w:szCs w:val="24"/>
        </w:rPr>
        <w:t xml:space="preserve">La matriz objetivo queda así: ρ = 0,5 entre las cuatro tareas del analista, con sensibilidad de 0,3 y 0,7, y 0 en los pares con la idoneidad o la corrida. Todos los valores son correlaciones de rangos (ρ de Spearman), que no dependen de la forma de las distribuciones de las tareas. Ninguna de las fuentes de calibración da coeficientes. Hassi et al. (2025, p. 339), la referencia del anteproyecto para los factores de correlación, usan 0,3 entre actividades parecidas que comparten riesgos comunes (por ejemplo, requisitos de mano de obra similares), 0,4 entre las que dependen de recursos compartidos, como la disponibilidad de equipos, y 0,5 entre las que dependen del clima, sin decir de dónde salen esos valores. La matriz está en la hoja «Correlaciones» del Excel, que toma el ρ de S04 y dice de dónde sale cada valor; la Tabla 5 lo resume.</w:t>
      </w:r>
    </w:p>
    <w:p>
      <w:pPr>
        <w:keepNext/>
        <w:spacing w:after="0" w:before="200" w:line="288"/>
        <w:jc w:val="left"/>
      </w:pPr>
      <w:r>
        <w:rPr>
          <w:rFonts w:ascii="Times New Roman" w:cs="Times New Roman" w:eastAsia="Times New Roman" w:hAnsi="Times New Roman"/>
          <w:b/>
          <w:bCs/>
          <w:sz w:val="24"/>
          <w:szCs w:val="24"/>
        </w:rPr>
        <w:t xml:space="preserve">Tabla 5</w:t>
      </w:r>
    </w:p>
    <w:p>
      <w:pPr>
        <w:keepNext/>
        <w:spacing w:after="80" w:before="0" w:line="288"/>
        <w:jc w:val="left"/>
      </w:pPr>
      <w:r>
        <w:rPr>
          <w:rFonts w:ascii="Times New Roman" w:cs="Times New Roman" w:eastAsia="Times New Roman" w:hAnsi="Times New Roman"/>
          <w:i/>
          <w:iCs/>
          <w:sz w:val="24"/>
          <w:szCs w:val="24"/>
        </w:rPr>
        <w:t xml:space="preserve">De dónde sale cada correlación entre las variables del registro</w:t>
      </w:r>
    </w:p>
    <w:tbl>
      <w:tblPr>
        <w:tblW w:type="dxa" w:w="8554"/>
        <w:tblBorders>
          <w:top w:val="none" w:color="FFFFFF" w:sz="0"/>
          <w:left w:val="none" w:color="FFFFFF" w:sz="0"/>
          <w:bottom w:val="none" w:color="FFFFFF" w:sz="0"/>
          <w:right w:val="none" w:color="FFFFFF" w:sz="0"/>
          <w:insideH w:val="none" w:color="FFFFFF" w:sz="0"/>
          <w:insideV w:val="none" w:color="FFFFFF" w:sz="0"/>
        </w:tblBorders>
      </w:tblPr>
      <w:tblGrid>
        <w:gridCol w:w="2000"/>
        <w:gridCol w:w="1150"/>
        <w:gridCol w:w="1350"/>
        <w:gridCol w:w="4054"/>
      </w:tblGrid>
      <w:tr>
        <w:trPr>
          <w:cantSplit/>
          <w:tblHeader/>
        </w:trPr>
        <w:tc>
          <w:tcPr>
            <w:tcW w:type="dxa" w:w="2000"/>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bCs/>
                <w:sz w:val="18"/>
                <w:szCs w:val="18"/>
              </w:rPr>
              <w:t xml:space="preserve">Pares</w:t>
            </w:r>
          </w:p>
        </w:tc>
        <w:tc>
          <w:tcPr>
            <w:tcW w:type="dxa" w:w="1150"/>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bCs/>
                <w:sz w:val="18"/>
                <w:szCs w:val="18"/>
              </w:rPr>
              <w:t xml:space="preserve">ρ objetivo</w:t>
            </w:r>
          </w:p>
        </w:tc>
        <w:tc>
          <w:tcPr>
            <w:tcW w:type="dxa" w:w="1350"/>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bCs/>
                <w:sz w:val="18"/>
                <w:szCs w:val="18"/>
              </w:rPr>
              <w:t xml:space="preserve">Tipo</w:t>
            </w:r>
          </w:p>
        </w:tc>
        <w:tc>
          <w:tcPr>
            <w:tcW w:type="dxa" w:w="4054"/>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bCs/>
                <w:sz w:val="18"/>
                <w:szCs w:val="18"/>
              </w:rPr>
              <w:t xml:space="preserve">De dónde sale</w:t>
            </w:r>
          </w:p>
        </w:tc>
      </w:tr>
      <w:tr>
        <w:trPr>
          <w:cantSplit/>
        </w:trPr>
        <w:tc>
          <w:tcPr>
            <w:tcW w:type="dxa" w:w="20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18"/>
                <w:szCs w:val="18"/>
              </w:rPr>
              <w:t xml:space="preserve">Tareas del analista entre sí (6 pares)</w:t>
            </w:r>
          </w:p>
        </w:tc>
        <w:tc>
          <w:tcPr>
            <w:tcW w:type="dxa" w:w="1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8"/>
                <w:szCs w:val="18"/>
              </w:rPr>
              <w:t xml:space="preserve">0,5 (0,3 y 0,7)</w:t>
            </w:r>
          </w:p>
        </w:tc>
        <w:tc>
          <w:tcPr>
            <w:tcW w:type="dxa" w:w="13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8"/>
                <w:szCs w:val="18"/>
              </w:rPr>
              <w:t xml:space="preserve">Supuesto S04</w:t>
            </w:r>
          </w:p>
        </w:tc>
        <w:tc>
          <w:tcPr>
            <w:tcW w:type="dxa" w:w="40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18"/>
                <w:szCs w:val="18"/>
              </w:rPr>
              <w:t xml:space="preserve">Las hace el mismo analista en la misma ejecución (Costigliola et al., 2017, p. 9016, Fig. 1). Ninguna fuente de calibración da el coeficiente; Hassi et al. (2025, p. 339) usan 0,3 entre actividades parecidas que comparten riesgos comunes, como requisitos de mano de obra similares.</w:t>
            </w:r>
          </w:p>
        </w:tc>
      </w:tr>
      <w:tr>
        <w:trPr>
          <w:cantSplit/>
        </w:trPr>
        <w:tc>
          <w:tcPr>
            <w:tcW w:type="dxa" w:w="20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18"/>
                <w:szCs w:val="18"/>
              </w:rPr>
              <w:t xml:space="preserve">Corrida con las tareas del analista (4 pares)</w:t>
            </w:r>
          </w:p>
        </w:tc>
        <w:tc>
          <w:tcPr>
            <w:tcW w:type="dxa" w:w="1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8"/>
                <w:szCs w:val="18"/>
              </w:rPr>
              <w:t xml:space="preserve">0</w:t>
            </w:r>
          </w:p>
        </w:tc>
        <w:tc>
          <w:tcPr>
            <w:tcW w:type="dxa" w:w="13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8"/>
                <w:szCs w:val="18"/>
              </w:rPr>
              <w:t xml:space="preserve">Independencia justificada</w:t>
            </w:r>
          </w:p>
        </w:tc>
        <w:tc>
          <w:tcPr>
            <w:tcW w:type="dxa" w:w="40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18"/>
                <w:szCs w:val="18"/>
              </w:rPr>
              <w:t xml:space="preserve">La hace el equipo. En HPLC y GC es determinista en la fuente (p. 9016, Tabla 3) y su variación es un supuesto propio (S05 y S14); en las demás técnicas sale de la distribución de la fuente, por tramos (S15).</w:t>
            </w:r>
          </w:p>
        </w:tc>
      </w:tr>
      <w:tr>
        <w:trPr>
          <w:cantSplit/>
        </w:trPr>
        <w:tc>
          <w:tcPr>
            <w:tcW w:type="dxa" w:w="20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18"/>
                <w:szCs w:val="18"/>
              </w:rPr>
              <w:t xml:space="preserve">Idoneidad con la preparación del análisis, el montaje y el procesamiento (3 pares)</w:t>
            </w:r>
          </w:p>
        </w:tc>
        <w:tc>
          <w:tcPr>
            <w:tcW w:type="dxa" w:w="1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8"/>
                <w:szCs w:val="18"/>
              </w:rPr>
              <w:t xml:space="preserve">0</w:t>
            </w:r>
          </w:p>
        </w:tc>
        <w:tc>
          <w:tcPr>
            <w:tcW w:type="dxa" w:w="13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8"/>
                <w:szCs w:val="18"/>
              </w:rPr>
              <w:t xml:space="preserve">Independencia justificada</w:t>
            </w:r>
          </w:p>
        </w:tc>
        <w:tc>
          <w:tcPr>
            <w:tcW w:type="dxa" w:w="40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18"/>
                <w:szCs w:val="18"/>
              </w:rPr>
              <w:t xml:space="preserve">La hace el equipo, en paralelo con la preparación del análisis (p. 9017, Fig. 3); el factor del nivel del analista (S07) no la toca.</w:t>
            </w:r>
          </w:p>
        </w:tc>
      </w:tr>
      <w:tr>
        <w:trPr>
          <w:cantSplit/>
        </w:trPr>
        <w:tc>
          <w:tcPr>
            <w:tcW w:type="dxa" w:w="20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18"/>
                <w:szCs w:val="18"/>
              </w:rPr>
              <w:t xml:space="preserve">Idoneidad con la preparación del sistema (1 par)</w:t>
            </w:r>
          </w:p>
        </w:tc>
        <w:tc>
          <w:tcPr>
            <w:tcW w:type="dxa" w:w="1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8"/>
                <w:szCs w:val="18"/>
              </w:rPr>
              <w:t xml:space="preserve">0</w:t>
            </w:r>
          </w:p>
        </w:tc>
        <w:tc>
          <w:tcPr>
            <w:tcW w:type="dxa" w:w="13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8"/>
                <w:szCs w:val="18"/>
              </w:rPr>
              <w:t xml:space="preserve">Supuesto de independencia</w:t>
            </w:r>
          </w:p>
        </w:tc>
        <w:tc>
          <w:tcPr>
            <w:tcW w:type="dxa" w:w="40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18"/>
                <w:szCs w:val="18"/>
              </w:rPr>
              <w:t xml:space="preserve">La idoneidad se hace con lo que deja listo esa preparación (p. 9016, Fig. 1), así que podrían relacionarse, pero ninguna fuente lo cuantifica.</w:t>
            </w:r>
          </w:p>
        </w:tc>
      </w:tr>
      <w:tr>
        <w:trPr>
          <w:cantSplit/>
        </w:trPr>
        <w:tc>
          <w:tcPr>
            <w:tcW w:type="dxa" w:w="20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18"/>
                <w:szCs w:val="18"/>
              </w:rPr>
              <w:t xml:space="preserve">Idoneidad con corrida (1 par)</w:t>
            </w:r>
          </w:p>
        </w:tc>
        <w:tc>
          <w:tcPr>
            <w:tcW w:type="dxa" w:w="1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8"/>
                <w:szCs w:val="18"/>
              </w:rPr>
              <w:t xml:space="preserve">0</w:t>
            </w:r>
          </w:p>
        </w:tc>
        <w:tc>
          <w:tcPr>
            <w:tcW w:type="dxa" w:w="13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8"/>
                <w:szCs w:val="18"/>
              </w:rPr>
              <w:t xml:space="preserve">Supuesto de independencia</w:t>
            </w:r>
          </w:p>
        </w:tc>
        <w:tc>
          <w:tcPr>
            <w:tcW w:type="dxa" w:w="40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18"/>
                <w:szCs w:val="18"/>
              </w:rPr>
              <w:t xml:space="preserve">Son inyecciones del mismo método en el mismo sistema y podrían variar juntas, pero ninguna fuente lo cuantifica. La disponibilidad del equipo, que comparten, se simula aparte (S02 y S26).</w:t>
            </w:r>
          </w:p>
        </w:tc>
      </w:tr>
      <w:tr>
        <w:trPr>
          <w:cantSplit/>
        </w:trPr>
        <w:tc>
          <w:tcPr>
            <w:tcW w:type="dxa" w:w="20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18"/>
                <w:szCs w:val="18"/>
              </w:rPr>
              <w:t xml:space="preserve">Complejidad y número de soluciones</w:t>
            </w:r>
          </w:p>
        </w:tc>
        <w:tc>
          <w:tcPr>
            <w:tcW w:type="dxa" w:w="1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8"/>
                <w:szCs w:val="18"/>
              </w:rPr>
              <w:t xml:space="preserve">No aplica</w:t>
            </w:r>
          </w:p>
        </w:tc>
        <w:tc>
          <w:tcPr>
            <w:tcW w:type="dxa" w:w="13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8"/>
                <w:szCs w:val="18"/>
              </w:rPr>
              <w:t xml:space="preserve">Estructural</w:t>
            </w:r>
          </w:p>
        </w:tc>
        <w:tc>
          <w:tcPr>
            <w:tcW w:type="dxa" w:w="40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18"/>
                <w:szCs w:val="18"/>
              </w:rPr>
              <w:t xml:space="preserve">El número de soluciones se sortea en el rango de la complejidad: 1–2, 3–4 o 5–6 (S08 y S11).</w:t>
            </w:r>
          </w:p>
        </w:tc>
      </w:tr>
      <w:tr>
        <w:trPr>
          <w:cantSplit/>
        </w:trPr>
        <w:tc>
          <w:tcPr>
            <w:tcW w:type="dxa" w:w="20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18"/>
                <w:szCs w:val="18"/>
              </w:rPr>
              <w:t xml:space="preserve">Número de soluciones y preparación del análisis</w:t>
            </w:r>
          </w:p>
        </w:tc>
        <w:tc>
          <w:tcPr>
            <w:tcW w:type="dxa" w:w="1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8"/>
                <w:szCs w:val="18"/>
              </w:rPr>
              <w:t xml:space="preserve">No aplica</w:t>
            </w:r>
          </w:p>
        </w:tc>
        <w:tc>
          <w:tcPr>
            <w:tcW w:type="dxa" w:w="13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8"/>
                <w:szCs w:val="18"/>
              </w:rPr>
              <w:t xml:space="preserve">Estructural</w:t>
            </w:r>
          </w:p>
        </w:tc>
        <w:tc>
          <w:tcPr>
            <w:tcW w:type="dxa" w:w="40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18"/>
                <w:szCs w:val="18"/>
              </w:rPr>
              <w:t xml:space="preserve">Preparación = tiempo por solución × número de soluciones (Costigliola et al., 2017, p. 9019).</w:t>
            </w:r>
          </w:p>
        </w:tc>
      </w:tr>
      <w:tr>
        <w:trPr>
          <w:cantSplit/>
        </w:trPr>
        <w:tc>
          <w:tcPr>
            <w:tcW w:type="dxa" w:w="20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18"/>
                <w:szCs w:val="18"/>
              </w:rPr>
              <w:t xml:space="preserve">Tareas entre sí a través del método</w:t>
            </w:r>
          </w:p>
        </w:tc>
        <w:tc>
          <w:tcPr>
            <w:tcW w:type="dxa" w:w="1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8"/>
                <w:szCs w:val="18"/>
              </w:rPr>
              <w:t xml:space="preserve">No aplica</w:t>
            </w:r>
          </w:p>
        </w:tc>
        <w:tc>
          <w:tcPr>
            <w:tcW w:type="dxa" w:w="13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8"/>
                <w:szCs w:val="18"/>
              </w:rPr>
              <w:t xml:space="preserve">Estructural</w:t>
            </w:r>
          </w:p>
        </w:tc>
        <w:tc>
          <w:tcPr>
            <w:tcW w:type="dxa" w:w="40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18"/>
                <w:szCs w:val="18"/>
              </w:rPr>
              <w:t xml:space="preserve">Cada método tiene sus propios tres puntos, así que, en el dataset, las tareas de un método largo salen largas a la vez (sección 2.5).</w:t>
            </w:r>
          </w:p>
        </w:tc>
      </w:tr>
      <w:tr>
        <w:trPr>
          <w:cantSplit/>
        </w:trPr>
        <w:tc>
          <w:tcPr>
            <w:tcW w:type="dxa" w:w="2000"/>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Nivel del analista y sus tareas</w:t>
            </w:r>
          </w:p>
        </w:tc>
        <w:tc>
          <w:tcPr>
            <w:tcW w:type="dxa" w:w="1150"/>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No aplica</w:t>
            </w:r>
          </w:p>
        </w:tc>
        <w:tc>
          <w:tcPr>
            <w:tcW w:type="dxa" w:w="1350"/>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Estructural</w:t>
            </w:r>
          </w:p>
        </w:tc>
        <w:tc>
          <w:tcPr>
            <w:tcW w:type="dxa" w:w="4054"/>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El factor del nivel (S07) multiplica las cuatro tareas del analista; los métodos de complejidad alta solo los hace un sénior (S12).</w:t>
            </w:r>
          </w:p>
        </w:tc>
      </w:tr>
    </w:tbl>
    <w:p>
      <w:pPr>
        <w:spacing w:after="200" w:before="60" w:line="240"/>
        <w:jc w:val="left"/>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Estructural: la dependencia sale del cálculo del generador y no se induce. La hoja «Correlaciones» del Excel tiene la matriz completa y cómo se verifica cada par.</w:t>
      </w:r>
    </w:p>
    <w:p>
      <w:pPr>
        <w:pStyle w:val="Heading2"/>
        <w:keepNext/>
      </w:pPr>
      <w:r>
        <w:rPr>
          <w:rFonts w:ascii="Times New Roman" w:cs="Times New Roman" w:eastAsia="Times New Roman" w:hAnsi="Times New Roman"/>
          <w:b/>
          <w:bCs/>
          <w:sz w:val="24"/>
          <w:szCs w:val="24"/>
        </w:rPr>
        <w:t xml:space="preserve">2.2 Cómo se induce</w:t>
      </w:r>
    </w:p>
    <w:p>
      <w:pPr>
        <w:spacing w:after="120" w:before="0" w:line="288"/>
        <w:jc w:val="left"/>
      </w:pPr>
      <w:r>
        <w:rPr>
          <w:rFonts w:ascii="Times New Roman" w:cs="Times New Roman" w:eastAsia="Times New Roman" w:hAnsi="Times New Roman"/>
          <w:sz w:val="24"/>
          <w:szCs w:val="24"/>
        </w:rPr>
        <w:t xml:space="preserve">La función muestrear_ensayo tiene ahora un parámetro correlacion. Sin él, las tareas salen independientes, que es como las usan la Figura 1 y la sección 1.9 para compararse con la fuente, que da una distribución por tarea y no dice nada de su dependencia. Con un número, los pares de tareas del analista toman ese ρ y los demás quedan como en la hoja «Correlaciones» (hoy, independientes); también recibe la matriz completa, por ejemplo la de la hoja, que da la función correlacion.matriz_objetivo(). El generador tendrá que pasarle esa matriz para aplicar S04.</w:t>
      </w:r>
    </w:p>
    <w:p>
      <w:pPr>
        <w:spacing w:after="120" w:before="0" w:line="288"/>
        <w:jc w:val="left"/>
      </w:pPr>
      <w:r>
        <w:rPr>
          <w:rFonts w:ascii="Times New Roman" w:cs="Times New Roman" w:eastAsia="Times New Roman" w:hAnsi="Times New Roman"/>
          <w:sz w:val="24"/>
          <w:szCs w:val="24"/>
        </w:rPr>
        <w:t xml:space="preserve">Las tareas salen de una cópula gaussiana (src/generador/correlacion.py). Primero se sacan normales con la matriz de correlación r = 2 sen(πρ/6), que es la que da exactamente la correlación de rangos ρ (Clemen y Reilly, 1999, p. 211): para ρ = 0,5, r = 0,518. Cada normal se convierte en una uniforme con la función de distribución normal, y cada uniforme, en minutos con cuantil_betapert (sección 1.1), con los tres puntos y la forma λ de su tarea (Clemen y Reilly, 1999, p. 218). Como el cuantil conserva el orden, la correlación de rangos de las duraciones es la de las normales, y cada tarea sigue teniendo exactamente su BetaPERT. El factor del nivel del analista multiplica después sus cuatro tareas por el mismo número, así que tampoco cambia los rangos.</w:t>
      </w:r>
    </w:p>
    <w:p>
      <w:pPr>
        <w:spacing w:after="120" w:before="0" w:line="288"/>
        <w:jc w:val="left"/>
      </w:pPr>
      <w:r>
        <w:rPr>
          <w:rFonts w:ascii="Times New Roman" w:cs="Times New Roman" w:eastAsia="Times New Roman" w:hAnsi="Times New Roman"/>
          <w:sz w:val="24"/>
          <w:szCs w:val="24"/>
        </w:rPr>
        <w:t xml:space="preserve">La alternativa es el método de Iman y Conover (1982), en la función correlacion.inducir_correlacion: toma tareas ya generadas, independientes, y las reordena para que sus rangos sigan a los de unos puntajes normales con una correlación dada, sin cambiar ningún valor. Se le hizo un cambio: a los puntajes se les da la correlación de la normal que corresponde a la objetivo, r = 2 sen(πρ/6), y no la objetivo misma, como en el artículo, para que la correlación de rangos llegue a ρ; sin ese paso, ρ = 0,5 quedaría en 0,48. Sirve para correlacionar valores que no salen de un cuantil, como los que se tomen de otra fuente.</w:t>
      </w:r>
    </w:p>
    <w:p>
      <w:pPr>
        <w:pStyle w:val="Heading2"/>
        <w:keepNext/>
      </w:pPr>
      <w:r>
        <w:rPr>
          <w:rFonts w:ascii="Times New Roman" w:cs="Times New Roman" w:eastAsia="Times New Roman" w:hAnsi="Times New Roman"/>
          <w:b/>
          <w:bCs/>
          <w:sz w:val="24"/>
          <w:szCs w:val="24"/>
        </w:rPr>
        <w:t xml:space="preserve">2.3 Matriz obtenida frente a la objetivo</w:t>
      </w:r>
    </w:p>
    <w:p>
      <w:pPr>
        <w:spacing w:after="120" w:before="0" w:line="288"/>
        <w:jc w:val="left"/>
      </w:pPr>
      <w:r>
        <w:rPr>
          <w:rFonts w:ascii="Times New Roman" w:cs="Times New Roman" w:eastAsia="Times New Roman" w:hAnsi="Times New Roman"/>
          <w:sz w:val="24"/>
          <w:szCs w:val="24"/>
        </w:rPr>
        <w:t xml:space="preserve">La Tabla 6 compara la correlación de rangos obtenida con la objetivo en sustancias relacionadas por HPLC (M02), con 200 000 ejecuciones. Con las dos maneras de inducirla, ningún par se aparta más de 0,004 de la objetivo; sin correlación, todos los pares quedan en cero, que es como salían las tareas antes de este bloque. La Figura 2 muestra el mismo efecto en la preparación y el montaje.</w:t>
      </w:r>
    </w:p>
    <w:p>
      <w:pPr>
        <w:keepNext/>
        <w:spacing w:after="0" w:before="200" w:line="288"/>
        <w:jc w:val="left"/>
      </w:pPr>
      <w:r>
        <w:rPr>
          <w:rFonts w:ascii="Times New Roman" w:cs="Times New Roman" w:eastAsia="Times New Roman" w:hAnsi="Times New Roman"/>
          <w:b/>
          <w:bCs/>
          <w:sz w:val="24"/>
          <w:szCs w:val="24"/>
        </w:rPr>
        <w:t xml:space="preserve">Tabla 6</w:t>
      </w:r>
    </w:p>
    <w:p>
      <w:pPr>
        <w:keepNext/>
        <w:spacing w:after="80" w:before="0" w:line="288"/>
        <w:jc w:val="left"/>
      </w:pPr>
      <w:r>
        <w:rPr>
          <w:rFonts w:ascii="Times New Roman" w:cs="Times New Roman" w:eastAsia="Times New Roman" w:hAnsi="Times New Roman"/>
          <w:i/>
          <w:iCs/>
          <w:sz w:val="24"/>
          <w:szCs w:val="24"/>
        </w:rPr>
        <w:t xml:space="preserve">Correlación de rangos objetivo y obtenida entre las tareas de M02</w:t>
      </w:r>
    </w:p>
    <w:tbl>
      <w:tblPr>
        <w:tblW w:type="dxa" w:w="8554"/>
        <w:tblBorders>
          <w:top w:val="none" w:color="FFFFFF" w:sz="0"/>
          <w:left w:val="none" w:color="FFFFFF" w:sz="0"/>
          <w:bottom w:val="none" w:color="FFFFFF" w:sz="0"/>
          <w:right w:val="none" w:color="FFFFFF" w:sz="0"/>
          <w:insideH w:val="none" w:color="FFFFFF" w:sz="0"/>
          <w:insideV w:val="none" w:color="FFFFFF" w:sz="0"/>
        </w:tblBorders>
      </w:tblPr>
      <w:tblGrid>
        <w:gridCol w:w="2554"/>
        <w:gridCol w:w="1500"/>
        <w:gridCol w:w="1500"/>
        <w:gridCol w:w="1500"/>
        <w:gridCol w:w="1500"/>
      </w:tblGrid>
      <w:tr>
        <w:trPr>
          <w:cantSplit/>
          <w:tblHeader/>
        </w:trPr>
        <w:tc>
          <w:tcPr>
            <w:tcW w:type="dxa" w:w="2554"/>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bCs/>
                <w:sz w:val="18"/>
                <w:szCs w:val="18"/>
              </w:rPr>
              <w:t xml:space="preserve">Par de tareas</w:t>
            </w:r>
          </w:p>
        </w:tc>
        <w:tc>
          <w:tcPr>
            <w:tcW w:type="dxa" w:w="1500"/>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bCs/>
                <w:sz w:val="18"/>
                <w:szCs w:val="18"/>
              </w:rPr>
              <w:t xml:space="preserve">Objetivo</w:t>
            </w:r>
          </w:p>
        </w:tc>
        <w:tc>
          <w:tcPr>
            <w:tcW w:type="dxa" w:w="1500"/>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bCs/>
                <w:sz w:val="18"/>
                <w:szCs w:val="18"/>
              </w:rPr>
              <w:t xml:space="preserve">Cópula</w:t>
            </w:r>
          </w:p>
        </w:tc>
        <w:tc>
          <w:tcPr>
            <w:tcW w:type="dxa" w:w="1500"/>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bCs/>
                <w:sz w:val="18"/>
                <w:szCs w:val="18"/>
              </w:rPr>
              <w:t xml:space="preserve">Iman y Conover</w:t>
            </w:r>
          </w:p>
        </w:tc>
        <w:tc>
          <w:tcPr>
            <w:tcW w:type="dxa" w:w="1500"/>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bCs/>
                <w:sz w:val="18"/>
                <w:szCs w:val="18"/>
              </w:rPr>
              <w:t xml:space="preserve">Independientes</w:t>
            </w:r>
          </w:p>
        </w:tc>
      </w:tr>
      <w:tr>
        <w:trPr>
          <w:cantSplit/>
        </w:trPr>
        <w:tc>
          <w:tcPr>
            <w:tcW w:type="dxa" w:w="25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18"/>
                <w:szCs w:val="18"/>
              </w:rPr>
              <w:t xml:space="preserve">Preparación – montaje</w:t>
            </w:r>
          </w:p>
        </w:tc>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8"/>
                <w:szCs w:val="18"/>
              </w:rPr>
              <w:t xml:space="preserve">0,5</w:t>
            </w:r>
          </w:p>
        </w:tc>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8"/>
                <w:szCs w:val="18"/>
              </w:rPr>
              <w:t xml:space="preserve">0,496</w:t>
            </w:r>
          </w:p>
        </w:tc>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8"/>
                <w:szCs w:val="18"/>
              </w:rPr>
              <w:t xml:space="preserve">0,500</w:t>
            </w:r>
          </w:p>
        </w:tc>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8"/>
                <w:szCs w:val="18"/>
              </w:rPr>
              <w:t xml:space="preserve">0,001</w:t>
            </w:r>
          </w:p>
        </w:tc>
      </w:tr>
      <w:tr>
        <w:trPr>
          <w:cantSplit/>
        </w:trPr>
        <w:tc>
          <w:tcPr>
            <w:tcW w:type="dxa" w:w="25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18"/>
                <w:szCs w:val="18"/>
              </w:rPr>
              <w:t xml:space="preserve">Preparación – corrida</w:t>
            </w:r>
          </w:p>
        </w:tc>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8"/>
                <w:szCs w:val="18"/>
              </w:rPr>
              <w:t xml:space="preserve">0</w:t>
            </w:r>
          </w:p>
        </w:tc>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8"/>
                <w:szCs w:val="18"/>
              </w:rPr>
              <w:t xml:space="preserve">0,002</w:t>
            </w:r>
          </w:p>
        </w:tc>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8"/>
                <w:szCs w:val="18"/>
              </w:rPr>
              <w:t xml:space="preserve">0,000</w:t>
            </w:r>
          </w:p>
        </w:tc>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8"/>
                <w:szCs w:val="18"/>
              </w:rPr>
              <w:t xml:space="preserve">0,002</w:t>
            </w:r>
          </w:p>
        </w:tc>
      </w:tr>
      <w:tr>
        <w:trPr>
          <w:cantSplit/>
        </w:trPr>
        <w:tc>
          <w:tcPr>
            <w:tcW w:type="dxa" w:w="25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18"/>
                <w:szCs w:val="18"/>
              </w:rPr>
              <w:t xml:space="preserve">Preparación – procesamiento</w:t>
            </w:r>
          </w:p>
        </w:tc>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8"/>
                <w:szCs w:val="18"/>
              </w:rPr>
              <w:t xml:space="preserve">0,5</w:t>
            </w:r>
          </w:p>
        </w:tc>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8"/>
                <w:szCs w:val="18"/>
              </w:rPr>
              <w:t xml:space="preserve">0,500</w:t>
            </w:r>
          </w:p>
        </w:tc>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8"/>
                <w:szCs w:val="18"/>
              </w:rPr>
              <w:t xml:space="preserve">0,500</w:t>
            </w:r>
          </w:p>
        </w:tc>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8"/>
                <w:szCs w:val="18"/>
              </w:rPr>
              <w:t xml:space="preserve">0,001</w:t>
            </w:r>
          </w:p>
        </w:tc>
      </w:tr>
      <w:tr>
        <w:trPr>
          <w:cantSplit/>
        </w:trPr>
        <w:tc>
          <w:tcPr>
            <w:tcW w:type="dxa" w:w="25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18"/>
                <w:szCs w:val="18"/>
              </w:rPr>
              <w:t xml:space="preserve">Montaje – corrida</w:t>
            </w:r>
          </w:p>
        </w:tc>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8"/>
                <w:szCs w:val="18"/>
              </w:rPr>
              <w:t xml:space="preserve">0</w:t>
            </w:r>
          </w:p>
        </w:tc>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8"/>
                <w:szCs w:val="18"/>
              </w:rPr>
              <w:t xml:space="preserve">0,001</w:t>
            </w:r>
          </w:p>
        </w:tc>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8"/>
                <w:szCs w:val="18"/>
              </w:rPr>
              <w:t xml:space="preserve">−0,001</w:t>
            </w:r>
          </w:p>
        </w:tc>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8"/>
                <w:szCs w:val="18"/>
              </w:rPr>
              <w:t xml:space="preserve">0,003</w:t>
            </w:r>
          </w:p>
        </w:tc>
      </w:tr>
      <w:tr>
        <w:trPr>
          <w:cantSplit/>
        </w:trPr>
        <w:tc>
          <w:tcPr>
            <w:tcW w:type="dxa" w:w="25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18"/>
                <w:szCs w:val="18"/>
              </w:rPr>
              <w:t xml:space="preserve">Montaje – procesamiento</w:t>
            </w:r>
          </w:p>
        </w:tc>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8"/>
                <w:szCs w:val="18"/>
              </w:rPr>
              <w:t xml:space="preserve">0,5</w:t>
            </w:r>
          </w:p>
        </w:tc>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8"/>
                <w:szCs w:val="18"/>
              </w:rPr>
              <w:t xml:space="preserve">0,499</w:t>
            </w:r>
          </w:p>
        </w:tc>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8"/>
                <w:szCs w:val="18"/>
              </w:rPr>
              <w:t xml:space="preserve">0,500</w:t>
            </w:r>
          </w:p>
        </w:tc>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8"/>
                <w:szCs w:val="18"/>
              </w:rPr>
              <w:t xml:space="preserve">0,004</w:t>
            </w:r>
          </w:p>
        </w:tc>
      </w:tr>
      <w:tr>
        <w:trPr>
          <w:cantSplit/>
        </w:trPr>
        <w:tc>
          <w:tcPr>
            <w:tcW w:type="dxa" w:w="2554"/>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Corrida – procesamiento</w:t>
            </w:r>
          </w:p>
        </w:tc>
        <w:tc>
          <w:tcPr>
            <w:tcW w:type="dxa" w:w="1500"/>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0</w:t>
            </w:r>
          </w:p>
        </w:tc>
        <w:tc>
          <w:tcPr>
            <w:tcW w:type="dxa" w:w="1500"/>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−0,001</w:t>
            </w:r>
          </w:p>
        </w:tc>
        <w:tc>
          <w:tcPr>
            <w:tcW w:type="dxa" w:w="1500"/>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0,000</w:t>
            </w:r>
          </w:p>
        </w:tc>
        <w:tc>
          <w:tcPr>
            <w:tcW w:type="dxa" w:w="1500"/>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−0,001</w:t>
            </w:r>
          </w:p>
        </w:tc>
      </w:tr>
    </w:tbl>
    <w:p>
      <w:pPr>
        <w:spacing w:after="200" w:before="60" w:line="240"/>
        <w:jc w:val="left"/>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Cuatro soluciones y un analista intermedio; 200 000 ejecuciones con la semilla 2026 (cuaderno 02, tabla correlacion_objetivo_vs_obtenida.csv). Cópula: muestrear_ensayo con la matriz objetivo. Iman y Conover: las tareas independientes, reordenadas. La preparación y la idoneidad del sistema valen cero hasta que se fijen sus tres puntos (sección 1.10), así que sus pares no se pueden medir aquí; las pruebas los verifican con tres puntos de ensayo.</w:t>
      </w:r>
    </w:p>
    <w:p>
      <w:pPr>
        <w:spacing w:after="120" w:before="0" w:line="288"/>
        <w:jc w:val="left"/>
      </w:pPr>
      <w:r>
        <w:rPr>
          <w:rFonts w:ascii="Times New Roman" w:cs="Times New Roman" w:eastAsia="Times New Roman" w:hAnsi="Times New Roman"/>
          <w:sz w:val="24"/>
          <w:szCs w:val="24"/>
        </w:rPr>
        <w:t xml:space="preserve">En los doce ensayos, con el máximo de soluciones de cada uno y una semilla distinta por ensayo, el mayor error es 0,005 con la cópula y 0,002 con Iman y Conover, con ρ = 0,3, 0,5 y 0,7 (tabla correlacion_error_maximo.csv). El error no depende del ensayo, porque la correlación de rangos solo depende del orden de los valores y no de sus distribuciones. Con 200 000 ejecuciones el error estándar de cada correlación es de unas 0,002, así que lo que queda es azar; Iman y Conover queda más cerca porque ajusta exactamente la correlación de sus puntajes.</w:t>
      </w:r>
    </w:p>
    <w:p>
      <w:pPr>
        <w:keepNext/>
        <w:spacing w:after="0" w:before="200" w:line="288"/>
        <w:jc w:val="left"/>
      </w:pPr>
      <w:r>
        <w:rPr>
          <w:rFonts w:ascii="Times New Roman" w:cs="Times New Roman" w:eastAsia="Times New Roman" w:hAnsi="Times New Roman"/>
          <w:b/>
          <w:bCs/>
          <w:sz w:val="24"/>
          <w:szCs w:val="24"/>
        </w:rPr>
        <w:t xml:space="preserve">Figura 2</w:t>
      </w:r>
    </w:p>
    <w:p>
      <w:pPr>
        <w:keepNext/>
        <w:spacing w:after="80" w:before="0" w:line="288"/>
        <w:jc w:val="left"/>
      </w:pPr>
      <w:r>
        <w:rPr>
          <w:rFonts w:ascii="Times New Roman" w:cs="Times New Roman" w:eastAsia="Times New Roman" w:hAnsi="Times New Roman"/>
          <w:i/>
          <w:iCs/>
          <w:sz w:val="24"/>
          <w:szCs w:val="24"/>
        </w:rPr>
        <w:t xml:space="preserve">Preparación del análisis frente a montaje del equipo en M02, sin correlación y con la matriz objetivo</w:t>
      </w:r>
    </w:p>
    <w:p>
      <w:pPr>
        <w:keepNext/>
        <w:spacing w:after="0" w:before="0"/>
      </w:pPr>
      <w:r>
        <w:drawing>
          <wp:inline distT="0" distB="0" distL="0" distR="0">
            <wp:extent cx="5391150" cy="2558512"/>
            <wp:effectExtent t="0" r="0" b="0" l="0"/>
            <wp:docPr id="2" name="figura-2" descr="Dos paneles de puntos con la preparación del análisis en el eje horizontal y el montaje del equipo en el vertical, en minutos. A la izquierda, en gris, las tareas independientes forman una nube sin dirección (ρ de Spearman = 0,00). A la derecha, en azul, con ρ = 0,5 entre las tareas del analista, la nube sube hacia la derecha (ρ de Spearman = 0,50)." title="Preparación del análisis frente a montaje del equipo en M02, sin correlación y con la matriz obje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91150" cy="2558512"/>
                    </a:xfrm>
                    <a:prstGeom prst="rect">
                      <a:avLst/>
                    </a:prstGeom>
                  </pic:spPr>
                </pic:pic>
              </a:graphicData>
            </a:graphic>
          </wp:inline>
        </w:drawing>
      </w:r>
    </w:p>
    <w:p>
      <w:pPr>
        <w:spacing w:after="200" w:before="60" w:line="240"/>
        <w:jc w:val="left"/>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2 000 ejecuciones de cada muestreo, con cuatro soluciones y un analista intermedio; la correlación de rangos de cada panel se calcula con las 200 000 de la Tabla 6. Los ejes van del mínimo al máximo de cada tarea.</w:t>
      </w:r>
    </w:p>
    <w:p>
      <w:pPr>
        <w:pStyle w:val="Heading2"/>
        <w:keepNext/>
      </w:pPr>
      <w:r>
        <w:rPr>
          <w:rFonts w:ascii="Times New Roman" w:cs="Times New Roman" w:eastAsia="Times New Roman" w:hAnsi="Times New Roman"/>
          <w:b/>
          <w:bCs/>
          <w:sz w:val="24"/>
          <w:szCs w:val="24"/>
        </w:rPr>
        <w:t xml:space="preserve">2.4 Efecto en la duración</w:t>
      </w:r>
    </w:p>
    <w:p>
      <w:pPr>
        <w:spacing w:after="120" w:before="0" w:line="288"/>
        <w:jc w:val="left"/>
      </w:pPr>
      <w:r>
        <w:rPr>
          <w:rFonts w:ascii="Times New Roman" w:cs="Times New Roman" w:eastAsia="Times New Roman" w:hAnsi="Times New Roman"/>
          <w:sz w:val="24"/>
          <w:szCs w:val="24"/>
        </w:rPr>
        <w:t xml:space="preserve">La correlación no cambia la media de la duración, porque la media de una suma es la suma de las medias: en los doce ensayos queda a menos de 0,2 % de la que dan las tareas independientes. Lo que cambia es la dispersión, porque las tareas del analista ya no se compensan entre sí. La Tabla 7 da el aumento de la desviación estándar con cada ρ y, en minutos, el del percentil 95 con ρ = 0,5.</w:t>
      </w:r>
    </w:p>
    <w:p>
      <w:pPr>
        <w:keepNext/>
        <w:spacing w:after="0" w:before="200" w:line="288"/>
        <w:jc w:val="left"/>
      </w:pPr>
      <w:r>
        <w:rPr>
          <w:rFonts w:ascii="Times New Roman" w:cs="Times New Roman" w:eastAsia="Times New Roman" w:hAnsi="Times New Roman"/>
          <w:b/>
          <w:bCs/>
          <w:sz w:val="24"/>
          <w:szCs w:val="24"/>
        </w:rPr>
        <w:t xml:space="preserve">Tabla 7</w:t>
      </w:r>
    </w:p>
    <w:p>
      <w:pPr>
        <w:keepNext/>
        <w:spacing w:after="80" w:before="0" w:line="288"/>
        <w:jc w:val="left"/>
      </w:pPr>
      <w:r>
        <w:rPr>
          <w:rFonts w:ascii="Times New Roman" w:cs="Times New Roman" w:eastAsia="Times New Roman" w:hAnsi="Times New Roman"/>
          <w:i/>
          <w:iCs/>
          <w:sz w:val="24"/>
          <w:szCs w:val="24"/>
        </w:rPr>
        <w:t xml:space="preserve">Cambio de la dispersión de la duración con la correlación entre las tareas del analista</w:t>
      </w:r>
    </w:p>
    <w:tbl>
      <w:tblPr>
        <w:tblW w:type="dxa" w:w="8554"/>
        <w:tblBorders>
          <w:top w:val="none" w:color="FFFFFF" w:sz="0"/>
          <w:left w:val="none" w:color="FFFFFF" w:sz="0"/>
          <w:bottom w:val="none" w:color="FFFFFF" w:sz="0"/>
          <w:right w:val="none" w:color="FFFFFF" w:sz="0"/>
          <w:insideH w:val="none" w:color="FFFFFF" w:sz="0"/>
          <w:insideV w:val="none" w:color="FFFFFF" w:sz="0"/>
        </w:tblBorders>
      </w:tblPr>
      <w:tblGrid>
        <w:gridCol w:w="1354"/>
        <w:gridCol w:w="1440"/>
        <w:gridCol w:w="1440"/>
        <w:gridCol w:w="1440"/>
        <w:gridCol w:w="1440"/>
        <w:gridCol w:w="1440"/>
      </w:tblGrid>
      <w:tr>
        <w:trPr>
          <w:cantSplit/>
          <w:tblHeader/>
        </w:trPr>
        <w:tc>
          <w:tcPr>
            <w:tcW w:type="dxa" w:w="1354"/>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bCs/>
                <w:sz w:val="18"/>
                <w:szCs w:val="18"/>
              </w:rPr>
              <w:t xml:space="preserve">Ensayo</w:t>
            </w:r>
          </w:p>
        </w:tc>
        <w:tc>
          <w:tcPr>
            <w:tcW w:type="dxa" w:w="1440"/>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bCs/>
                <w:sz w:val="18"/>
                <w:szCs w:val="18"/>
              </w:rPr>
              <w:t xml:space="preserve">Desviación sin correlación (min)</w:t>
            </w:r>
          </w:p>
        </w:tc>
        <w:tc>
          <w:tcPr>
            <w:tcW w:type="dxa" w:w="1440"/>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bCs/>
                <w:sz w:val="18"/>
                <w:szCs w:val="18"/>
              </w:rPr>
              <w:t xml:space="preserve">Desviación, ρ = 0,3</w:t>
            </w:r>
          </w:p>
        </w:tc>
        <w:tc>
          <w:tcPr>
            <w:tcW w:type="dxa" w:w="1440"/>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bCs/>
                <w:sz w:val="18"/>
                <w:szCs w:val="18"/>
              </w:rPr>
              <w:t xml:space="preserve">Desviación, ρ = 0,5</w:t>
            </w:r>
          </w:p>
        </w:tc>
        <w:tc>
          <w:tcPr>
            <w:tcW w:type="dxa" w:w="1440"/>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bCs/>
                <w:sz w:val="18"/>
                <w:szCs w:val="18"/>
              </w:rPr>
              <w:t xml:space="preserve">Desviación, ρ = 0,7</w:t>
            </w:r>
          </w:p>
        </w:tc>
        <w:tc>
          <w:tcPr>
            <w:tcW w:type="dxa" w:w="1440"/>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bCs/>
                <w:sz w:val="18"/>
                <w:szCs w:val="18"/>
              </w:rPr>
              <w:t xml:space="preserve">P95, ρ = 0,5 (min)</w:t>
            </w:r>
          </w:p>
        </w:tc>
      </w:tr>
      <w:tr>
        <w:trPr>
          <w:cantSplit/>
        </w:trPr>
        <w:tc>
          <w:tcPr>
            <w:tcW w:type="dxa" w:w="13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18"/>
                <w:szCs w:val="18"/>
              </w:rPr>
              <w:t xml:space="preserve">M01 · HPLC</w:t>
            </w:r>
          </w:p>
        </w:tc>
        <w:tc>
          <w:tcPr>
            <w:tcW w:type="dxa" w:w="144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8"/>
                <w:szCs w:val="18"/>
              </w:rPr>
              <w:t xml:space="preserve">36,5</w:t>
            </w:r>
          </w:p>
        </w:tc>
        <w:tc>
          <w:tcPr>
            <w:tcW w:type="dxa" w:w="144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8"/>
                <w:szCs w:val="18"/>
              </w:rPr>
              <w:t xml:space="preserve">+6,9 %</w:t>
            </w:r>
          </w:p>
        </w:tc>
        <w:tc>
          <w:tcPr>
            <w:tcW w:type="dxa" w:w="144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8"/>
                <w:szCs w:val="18"/>
              </w:rPr>
              <w:t xml:space="preserve">+11,5 %</w:t>
            </w:r>
          </w:p>
        </w:tc>
        <w:tc>
          <w:tcPr>
            <w:tcW w:type="dxa" w:w="144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8"/>
                <w:szCs w:val="18"/>
              </w:rPr>
              <w:t xml:space="preserve">+15,8 %</w:t>
            </w:r>
          </w:p>
        </w:tc>
        <w:tc>
          <w:tcPr>
            <w:tcW w:type="dxa" w:w="144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8"/>
                <w:szCs w:val="18"/>
              </w:rPr>
              <w:t xml:space="preserve">+6,8</w:t>
            </w:r>
          </w:p>
        </w:tc>
      </w:tr>
      <w:tr>
        <w:trPr>
          <w:cantSplit/>
        </w:trPr>
        <w:tc>
          <w:tcPr>
            <w:tcW w:type="dxa" w:w="13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18"/>
                <w:szCs w:val="18"/>
              </w:rPr>
              <w:t xml:space="preserve">M02 · HPLC</w:t>
            </w:r>
          </w:p>
        </w:tc>
        <w:tc>
          <w:tcPr>
            <w:tcW w:type="dxa" w:w="144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8"/>
                <w:szCs w:val="18"/>
              </w:rPr>
              <w:t xml:space="preserve">72,1</w:t>
            </w:r>
          </w:p>
        </w:tc>
        <w:tc>
          <w:tcPr>
            <w:tcW w:type="dxa" w:w="144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8"/>
                <w:szCs w:val="18"/>
              </w:rPr>
              <w:t xml:space="preserve">+3,6 %</w:t>
            </w:r>
          </w:p>
        </w:tc>
        <w:tc>
          <w:tcPr>
            <w:tcW w:type="dxa" w:w="144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8"/>
                <w:szCs w:val="18"/>
              </w:rPr>
              <w:t xml:space="preserve">+6,0 %</w:t>
            </w:r>
          </w:p>
        </w:tc>
        <w:tc>
          <w:tcPr>
            <w:tcW w:type="dxa" w:w="144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8"/>
                <w:szCs w:val="18"/>
              </w:rPr>
              <w:t xml:space="preserve">+8,3 %</w:t>
            </w:r>
          </w:p>
        </w:tc>
        <w:tc>
          <w:tcPr>
            <w:tcW w:type="dxa" w:w="144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8"/>
                <w:szCs w:val="18"/>
              </w:rPr>
              <w:t xml:space="preserve">+6,8</w:t>
            </w:r>
          </w:p>
        </w:tc>
      </w:tr>
      <w:tr>
        <w:trPr>
          <w:cantSplit/>
        </w:trPr>
        <w:tc>
          <w:tcPr>
            <w:tcW w:type="dxa" w:w="13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18"/>
                <w:szCs w:val="18"/>
              </w:rPr>
              <w:t xml:space="preserve">M03 · GC</w:t>
            </w:r>
          </w:p>
        </w:tc>
        <w:tc>
          <w:tcPr>
            <w:tcW w:type="dxa" w:w="144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8"/>
                <w:szCs w:val="18"/>
              </w:rPr>
              <w:t xml:space="preserve">13,3</w:t>
            </w:r>
          </w:p>
        </w:tc>
        <w:tc>
          <w:tcPr>
            <w:tcW w:type="dxa" w:w="144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8"/>
                <w:szCs w:val="18"/>
              </w:rPr>
              <w:t xml:space="preserve">+21,5 %</w:t>
            </w:r>
          </w:p>
        </w:tc>
        <w:tc>
          <w:tcPr>
            <w:tcW w:type="dxa" w:w="144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8"/>
                <w:szCs w:val="18"/>
              </w:rPr>
              <w:t xml:space="preserve">+34,0 %</w:t>
            </w:r>
          </w:p>
        </w:tc>
        <w:tc>
          <w:tcPr>
            <w:tcW w:type="dxa" w:w="144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8"/>
                <w:szCs w:val="18"/>
              </w:rPr>
              <w:t xml:space="preserve">+45,2 %</w:t>
            </w:r>
          </w:p>
        </w:tc>
        <w:tc>
          <w:tcPr>
            <w:tcW w:type="dxa" w:w="144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8"/>
                <w:szCs w:val="18"/>
              </w:rPr>
              <w:t xml:space="preserve">+8,8</w:t>
            </w:r>
          </w:p>
        </w:tc>
      </w:tr>
      <w:tr>
        <w:trPr>
          <w:cantSplit/>
        </w:trPr>
        <w:tc>
          <w:tcPr>
            <w:tcW w:type="dxa" w:w="13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18"/>
                <w:szCs w:val="18"/>
              </w:rPr>
              <w:t xml:space="preserve">M04 · GC</w:t>
            </w:r>
          </w:p>
        </w:tc>
        <w:tc>
          <w:tcPr>
            <w:tcW w:type="dxa" w:w="144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8"/>
                <w:szCs w:val="18"/>
              </w:rPr>
              <w:t xml:space="preserve">22,3</w:t>
            </w:r>
          </w:p>
        </w:tc>
        <w:tc>
          <w:tcPr>
            <w:tcW w:type="dxa" w:w="144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8"/>
                <w:szCs w:val="18"/>
              </w:rPr>
              <w:t xml:space="preserve">+14,5 %</w:t>
            </w:r>
          </w:p>
        </w:tc>
        <w:tc>
          <w:tcPr>
            <w:tcW w:type="dxa" w:w="144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8"/>
                <w:szCs w:val="18"/>
              </w:rPr>
              <w:t xml:space="preserve">+23,0 %</w:t>
            </w:r>
          </w:p>
        </w:tc>
        <w:tc>
          <w:tcPr>
            <w:tcW w:type="dxa" w:w="144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8"/>
                <w:szCs w:val="18"/>
              </w:rPr>
              <w:t xml:space="preserve">+30,9 %</w:t>
            </w:r>
          </w:p>
        </w:tc>
        <w:tc>
          <w:tcPr>
            <w:tcW w:type="dxa" w:w="144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8"/>
                <w:szCs w:val="18"/>
              </w:rPr>
              <w:t xml:space="preserve">+9,9</w:t>
            </w:r>
          </w:p>
        </w:tc>
      </w:tr>
      <w:tr>
        <w:trPr>
          <w:cantSplit/>
        </w:trPr>
        <w:tc>
          <w:tcPr>
            <w:tcW w:type="dxa" w:w="13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18"/>
                <w:szCs w:val="18"/>
              </w:rPr>
              <w:t xml:space="preserve">M05 · PSA</w:t>
            </w:r>
          </w:p>
        </w:tc>
        <w:tc>
          <w:tcPr>
            <w:tcW w:type="dxa" w:w="144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8"/>
                <w:szCs w:val="18"/>
              </w:rPr>
              <w:t xml:space="preserve">8,2</w:t>
            </w:r>
          </w:p>
        </w:tc>
        <w:tc>
          <w:tcPr>
            <w:tcW w:type="dxa" w:w="144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8"/>
                <w:szCs w:val="18"/>
              </w:rPr>
              <w:t xml:space="preserve">+19,9 %</w:t>
            </w:r>
          </w:p>
        </w:tc>
        <w:tc>
          <w:tcPr>
            <w:tcW w:type="dxa" w:w="144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8"/>
                <w:szCs w:val="18"/>
              </w:rPr>
              <w:t xml:space="preserve">+31,5 %</w:t>
            </w:r>
          </w:p>
        </w:tc>
        <w:tc>
          <w:tcPr>
            <w:tcW w:type="dxa" w:w="144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8"/>
                <w:szCs w:val="18"/>
              </w:rPr>
              <w:t xml:space="preserve">+41,8 %</w:t>
            </w:r>
          </w:p>
        </w:tc>
        <w:tc>
          <w:tcPr>
            <w:tcW w:type="dxa" w:w="144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8"/>
                <w:szCs w:val="18"/>
              </w:rPr>
              <w:t xml:space="preserve">+4,7</w:t>
            </w:r>
          </w:p>
        </w:tc>
      </w:tr>
      <w:tr>
        <w:trPr>
          <w:cantSplit/>
        </w:trPr>
        <w:tc>
          <w:tcPr>
            <w:tcW w:type="dxa" w:w="13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18"/>
                <w:szCs w:val="18"/>
              </w:rPr>
              <w:t xml:space="preserve">M06 · PSA</w:t>
            </w:r>
          </w:p>
        </w:tc>
        <w:tc>
          <w:tcPr>
            <w:tcW w:type="dxa" w:w="144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8"/>
                <w:szCs w:val="18"/>
              </w:rPr>
              <w:t xml:space="preserve">12,6</w:t>
            </w:r>
          </w:p>
        </w:tc>
        <w:tc>
          <w:tcPr>
            <w:tcW w:type="dxa" w:w="144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8"/>
                <w:szCs w:val="18"/>
              </w:rPr>
              <w:t xml:space="preserve">+15,7 %</w:t>
            </w:r>
          </w:p>
        </w:tc>
        <w:tc>
          <w:tcPr>
            <w:tcW w:type="dxa" w:w="144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8"/>
                <w:szCs w:val="18"/>
              </w:rPr>
              <w:t xml:space="preserve">+25,0 %</w:t>
            </w:r>
          </w:p>
        </w:tc>
        <w:tc>
          <w:tcPr>
            <w:tcW w:type="dxa" w:w="144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8"/>
                <w:szCs w:val="18"/>
              </w:rPr>
              <w:t xml:space="preserve">+33,5 %</w:t>
            </w:r>
          </w:p>
        </w:tc>
        <w:tc>
          <w:tcPr>
            <w:tcW w:type="dxa" w:w="144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8"/>
                <w:szCs w:val="18"/>
              </w:rPr>
              <w:t xml:space="preserve">+5,6</w:t>
            </w:r>
          </w:p>
        </w:tc>
      </w:tr>
      <w:tr>
        <w:trPr>
          <w:cantSplit/>
        </w:trPr>
        <w:tc>
          <w:tcPr>
            <w:tcW w:type="dxa" w:w="13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18"/>
                <w:szCs w:val="18"/>
              </w:rPr>
              <w:t xml:space="preserve">M07 · KF</w:t>
            </w:r>
          </w:p>
        </w:tc>
        <w:tc>
          <w:tcPr>
            <w:tcW w:type="dxa" w:w="144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8"/>
                <w:szCs w:val="18"/>
              </w:rPr>
              <w:t xml:space="preserve">17,6</w:t>
            </w:r>
          </w:p>
        </w:tc>
        <w:tc>
          <w:tcPr>
            <w:tcW w:type="dxa" w:w="144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8"/>
                <w:szCs w:val="18"/>
              </w:rPr>
              <w:t xml:space="preserve">+10,5 %</w:t>
            </w:r>
          </w:p>
        </w:tc>
        <w:tc>
          <w:tcPr>
            <w:tcW w:type="dxa" w:w="144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8"/>
                <w:szCs w:val="18"/>
              </w:rPr>
              <w:t xml:space="preserve">+16,7 %</w:t>
            </w:r>
          </w:p>
        </w:tc>
        <w:tc>
          <w:tcPr>
            <w:tcW w:type="dxa" w:w="144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8"/>
                <w:szCs w:val="18"/>
              </w:rPr>
              <w:t xml:space="preserve">+22,4 %</w:t>
            </w:r>
          </w:p>
        </w:tc>
        <w:tc>
          <w:tcPr>
            <w:tcW w:type="dxa" w:w="144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8"/>
                <w:szCs w:val="18"/>
              </w:rPr>
              <w:t xml:space="preserve">+5,2</w:t>
            </w:r>
          </w:p>
        </w:tc>
      </w:tr>
      <w:tr>
        <w:trPr>
          <w:cantSplit/>
        </w:trPr>
        <w:tc>
          <w:tcPr>
            <w:tcW w:type="dxa" w:w="13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18"/>
                <w:szCs w:val="18"/>
              </w:rPr>
              <w:t xml:space="preserve">M08 · KF</w:t>
            </w:r>
          </w:p>
        </w:tc>
        <w:tc>
          <w:tcPr>
            <w:tcW w:type="dxa" w:w="144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8"/>
                <w:szCs w:val="18"/>
              </w:rPr>
              <w:t xml:space="preserve">25,8</w:t>
            </w:r>
          </w:p>
        </w:tc>
        <w:tc>
          <w:tcPr>
            <w:tcW w:type="dxa" w:w="144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8"/>
                <w:szCs w:val="18"/>
              </w:rPr>
              <w:t xml:space="preserve">+6,8 %</w:t>
            </w:r>
          </w:p>
        </w:tc>
        <w:tc>
          <w:tcPr>
            <w:tcW w:type="dxa" w:w="144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8"/>
                <w:szCs w:val="18"/>
              </w:rPr>
              <w:t xml:space="preserve">+11,3 %</w:t>
            </w:r>
          </w:p>
        </w:tc>
        <w:tc>
          <w:tcPr>
            <w:tcW w:type="dxa" w:w="144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8"/>
                <w:szCs w:val="18"/>
              </w:rPr>
              <w:t xml:space="preserve">+15,5 %</w:t>
            </w:r>
          </w:p>
        </w:tc>
        <w:tc>
          <w:tcPr>
            <w:tcW w:type="dxa" w:w="144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8"/>
                <w:szCs w:val="18"/>
              </w:rPr>
              <w:t xml:space="preserve">+4,8</w:t>
            </w:r>
          </w:p>
        </w:tc>
      </w:tr>
      <w:tr>
        <w:trPr>
          <w:cantSplit/>
        </w:trPr>
        <w:tc>
          <w:tcPr>
            <w:tcW w:type="dxa" w:w="13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18"/>
                <w:szCs w:val="18"/>
              </w:rPr>
              <w:t xml:space="preserve">M09 · DSC</w:t>
            </w:r>
          </w:p>
        </w:tc>
        <w:tc>
          <w:tcPr>
            <w:tcW w:type="dxa" w:w="144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8"/>
                <w:szCs w:val="18"/>
              </w:rPr>
              <w:t xml:space="preserve">10,9</w:t>
            </w:r>
          </w:p>
        </w:tc>
        <w:tc>
          <w:tcPr>
            <w:tcW w:type="dxa" w:w="144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8"/>
                <w:szCs w:val="18"/>
              </w:rPr>
              <w:t xml:space="preserve">+10,1 %</w:t>
            </w:r>
          </w:p>
        </w:tc>
        <w:tc>
          <w:tcPr>
            <w:tcW w:type="dxa" w:w="144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8"/>
                <w:szCs w:val="18"/>
              </w:rPr>
              <w:t xml:space="preserve">+16,2 %</w:t>
            </w:r>
          </w:p>
        </w:tc>
        <w:tc>
          <w:tcPr>
            <w:tcW w:type="dxa" w:w="144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8"/>
                <w:szCs w:val="18"/>
              </w:rPr>
              <w:t xml:space="preserve">+21,9 %</w:t>
            </w:r>
          </w:p>
        </w:tc>
        <w:tc>
          <w:tcPr>
            <w:tcW w:type="dxa" w:w="144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8"/>
                <w:szCs w:val="18"/>
              </w:rPr>
              <w:t xml:space="preserve">+3,2</w:t>
            </w:r>
          </w:p>
        </w:tc>
      </w:tr>
      <w:tr>
        <w:trPr>
          <w:cantSplit/>
        </w:trPr>
        <w:tc>
          <w:tcPr>
            <w:tcW w:type="dxa" w:w="13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18"/>
                <w:szCs w:val="18"/>
              </w:rPr>
              <w:t xml:space="preserve">M10 · DSC</w:t>
            </w:r>
          </w:p>
        </w:tc>
        <w:tc>
          <w:tcPr>
            <w:tcW w:type="dxa" w:w="144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8"/>
                <w:szCs w:val="18"/>
              </w:rPr>
              <w:t xml:space="preserve">31,4</w:t>
            </w:r>
          </w:p>
        </w:tc>
        <w:tc>
          <w:tcPr>
            <w:tcW w:type="dxa" w:w="144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8"/>
                <w:szCs w:val="18"/>
              </w:rPr>
              <w:t xml:space="preserve">+2,3 %</w:t>
            </w:r>
          </w:p>
        </w:tc>
        <w:tc>
          <w:tcPr>
            <w:tcW w:type="dxa" w:w="144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8"/>
                <w:szCs w:val="18"/>
              </w:rPr>
              <w:t xml:space="preserve">+3,8 %</w:t>
            </w:r>
          </w:p>
        </w:tc>
        <w:tc>
          <w:tcPr>
            <w:tcW w:type="dxa" w:w="144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8"/>
                <w:szCs w:val="18"/>
              </w:rPr>
              <w:t xml:space="preserve">+5,2 %</w:t>
            </w:r>
          </w:p>
        </w:tc>
        <w:tc>
          <w:tcPr>
            <w:tcW w:type="dxa" w:w="144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8"/>
                <w:szCs w:val="18"/>
              </w:rPr>
              <w:t xml:space="preserve">+2,3</w:t>
            </w:r>
          </w:p>
        </w:tc>
      </w:tr>
      <w:tr>
        <w:trPr>
          <w:cantSplit/>
        </w:trPr>
        <w:tc>
          <w:tcPr>
            <w:tcW w:type="dxa" w:w="13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18"/>
                <w:szCs w:val="18"/>
              </w:rPr>
              <w:t xml:space="preserve">M11 · XRPD</w:t>
            </w:r>
          </w:p>
        </w:tc>
        <w:tc>
          <w:tcPr>
            <w:tcW w:type="dxa" w:w="144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8"/>
                <w:szCs w:val="18"/>
              </w:rPr>
              <w:t xml:space="preserve">21,4</w:t>
            </w:r>
          </w:p>
        </w:tc>
        <w:tc>
          <w:tcPr>
            <w:tcW w:type="dxa" w:w="144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8"/>
                <w:szCs w:val="18"/>
              </w:rPr>
              <w:t xml:space="preserve">+6,8 %</w:t>
            </w:r>
          </w:p>
        </w:tc>
        <w:tc>
          <w:tcPr>
            <w:tcW w:type="dxa" w:w="144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8"/>
                <w:szCs w:val="18"/>
              </w:rPr>
              <w:t xml:space="preserve">+11,0 %</w:t>
            </w:r>
          </w:p>
        </w:tc>
        <w:tc>
          <w:tcPr>
            <w:tcW w:type="dxa" w:w="144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8"/>
                <w:szCs w:val="18"/>
              </w:rPr>
              <w:t xml:space="preserve">+15,1 %</w:t>
            </w:r>
          </w:p>
        </w:tc>
        <w:tc>
          <w:tcPr>
            <w:tcW w:type="dxa" w:w="144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8"/>
                <w:szCs w:val="18"/>
              </w:rPr>
              <w:t xml:space="preserve">+3,8</w:t>
            </w:r>
          </w:p>
        </w:tc>
      </w:tr>
      <w:tr>
        <w:trPr>
          <w:cantSplit/>
        </w:trPr>
        <w:tc>
          <w:tcPr>
            <w:tcW w:type="dxa" w:w="1354"/>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M12 · XRPD</w:t>
            </w:r>
          </w:p>
        </w:tc>
        <w:tc>
          <w:tcPr>
            <w:tcW w:type="dxa" w:w="1440"/>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21,4</w:t>
            </w:r>
          </w:p>
        </w:tc>
        <w:tc>
          <w:tcPr>
            <w:tcW w:type="dxa" w:w="1440"/>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+9,5 %</w:t>
            </w:r>
          </w:p>
        </w:tc>
        <w:tc>
          <w:tcPr>
            <w:tcW w:type="dxa" w:w="1440"/>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+15,5 %</w:t>
            </w:r>
          </w:p>
        </w:tc>
        <w:tc>
          <w:tcPr>
            <w:tcW w:type="dxa" w:w="1440"/>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+21,0 %</w:t>
            </w:r>
          </w:p>
        </w:tc>
        <w:tc>
          <w:tcPr>
            <w:tcW w:type="dxa" w:w="1440"/>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+5,8</w:t>
            </w:r>
          </w:p>
        </w:tc>
      </w:tr>
    </w:tbl>
    <w:p>
      <w:pPr>
        <w:spacing w:after="200" w:before="60" w:line="240"/>
        <w:jc w:val="left"/>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Cambio frente a las tareas independientes, con λ = 4. Cada ensayo con el máximo de soluciones de su complejidad y un analista intermedio; 200 000 ejecuciones con una semilla distinta por ensayo (cuaderno 02, tabla correlacion_efecto_en_la_duracion.csv). P95: percentil 95 de la duración.</w:t>
      </w:r>
    </w:p>
    <w:p>
      <w:pPr>
        <w:spacing w:after="120" w:before="0" w:line="288"/>
        <w:jc w:val="left"/>
      </w:pPr>
      <w:r>
        <w:rPr>
          <w:rFonts w:ascii="Times New Roman" w:cs="Times New Roman" w:eastAsia="Times New Roman" w:hAnsi="Times New Roman"/>
          <w:sz w:val="24"/>
          <w:szCs w:val="24"/>
        </w:rPr>
        <w:t xml:space="preserve">El efecto depende de cómo se reparte la varianza entre las tareas del analista. Es pequeño cuando una sola tarea pesa casi toda: en M02, la preparación tiene el 96 % de la varianza y la desviación sube 6,0 % con ρ = 0,5; en M10 manda la corrida, que es del equipo (69 % de la varianza), y sube 3,8 %. Es grande cuando dos o tres tareas del analista pesan parecido, como en M03 (preparación, procesamiento y montaje) y M05 (preparación y montaje): +34,0 % y +31,5 %. En minutos, el percentil 95 sube más que la desviación (en M03, 8,8 minutos frente a 4,5), porque se ubica entre 1,7 y 1,8 desviaciones por encima de la media, que no cambia, y se mueve con ellas.</w:t>
      </w:r>
    </w:p>
    <w:p>
      <w:pPr>
        <w:spacing w:after="120" w:before="0" w:line="288"/>
        <w:jc w:val="left"/>
      </w:pPr>
      <w:r>
        <w:rPr>
          <w:rFonts w:ascii="Times New Roman" w:cs="Times New Roman" w:eastAsia="Times New Roman" w:hAnsi="Times New Roman"/>
          <w:sz w:val="24"/>
          <w:szCs w:val="24"/>
        </w:rPr>
        <w:t xml:space="preserve">Frente a la fuente, el efecto depende de la forma λ (Tabla 8). La dispersión de la fuente se calcula con sus distribuciones por tarea, casi todas triangulares (Costigliola et al., 2017, Tabla 3, p. 9016), tomadas independientes, porque la fuente no dice nada de su dependencia. Con λ = 4 las tareas son más angostas que esas triangulares, así que la duración queda menos dispersa que en la fuente (22,5 % de diferencia en promedio), y la correlación compensa esa diferencia: con ρ = 0,5 queda a 10,6 %. Con la propuesta de la sección 1.10 (λ = 1, y λ = 0 en las tareas uniformes), la BetaPERT es más ancha que la triangular con los mismos tres puntos, y la dispersión sin correlación ya queda a 10,8 % de la fuente; con ρ = 0,3 se aleja a 21,8 % y con ρ = 0,5, a 28,6 %, con diez de los doce ensayos entre 24,7 % y 51,8 % por encima. Las medias no cambian con la correlación: con la propuesta quedan cerca de las de la fuente, y con λ = 4, entre 3 % y 24 % por debajo (sección 1.9). La forma y la correlación, entonces, no se pueden decidir por separado (sección 2.7).</w:t>
      </w:r>
    </w:p>
    <w:p>
      <w:pPr>
        <w:keepNext/>
        <w:spacing w:after="0" w:before="200" w:line="288"/>
        <w:jc w:val="left"/>
      </w:pPr>
      <w:r>
        <w:rPr>
          <w:rFonts w:ascii="Times New Roman" w:cs="Times New Roman" w:eastAsia="Times New Roman" w:hAnsi="Times New Roman"/>
          <w:b/>
          <w:bCs/>
          <w:sz w:val="24"/>
          <w:szCs w:val="24"/>
        </w:rPr>
        <w:t xml:space="preserve">Tabla 8</w:t>
      </w:r>
    </w:p>
    <w:p>
      <w:pPr>
        <w:keepNext/>
        <w:spacing w:after="80" w:before="0" w:line="288"/>
        <w:jc w:val="left"/>
      </w:pPr>
      <w:r>
        <w:rPr>
          <w:rFonts w:ascii="Times New Roman" w:cs="Times New Roman" w:eastAsia="Times New Roman" w:hAnsi="Times New Roman"/>
          <w:i/>
          <w:iCs/>
          <w:sz w:val="24"/>
          <w:szCs w:val="24"/>
        </w:rPr>
        <w:t xml:space="preserve">Desviación de la duración frente a la de la fuente, con cada forma y cada ρ</w:t>
      </w:r>
    </w:p>
    <w:tbl>
      <w:tblPr>
        <w:tblW w:type="dxa" w:w="8554"/>
        <w:tblBorders>
          <w:top w:val="none" w:color="FFFFFF" w:sz="0"/>
          <w:left w:val="none" w:color="FFFFFF" w:sz="0"/>
          <w:bottom w:val="none" w:color="FFFFFF" w:sz="0"/>
          <w:right w:val="none" w:color="FFFFFF" w:sz="0"/>
          <w:insideH w:val="none" w:color="FFFFFF" w:sz="0"/>
          <w:insideV w:val="none" w:color="FFFFFF" w:sz="0"/>
        </w:tblBorders>
      </w:tblPr>
      <w:tblGrid>
        <w:gridCol w:w="1354"/>
        <w:gridCol w:w="1440"/>
        <w:gridCol w:w="1440"/>
        <w:gridCol w:w="1440"/>
        <w:gridCol w:w="1440"/>
        <w:gridCol w:w="1440"/>
      </w:tblGrid>
      <w:tr>
        <w:trPr>
          <w:cantSplit/>
          <w:tblHeader/>
        </w:trPr>
        <w:tc>
          <w:tcPr>
            <w:tcW w:type="dxa" w:w="1354"/>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bCs/>
                <w:sz w:val="18"/>
                <w:szCs w:val="18"/>
              </w:rPr>
              <w:t xml:space="preserve">Ensayo</w:t>
            </w:r>
          </w:p>
        </w:tc>
        <w:tc>
          <w:tcPr>
            <w:tcW w:type="dxa" w:w="1440"/>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bCs/>
                <w:sz w:val="18"/>
                <w:szCs w:val="18"/>
              </w:rPr>
              <w:t xml:space="preserve">λ = 4, sin correlación</w:t>
            </w:r>
          </w:p>
        </w:tc>
        <w:tc>
          <w:tcPr>
            <w:tcW w:type="dxa" w:w="1440"/>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bCs/>
                <w:sz w:val="18"/>
                <w:szCs w:val="18"/>
              </w:rPr>
              <w:t xml:space="preserve">λ = 4, ρ = 0,5</w:t>
            </w:r>
          </w:p>
        </w:tc>
        <w:tc>
          <w:tcPr>
            <w:tcW w:type="dxa" w:w="1440"/>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bCs/>
                <w:sz w:val="18"/>
                <w:szCs w:val="18"/>
              </w:rPr>
              <w:t xml:space="preserve">Propuesta, sin correlación</w:t>
            </w:r>
          </w:p>
        </w:tc>
        <w:tc>
          <w:tcPr>
            <w:tcW w:type="dxa" w:w="1440"/>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bCs/>
                <w:sz w:val="18"/>
                <w:szCs w:val="18"/>
              </w:rPr>
              <w:t xml:space="preserve">Propuesta, ρ = 0,3</w:t>
            </w:r>
          </w:p>
        </w:tc>
        <w:tc>
          <w:tcPr>
            <w:tcW w:type="dxa" w:w="1440"/>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bCs/>
                <w:sz w:val="18"/>
                <w:szCs w:val="18"/>
              </w:rPr>
              <w:t xml:space="preserve">Propuesta, ρ = 0,5</w:t>
            </w:r>
          </w:p>
        </w:tc>
      </w:tr>
      <w:tr>
        <w:trPr>
          <w:cantSplit/>
        </w:trPr>
        <w:tc>
          <w:tcPr>
            <w:tcW w:type="dxa" w:w="13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18"/>
                <w:szCs w:val="18"/>
              </w:rPr>
              <w:t xml:space="preserve">M01 · HPLC</w:t>
            </w:r>
          </w:p>
        </w:tc>
        <w:tc>
          <w:tcPr>
            <w:tcW w:type="dxa" w:w="144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8"/>
                <w:szCs w:val="18"/>
              </w:rPr>
              <w:t xml:space="preserve">−9,6 %</w:t>
            </w:r>
          </w:p>
        </w:tc>
        <w:tc>
          <w:tcPr>
            <w:tcW w:type="dxa" w:w="144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8"/>
                <w:szCs w:val="18"/>
              </w:rPr>
              <w:t xml:space="preserve">+0,8 %</w:t>
            </w:r>
          </w:p>
        </w:tc>
        <w:tc>
          <w:tcPr>
            <w:tcW w:type="dxa" w:w="144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8"/>
                <w:szCs w:val="18"/>
              </w:rPr>
              <w:t xml:space="preserve">+20,8 %</w:t>
            </w:r>
          </w:p>
        </w:tc>
        <w:tc>
          <w:tcPr>
            <w:tcW w:type="dxa" w:w="144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8"/>
                <w:szCs w:val="18"/>
              </w:rPr>
              <w:t xml:space="preserve">+29,3 %</w:t>
            </w:r>
          </w:p>
        </w:tc>
        <w:tc>
          <w:tcPr>
            <w:tcW w:type="dxa" w:w="144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8"/>
                <w:szCs w:val="18"/>
              </w:rPr>
              <w:t xml:space="preserve">+34,8 %</w:t>
            </w:r>
          </w:p>
        </w:tc>
      </w:tr>
      <w:tr>
        <w:trPr>
          <w:cantSplit/>
        </w:trPr>
        <w:tc>
          <w:tcPr>
            <w:tcW w:type="dxa" w:w="13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18"/>
                <w:szCs w:val="18"/>
              </w:rPr>
              <w:t xml:space="preserve">M02 · HPLC</w:t>
            </w:r>
          </w:p>
        </w:tc>
        <w:tc>
          <w:tcPr>
            <w:tcW w:type="dxa" w:w="144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8"/>
                <w:szCs w:val="18"/>
              </w:rPr>
              <w:t xml:space="preserve">−9,7 %</w:t>
            </w:r>
          </w:p>
        </w:tc>
        <w:tc>
          <w:tcPr>
            <w:tcW w:type="dxa" w:w="144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8"/>
                <w:szCs w:val="18"/>
              </w:rPr>
              <w:t xml:space="preserve">−4,3 %</w:t>
            </w:r>
          </w:p>
        </w:tc>
        <w:tc>
          <w:tcPr>
            <w:tcW w:type="dxa" w:w="144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8"/>
                <w:szCs w:val="18"/>
              </w:rPr>
              <w:t xml:space="preserve">+20,9 %</w:t>
            </w:r>
          </w:p>
        </w:tc>
        <w:tc>
          <w:tcPr>
            <w:tcW w:type="dxa" w:w="144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8"/>
                <w:szCs w:val="18"/>
              </w:rPr>
              <w:t xml:space="preserve">+25,1 %</w:t>
            </w:r>
          </w:p>
        </w:tc>
        <w:tc>
          <w:tcPr>
            <w:tcW w:type="dxa" w:w="144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8"/>
                <w:szCs w:val="18"/>
              </w:rPr>
              <w:t xml:space="preserve">+28,0 %</w:t>
            </w:r>
          </w:p>
        </w:tc>
      </w:tr>
      <w:tr>
        <w:trPr>
          <w:cantSplit/>
        </w:trPr>
        <w:tc>
          <w:tcPr>
            <w:tcW w:type="dxa" w:w="13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18"/>
                <w:szCs w:val="18"/>
              </w:rPr>
              <w:t xml:space="preserve">M03 · GC</w:t>
            </w:r>
          </w:p>
        </w:tc>
        <w:tc>
          <w:tcPr>
            <w:tcW w:type="dxa" w:w="144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8"/>
                <w:szCs w:val="18"/>
              </w:rPr>
              <w:t xml:space="preserve">−20,5 %</w:t>
            </w:r>
          </w:p>
        </w:tc>
        <w:tc>
          <w:tcPr>
            <w:tcW w:type="dxa" w:w="144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8"/>
                <w:szCs w:val="18"/>
              </w:rPr>
              <w:t xml:space="preserve">+6,5 %</w:t>
            </w:r>
          </w:p>
        </w:tc>
        <w:tc>
          <w:tcPr>
            <w:tcW w:type="dxa" w:w="144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8"/>
                <w:szCs w:val="18"/>
              </w:rPr>
              <w:t xml:space="preserve">+12,9 %</w:t>
            </w:r>
          </w:p>
        </w:tc>
        <w:tc>
          <w:tcPr>
            <w:tcW w:type="dxa" w:w="144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8"/>
                <w:szCs w:val="18"/>
              </w:rPr>
              <w:t xml:space="preserve">+37,6 %</w:t>
            </w:r>
          </w:p>
        </w:tc>
        <w:tc>
          <w:tcPr>
            <w:tcW w:type="dxa" w:w="144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8"/>
                <w:szCs w:val="18"/>
              </w:rPr>
              <w:t xml:space="preserve">+51,8 %</w:t>
            </w:r>
          </w:p>
        </w:tc>
      </w:tr>
      <w:tr>
        <w:trPr>
          <w:cantSplit/>
        </w:trPr>
        <w:tc>
          <w:tcPr>
            <w:tcW w:type="dxa" w:w="13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18"/>
                <w:szCs w:val="18"/>
              </w:rPr>
              <w:t xml:space="preserve">M04 · GC</w:t>
            </w:r>
          </w:p>
        </w:tc>
        <w:tc>
          <w:tcPr>
            <w:tcW w:type="dxa" w:w="144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8"/>
                <w:szCs w:val="18"/>
              </w:rPr>
              <w:t xml:space="preserve">−21,6 %</w:t>
            </w:r>
          </w:p>
        </w:tc>
        <w:tc>
          <w:tcPr>
            <w:tcW w:type="dxa" w:w="144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8"/>
                <w:szCs w:val="18"/>
              </w:rPr>
              <w:t xml:space="preserve">−3,6 %</w:t>
            </w:r>
          </w:p>
        </w:tc>
        <w:tc>
          <w:tcPr>
            <w:tcW w:type="dxa" w:w="144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8"/>
                <w:szCs w:val="18"/>
              </w:rPr>
              <w:t xml:space="preserve">+12,3 %</w:t>
            </w:r>
          </w:p>
        </w:tc>
        <w:tc>
          <w:tcPr>
            <w:tcW w:type="dxa" w:w="144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8"/>
                <w:szCs w:val="18"/>
              </w:rPr>
              <w:t xml:space="preserve">+28,3 %</w:t>
            </w:r>
          </w:p>
        </w:tc>
        <w:tc>
          <w:tcPr>
            <w:tcW w:type="dxa" w:w="144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8"/>
                <w:szCs w:val="18"/>
              </w:rPr>
              <w:t xml:space="preserve">+37,8 %</w:t>
            </w:r>
          </w:p>
        </w:tc>
      </w:tr>
      <w:tr>
        <w:trPr>
          <w:cantSplit/>
        </w:trPr>
        <w:tc>
          <w:tcPr>
            <w:tcW w:type="dxa" w:w="13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18"/>
                <w:szCs w:val="18"/>
              </w:rPr>
              <w:t xml:space="preserve">M05 · PSA</w:t>
            </w:r>
          </w:p>
        </w:tc>
        <w:tc>
          <w:tcPr>
            <w:tcW w:type="dxa" w:w="144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8"/>
                <w:szCs w:val="18"/>
              </w:rPr>
              <w:t xml:space="preserve">−29,4 %</w:t>
            </w:r>
          </w:p>
        </w:tc>
        <w:tc>
          <w:tcPr>
            <w:tcW w:type="dxa" w:w="144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8"/>
                <w:szCs w:val="18"/>
              </w:rPr>
              <w:t xml:space="preserve">−7,2 %</w:t>
            </w:r>
          </w:p>
        </w:tc>
        <w:tc>
          <w:tcPr>
            <w:tcW w:type="dxa" w:w="144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8"/>
                <w:szCs w:val="18"/>
              </w:rPr>
              <w:t xml:space="preserve">+4,8 %</w:t>
            </w:r>
          </w:p>
        </w:tc>
        <w:tc>
          <w:tcPr>
            <w:tcW w:type="dxa" w:w="144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8"/>
                <w:szCs w:val="18"/>
              </w:rPr>
              <w:t xml:space="preserve">+24,7 %</w:t>
            </w:r>
          </w:p>
        </w:tc>
        <w:tc>
          <w:tcPr>
            <w:tcW w:type="dxa" w:w="144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8"/>
                <w:szCs w:val="18"/>
              </w:rPr>
              <w:t xml:space="preserve">+36,4 %</w:t>
            </w:r>
          </w:p>
        </w:tc>
      </w:tr>
      <w:tr>
        <w:trPr>
          <w:cantSplit/>
        </w:trPr>
        <w:tc>
          <w:tcPr>
            <w:tcW w:type="dxa" w:w="13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18"/>
                <w:szCs w:val="18"/>
              </w:rPr>
              <w:t xml:space="preserve">M06 · PSA</w:t>
            </w:r>
          </w:p>
        </w:tc>
        <w:tc>
          <w:tcPr>
            <w:tcW w:type="dxa" w:w="144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8"/>
                <w:szCs w:val="18"/>
              </w:rPr>
              <w:t xml:space="preserve">−26,9 %</w:t>
            </w:r>
          </w:p>
        </w:tc>
        <w:tc>
          <w:tcPr>
            <w:tcW w:type="dxa" w:w="144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8"/>
                <w:szCs w:val="18"/>
              </w:rPr>
              <w:t xml:space="preserve">−8,6 %</w:t>
            </w:r>
          </w:p>
        </w:tc>
        <w:tc>
          <w:tcPr>
            <w:tcW w:type="dxa" w:w="144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8"/>
                <w:szCs w:val="18"/>
              </w:rPr>
              <w:t xml:space="preserve">+7,5 %</w:t>
            </w:r>
          </w:p>
        </w:tc>
        <w:tc>
          <w:tcPr>
            <w:tcW w:type="dxa" w:w="144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8"/>
                <w:szCs w:val="18"/>
              </w:rPr>
              <w:t xml:space="preserve">+24,2 %</w:t>
            </w:r>
          </w:p>
        </w:tc>
        <w:tc>
          <w:tcPr>
            <w:tcW w:type="dxa" w:w="144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8"/>
                <w:szCs w:val="18"/>
              </w:rPr>
              <w:t xml:space="preserve">+34,1 %</w:t>
            </w:r>
          </w:p>
        </w:tc>
      </w:tr>
      <w:tr>
        <w:trPr>
          <w:cantSplit/>
        </w:trPr>
        <w:tc>
          <w:tcPr>
            <w:tcW w:type="dxa" w:w="13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18"/>
                <w:szCs w:val="18"/>
              </w:rPr>
              <w:t xml:space="preserve">M07 · KF</w:t>
            </w:r>
          </w:p>
        </w:tc>
        <w:tc>
          <w:tcPr>
            <w:tcW w:type="dxa" w:w="144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8"/>
                <w:szCs w:val="18"/>
              </w:rPr>
              <w:t xml:space="preserve">−20,0 %</w:t>
            </w:r>
          </w:p>
        </w:tc>
        <w:tc>
          <w:tcPr>
            <w:tcW w:type="dxa" w:w="144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8"/>
                <w:szCs w:val="18"/>
              </w:rPr>
              <w:t xml:space="preserve">−6,7 %</w:t>
            </w:r>
          </w:p>
        </w:tc>
        <w:tc>
          <w:tcPr>
            <w:tcW w:type="dxa" w:w="144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8"/>
                <w:szCs w:val="18"/>
              </w:rPr>
              <w:t xml:space="preserve">+12,6 %</w:t>
            </w:r>
          </w:p>
        </w:tc>
        <w:tc>
          <w:tcPr>
            <w:tcW w:type="dxa" w:w="144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8"/>
                <w:szCs w:val="18"/>
              </w:rPr>
              <w:t xml:space="preserve">+23,7 %</w:t>
            </w:r>
          </w:p>
        </w:tc>
        <w:tc>
          <w:tcPr>
            <w:tcW w:type="dxa" w:w="144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8"/>
                <w:szCs w:val="18"/>
              </w:rPr>
              <w:t xml:space="preserve">+30,2 %</w:t>
            </w:r>
          </w:p>
        </w:tc>
      </w:tr>
      <w:tr>
        <w:trPr>
          <w:cantSplit/>
        </w:trPr>
        <w:tc>
          <w:tcPr>
            <w:tcW w:type="dxa" w:w="13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18"/>
                <w:szCs w:val="18"/>
              </w:rPr>
              <w:t xml:space="preserve">M08 · KF</w:t>
            </w:r>
          </w:p>
        </w:tc>
        <w:tc>
          <w:tcPr>
            <w:tcW w:type="dxa" w:w="144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8"/>
                <w:szCs w:val="18"/>
              </w:rPr>
              <w:t xml:space="preserve">−19,9 %</w:t>
            </w:r>
          </w:p>
        </w:tc>
        <w:tc>
          <w:tcPr>
            <w:tcW w:type="dxa" w:w="144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8"/>
                <w:szCs w:val="18"/>
              </w:rPr>
              <w:t xml:space="preserve">−10,8 %</w:t>
            </w:r>
          </w:p>
        </w:tc>
        <w:tc>
          <w:tcPr>
            <w:tcW w:type="dxa" w:w="144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8"/>
                <w:szCs w:val="18"/>
              </w:rPr>
              <w:t xml:space="preserve">+13,4 %</w:t>
            </w:r>
          </w:p>
        </w:tc>
        <w:tc>
          <w:tcPr>
            <w:tcW w:type="dxa" w:w="144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8"/>
                <w:szCs w:val="18"/>
              </w:rPr>
              <w:t xml:space="preserve">+20,7 %</w:t>
            </w:r>
          </w:p>
        </w:tc>
        <w:tc>
          <w:tcPr>
            <w:tcW w:type="dxa" w:w="144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8"/>
                <w:szCs w:val="18"/>
              </w:rPr>
              <w:t xml:space="preserve">+25,4 %</w:t>
            </w:r>
          </w:p>
        </w:tc>
      </w:tr>
      <w:tr>
        <w:trPr>
          <w:cantSplit/>
        </w:trPr>
        <w:tc>
          <w:tcPr>
            <w:tcW w:type="dxa" w:w="13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18"/>
                <w:szCs w:val="18"/>
              </w:rPr>
              <w:t xml:space="preserve">M09 · DSC</w:t>
            </w:r>
          </w:p>
        </w:tc>
        <w:tc>
          <w:tcPr>
            <w:tcW w:type="dxa" w:w="144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8"/>
                <w:szCs w:val="18"/>
              </w:rPr>
              <w:t xml:space="preserve">−24,5 %</w:t>
            </w:r>
          </w:p>
        </w:tc>
        <w:tc>
          <w:tcPr>
            <w:tcW w:type="dxa" w:w="144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8"/>
                <w:szCs w:val="18"/>
              </w:rPr>
              <w:t xml:space="preserve">−12,3 %</w:t>
            </w:r>
          </w:p>
        </w:tc>
        <w:tc>
          <w:tcPr>
            <w:tcW w:type="dxa" w:w="144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8"/>
                <w:szCs w:val="18"/>
              </w:rPr>
              <w:t xml:space="preserve">+8,9 %</w:t>
            </w:r>
          </w:p>
        </w:tc>
        <w:tc>
          <w:tcPr>
            <w:tcW w:type="dxa" w:w="144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8"/>
                <w:szCs w:val="18"/>
              </w:rPr>
              <w:t xml:space="preserve">+19,1 %</w:t>
            </w:r>
          </w:p>
        </w:tc>
        <w:tc>
          <w:tcPr>
            <w:tcW w:type="dxa" w:w="144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8"/>
                <w:szCs w:val="18"/>
              </w:rPr>
              <w:t xml:space="preserve">+25,3 %</w:t>
            </w:r>
          </w:p>
        </w:tc>
      </w:tr>
      <w:tr>
        <w:trPr>
          <w:cantSplit/>
        </w:trPr>
        <w:tc>
          <w:tcPr>
            <w:tcW w:type="dxa" w:w="13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18"/>
                <w:szCs w:val="18"/>
              </w:rPr>
              <w:t xml:space="preserve">M10 · DSC</w:t>
            </w:r>
          </w:p>
        </w:tc>
        <w:tc>
          <w:tcPr>
            <w:tcW w:type="dxa" w:w="144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8"/>
                <w:szCs w:val="18"/>
              </w:rPr>
              <w:t xml:space="preserve">−30,6 %</w:t>
            </w:r>
          </w:p>
        </w:tc>
        <w:tc>
          <w:tcPr>
            <w:tcW w:type="dxa" w:w="144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8"/>
                <w:szCs w:val="18"/>
              </w:rPr>
              <w:t xml:space="preserve">−28,0 %</w:t>
            </w:r>
          </w:p>
        </w:tc>
        <w:tc>
          <w:tcPr>
            <w:tcW w:type="dxa" w:w="144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8"/>
                <w:szCs w:val="18"/>
              </w:rPr>
              <w:t xml:space="preserve">+3,2 %</w:t>
            </w:r>
          </w:p>
        </w:tc>
        <w:tc>
          <w:tcPr>
            <w:tcW w:type="dxa" w:w="144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8"/>
                <w:szCs w:val="18"/>
              </w:rPr>
              <w:t xml:space="preserve">+5,7 %</w:t>
            </w:r>
          </w:p>
        </w:tc>
        <w:tc>
          <w:tcPr>
            <w:tcW w:type="dxa" w:w="144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8"/>
                <w:szCs w:val="18"/>
              </w:rPr>
              <w:t xml:space="preserve">+7,0 %</w:t>
            </w:r>
          </w:p>
        </w:tc>
      </w:tr>
      <w:tr>
        <w:trPr>
          <w:cantSplit/>
        </w:trPr>
        <w:tc>
          <w:tcPr>
            <w:tcW w:type="dxa" w:w="13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18"/>
                <w:szCs w:val="18"/>
              </w:rPr>
              <w:t xml:space="preserve">M11 · XRPD</w:t>
            </w:r>
          </w:p>
        </w:tc>
        <w:tc>
          <w:tcPr>
            <w:tcW w:type="dxa" w:w="144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8"/>
                <w:szCs w:val="18"/>
              </w:rPr>
              <w:t xml:space="preserve">−31,8 %</w:t>
            </w:r>
          </w:p>
        </w:tc>
        <w:tc>
          <w:tcPr>
            <w:tcW w:type="dxa" w:w="144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8"/>
                <w:szCs w:val="18"/>
              </w:rPr>
              <w:t xml:space="preserve">−24,2 %</w:t>
            </w:r>
          </w:p>
        </w:tc>
        <w:tc>
          <w:tcPr>
            <w:tcW w:type="dxa" w:w="144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8"/>
                <w:szCs w:val="18"/>
              </w:rPr>
              <w:t xml:space="preserve">−2,3 %</w:t>
            </w:r>
          </w:p>
        </w:tc>
        <w:tc>
          <w:tcPr>
            <w:tcW w:type="dxa" w:w="144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8"/>
                <w:szCs w:val="18"/>
              </w:rPr>
              <w:t xml:space="preserve">+4,1 %</w:t>
            </w:r>
          </w:p>
        </w:tc>
        <w:tc>
          <w:tcPr>
            <w:tcW w:type="dxa" w:w="144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8"/>
                <w:szCs w:val="18"/>
              </w:rPr>
              <w:t xml:space="preserve">+8,0 %</w:t>
            </w:r>
          </w:p>
        </w:tc>
      </w:tr>
      <w:tr>
        <w:trPr>
          <w:cantSplit/>
        </w:trPr>
        <w:tc>
          <w:tcPr>
            <w:tcW w:type="dxa" w:w="13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18"/>
                <w:szCs w:val="18"/>
              </w:rPr>
              <w:t xml:space="preserve">M12 · XRPD</w:t>
            </w:r>
          </w:p>
        </w:tc>
        <w:tc>
          <w:tcPr>
            <w:tcW w:type="dxa" w:w="144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8"/>
                <w:szCs w:val="18"/>
              </w:rPr>
              <w:t xml:space="preserve">−25,4 %</w:t>
            </w:r>
          </w:p>
        </w:tc>
        <w:tc>
          <w:tcPr>
            <w:tcW w:type="dxa" w:w="144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8"/>
                <w:szCs w:val="18"/>
              </w:rPr>
              <w:t xml:space="preserve">−13,9 %</w:t>
            </w:r>
          </w:p>
        </w:tc>
        <w:tc>
          <w:tcPr>
            <w:tcW w:type="dxa" w:w="144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8"/>
                <w:szCs w:val="18"/>
              </w:rPr>
              <w:t xml:space="preserve">+9,6 %</w:t>
            </w:r>
          </w:p>
        </w:tc>
        <w:tc>
          <w:tcPr>
            <w:tcW w:type="dxa" w:w="144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8"/>
                <w:szCs w:val="18"/>
              </w:rPr>
              <w:t xml:space="preserve">+18,8 %</w:t>
            </w:r>
          </w:p>
        </w:tc>
        <w:tc>
          <w:tcPr>
            <w:tcW w:type="dxa" w:w="144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8"/>
                <w:szCs w:val="18"/>
              </w:rPr>
              <w:t xml:space="preserve">+24,7 %</w:t>
            </w:r>
          </w:p>
        </w:tc>
      </w:tr>
      <w:tr>
        <w:trPr>
          <w:cantSplit/>
        </w:trPr>
        <w:tc>
          <w:tcPr>
            <w:tcW w:type="dxa" w:w="1354"/>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b/>
                <w:bCs/>
                <w:sz w:val="18"/>
                <w:szCs w:val="18"/>
              </w:rPr>
              <w:t xml:space="preserve">Promedio absoluto</w:t>
            </w:r>
          </w:p>
        </w:tc>
        <w:tc>
          <w:tcPr>
            <w:tcW w:type="dxa" w:w="1440"/>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b/>
                <w:bCs/>
                <w:sz w:val="18"/>
                <w:szCs w:val="18"/>
              </w:rPr>
              <w:t xml:space="preserve">22,5 %</w:t>
            </w:r>
          </w:p>
        </w:tc>
        <w:tc>
          <w:tcPr>
            <w:tcW w:type="dxa" w:w="1440"/>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b/>
                <w:bCs/>
                <w:sz w:val="18"/>
                <w:szCs w:val="18"/>
              </w:rPr>
              <w:t xml:space="preserve">10,6 %</w:t>
            </w:r>
          </w:p>
        </w:tc>
        <w:tc>
          <w:tcPr>
            <w:tcW w:type="dxa" w:w="1440"/>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b/>
                <w:bCs/>
                <w:sz w:val="18"/>
                <w:szCs w:val="18"/>
              </w:rPr>
              <w:t xml:space="preserve">10,8 %</w:t>
            </w:r>
          </w:p>
        </w:tc>
        <w:tc>
          <w:tcPr>
            <w:tcW w:type="dxa" w:w="1440"/>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b/>
                <w:bCs/>
                <w:sz w:val="18"/>
                <w:szCs w:val="18"/>
              </w:rPr>
              <w:t xml:space="preserve">21,8 %</w:t>
            </w:r>
          </w:p>
        </w:tc>
        <w:tc>
          <w:tcPr>
            <w:tcW w:type="dxa" w:w="1440"/>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b/>
                <w:bCs/>
                <w:sz w:val="18"/>
                <w:szCs w:val="18"/>
              </w:rPr>
              <w:t xml:space="preserve">28,6 %</w:t>
            </w:r>
          </w:p>
        </w:tc>
      </w:tr>
    </w:tbl>
    <w:p>
      <w:pPr>
        <w:spacing w:after="200" w:before="60" w:line="240"/>
        <w:jc w:val="left"/>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Diferencia relativa entre la desviación estándar de la duración y la de la fuente (cuaderno 01, tabla distancia_a_la_fuente.csv). Propuesta: λ = 1, y λ = 0 en el montaje de PSA y la corrida de DSC (sección 1.10). Cada ensayo con el máximo de soluciones de su complejidad y un analista intermedio; 200 000 ejecuciones (cuaderno 02, tabla correlacion_frente_a_la_fuente.csv, que trae también ρ = 0,7 y las medias). Las columnas sin correlación se vuelven a simular con las mismas semillas que las correlacionadas, así que difieren hasta en 0,4 puntos de la Tabla 4, que usa 400 000 ejecuciones. Promedio absoluto: promedio de las diferencias sin su signo.</w:t>
      </w:r>
    </w:p>
    <w:p>
      <w:pPr>
        <w:pStyle w:val="Heading2"/>
        <w:keepNext/>
      </w:pPr>
      <w:r>
        <w:rPr>
          <w:rFonts w:ascii="Times New Roman" w:cs="Times New Roman" w:eastAsia="Times New Roman" w:hAnsi="Times New Roman"/>
          <w:b/>
          <w:bCs/>
          <w:sz w:val="24"/>
          <w:szCs w:val="24"/>
        </w:rPr>
        <w:t xml:space="preserve">2.5 Correlaciones en el dataset: indicador V2</w:t>
      </w:r>
    </w:p>
    <w:p>
      <w:pPr>
        <w:spacing w:after="120" w:before="0" w:line="288"/>
        <w:jc w:val="left"/>
      </w:pPr>
      <w:r>
        <w:rPr>
          <w:rFonts w:ascii="Times New Roman" w:cs="Times New Roman" w:eastAsia="Times New Roman" w:hAnsi="Times New Roman"/>
          <w:sz w:val="24"/>
          <w:szCs w:val="24"/>
        </w:rPr>
        <w:t xml:space="preserve">El indicador V2, «correlaciones entre variables definidas», se calcula sobre el dataset, donde se mezclan métodos, números de soluciones y niveles de analista. En esa mezcla la correlación de las tareas ya no es la objetivo, porque cada método tiene sus propios tres puntos: en un método largo todas las tareas salen largas a la vez, y entre técnicas pueden ir al revés. Por eso V2 compara la matriz dentro de grupos de registros con el mismo método, número de soluciones, nivel del analista e idoneidad ejecutada, donde las tareas tienen los mismos tres puntos y el mismo factor, y promedia los grupos según su número de registros. La Tabla 9 lo muestra en 200 000 ejecuciones con la mezcla de demanda del escenario base y un analista intermedio: por grupos, ningún par se aparta más de 0,004 de la objetivo; sin agrupar, el montaje y el procesamiento quedan en −0,54, porque en HPLC el montaje es largo y el procesamiento corto, y en GC al revés.</w:t>
      </w:r>
    </w:p>
    <w:p>
      <w:pPr>
        <w:keepNext/>
        <w:spacing w:after="0" w:before="200" w:line="288"/>
        <w:jc w:val="left"/>
      </w:pPr>
      <w:r>
        <w:rPr>
          <w:rFonts w:ascii="Times New Roman" w:cs="Times New Roman" w:eastAsia="Times New Roman" w:hAnsi="Times New Roman"/>
          <w:b/>
          <w:bCs/>
          <w:sz w:val="24"/>
          <w:szCs w:val="24"/>
        </w:rPr>
        <w:t xml:space="preserve">Tabla 9</w:t>
      </w:r>
    </w:p>
    <w:p>
      <w:pPr>
        <w:keepNext/>
        <w:spacing w:after="80" w:before="0" w:line="288"/>
        <w:jc w:val="left"/>
      </w:pPr>
      <w:r>
        <w:rPr>
          <w:rFonts w:ascii="Times New Roman" w:cs="Times New Roman" w:eastAsia="Times New Roman" w:hAnsi="Times New Roman"/>
          <w:i/>
          <w:iCs/>
          <w:sz w:val="24"/>
          <w:szCs w:val="24"/>
        </w:rPr>
        <w:t xml:space="preserve">Correlación de rangos entre las tareas en una mezcla de demanda, por grupos y sin agrupar</w:t>
      </w:r>
    </w:p>
    <w:tbl>
      <w:tblPr>
        <w:tblW w:type="dxa" w:w="8554"/>
        <w:tblBorders>
          <w:top w:val="none" w:color="FFFFFF" w:sz="0"/>
          <w:left w:val="none" w:color="FFFFFF" w:sz="0"/>
          <w:bottom w:val="none" w:color="FFFFFF" w:sz="0"/>
          <w:right w:val="none" w:color="FFFFFF" w:sz="0"/>
          <w:insideH w:val="none" w:color="FFFFFF" w:sz="0"/>
          <w:insideV w:val="none" w:color="FFFFFF" w:sz="0"/>
        </w:tblBorders>
      </w:tblPr>
      <w:tblGrid>
        <w:gridCol w:w="2554"/>
        <w:gridCol w:w="2000"/>
        <w:gridCol w:w="2000"/>
        <w:gridCol w:w="2000"/>
      </w:tblGrid>
      <w:tr>
        <w:trPr>
          <w:cantSplit/>
          <w:tblHeader/>
        </w:trPr>
        <w:tc>
          <w:tcPr>
            <w:tcW w:type="dxa" w:w="2554"/>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bCs/>
                <w:sz w:val="18"/>
                <w:szCs w:val="18"/>
              </w:rPr>
              <w:t xml:space="preserve">Par de tareas</w:t>
            </w:r>
          </w:p>
        </w:tc>
        <w:tc>
          <w:tcPr>
            <w:tcW w:type="dxa" w:w="2000"/>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bCs/>
                <w:sz w:val="18"/>
                <w:szCs w:val="18"/>
              </w:rPr>
              <w:t xml:space="preserve">Objetivo</w:t>
            </w:r>
          </w:p>
        </w:tc>
        <w:tc>
          <w:tcPr>
            <w:tcW w:type="dxa" w:w="2000"/>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bCs/>
                <w:sz w:val="18"/>
                <w:szCs w:val="18"/>
              </w:rPr>
              <w:t xml:space="preserve">Por grupos</w:t>
            </w:r>
          </w:p>
        </w:tc>
        <w:tc>
          <w:tcPr>
            <w:tcW w:type="dxa" w:w="2000"/>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bCs/>
                <w:sz w:val="18"/>
                <w:szCs w:val="18"/>
              </w:rPr>
              <w:t xml:space="preserve">Sin agrupar</w:t>
            </w:r>
          </w:p>
        </w:tc>
      </w:tr>
      <w:tr>
        <w:trPr>
          <w:cantSplit/>
        </w:trPr>
        <w:tc>
          <w:tcPr>
            <w:tcW w:type="dxa" w:w="25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18"/>
                <w:szCs w:val="18"/>
              </w:rPr>
              <w:t xml:space="preserve">Preparación – montaje</w:t>
            </w:r>
          </w:p>
        </w:tc>
        <w:tc>
          <w:tcPr>
            <w:tcW w:type="dxa" w:w="20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8"/>
                <w:szCs w:val="18"/>
              </w:rPr>
              <w:t xml:space="preserve">0,5</w:t>
            </w:r>
          </w:p>
        </w:tc>
        <w:tc>
          <w:tcPr>
            <w:tcW w:type="dxa" w:w="20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8"/>
                <w:szCs w:val="18"/>
              </w:rPr>
              <w:t xml:space="preserve">0,502</w:t>
            </w:r>
          </w:p>
        </w:tc>
        <w:tc>
          <w:tcPr>
            <w:tcW w:type="dxa" w:w="20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8"/>
                <w:szCs w:val="18"/>
              </w:rPr>
              <w:t xml:space="preserve">0,542</w:t>
            </w:r>
          </w:p>
        </w:tc>
      </w:tr>
      <w:tr>
        <w:trPr>
          <w:cantSplit/>
        </w:trPr>
        <w:tc>
          <w:tcPr>
            <w:tcW w:type="dxa" w:w="25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18"/>
                <w:szCs w:val="18"/>
              </w:rPr>
              <w:t xml:space="preserve">Preparación – corrida</w:t>
            </w:r>
          </w:p>
        </w:tc>
        <w:tc>
          <w:tcPr>
            <w:tcW w:type="dxa" w:w="20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8"/>
                <w:szCs w:val="18"/>
              </w:rPr>
              <w:t xml:space="preserve">0</w:t>
            </w:r>
          </w:p>
        </w:tc>
        <w:tc>
          <w:tcPr>
            <w:tcW w:type="dxa" w:w="20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8"/>
                <w:szCs w:val="18"/>
              </w:rPr>
              <w:t xml:space="preserve">0,003</w:t>
            </w:r>
          </w:p>
        </w:tc>
        <w:tc>
          <w:tcPr>
            <w:tcW w:type="dxa" w:w="20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8"/>
                <w:szCs w:val="18"/>
              </w:rPr>
              <w:t xml:space="preserve">0,582</w:t>
            </w:r>
          </w:p>
        </w:tc>
      </w:tr>
      <w:tr>
        <w:trPr>
          <w:cantSplit/>
        </w:trPr>
        <w:tc>
          <w:tcPr>
            <w:tcW w:type="dxa" w:w="25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18"/>
                <w:szCs w:val="18"/>
              </w:rPr>
              <w:t xml:space="preserve">Preparación – procesamiento</w:t>
            </w:r>
          </w:p>
        </w:tc>
        <w:tc>
          <w:tcPr>
            <w:tcW w:type="dxa" w:w="20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8"/>
                <w:szCs w:val="18"/>
              </w:rPr>
              <w:t xml:space="preserve">0,5</w:t>
            </w:r>
          </w:p>
        </w:tc>
        <w:tc>
          <w:tcPr>
            <w:tcW w:type="dxa" w:w="20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8"/>
                <w:szCs w:val="18"/>
              </w:rPr>
              <w:t xml:space="preserve">0,502</w:t>
            </w:r>
          </w:p>
        </w:tc>
        <w:tc>
          <w:tcPr>
            <w:tcW w:type="dxa" w:w="20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8"/>
                <w:szCs w:val="18"/>
              </w:rPr>
              <w:t xml:space="preserve">−0,131</w:t>
            </w:r>
          </w:p>
        </w:tc>
      </w:tr>
      <w:tr>
        <w:trPr>
          <w:cantSplit/>
        </w:trPr>
        <w:tc>
          <w:tcPr>
            <w:tcW w:type="dxa" w:w="25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18"/>
                <w:szCs w:val="18"/>
              </w:rPr>
              <w:t xml:space="preserve">Montaje – corrida</w:t>
            </w:r>
          </w:p>
        </w:tc>
        <w:tc>
          <w:tcPr>
            <w:tcW w:type="dxa" w:w="20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8"/>
                <w:szCs w:val="18"/>
              </w:rPr>
              <w:t xml:space="preserve">0</w:t>
            </w:r>
          </w:p>
        </w:tc>
        <w:tc>
          <w:tcPr>
            <w:tcW w:type="dxa" w:w="20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8"/>
                <w:szCs w:val="18"/>
              </w:rPr>
              <w:t xml:space="preserve">−0,001</w:t>
            </w:r>
          </w:p>
        </w:tc>
        <w:tc>
          <w:tcPr>
            <w:tcW w:type="dxa" w:w="20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8"/>
                <w:szCs w:val="18"/>
              </w:rPr>
              <w:t xml:space="preserve">0,217</w:t>
            </w:r>
          </w:p>
        </w:tc>
      </w:tr>
      <w:tr>
        <w:trPr>
          <w:cantSplit/>
        </w:trPr>
        <w:tc>
          <w:tcPr>
            <w:tcW w:type="dxa" w:w="25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18"/>
                <w:szCs w:val="18"/>
              </w:rPr>
              <w:t xml:space="preserve">Montaje – procesamiento</w:t>
            </w:r>
          </w:p>
        </w:tc>
        <w:tc>
          <w:tcPr>
            <w:tcW w:type="dxa" w:w="20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8"/>
                <w:szCs w:val="18"/>
              </w:rPr>
              <w:t xml:space="preserve">0,5</w:t>
            </w:r>
          </w:p>
        </w:tc>
        <w:tc>
          <w:tcPr>
            <w:tcW w:type="dxa" w:w="20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8"/>
                <w:szCs w:val="18"/>
              </w:rPr>
              <w:t xml:space="preserve">0,502</w:t>
            </w:r>
          </w:p>
        </w:tc>
        <w:tc>
          <w:tcPr>
            <w:tcW w:type="dxa" w:w="20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8"/>
                <w:szCs w:val="18"/>
              </w:rPr>
              <w:t xml:space="preserve">−0,540</w:t>
            </w:r>
          </w:p>
        </w:tc>
      </w:tr>
      <w:tr>
        <w:trPr>
          <w:cantSplit/>
        </w:trPr>
        <w:tc>
          <w:tcPr>
            <w:tcW w:type="dxa" w:w="2554"/>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Corrida – procesamiento</w:t>
            </w:r>
          </w:p>
        </w:tc>
        <w:tc>
          <w:tcPr>
            <w:tcW w:type="dxa" w:w="2000"/>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0</w:t>
            </w:r>
          </w:p>
        </w:tc>
        <w:tc>
          <w:tcPr>
            <w:tcW w:type="dxa" w:w="2000"/>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−0,003</w:t>
            </w:r>
          </w:p>
        </w:tc>
        <w:tc>
          <w:tcPr>
            <w:tcW w:type="dxa" w:w="2000"/>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−0,029</w:t>
            </w:r>
          </w:p>
        </w:tc>
      </w:tr>
    </w:tbl>
    <w:p>
      <w:pPr>
        <w:spacing w:after="200" w:before="60" w:line="240"/>
        <w:jc w:val="left"/>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200 000 ejecuciones con la mezcla de demanda del escenario base (hoja «Catálogo»), el número de soluciones sorteado en su rango (S08), un analista intermedio y ρ = 0,5, con la semilla 2026 (cuaderno 02, tabla correlacion_v2_tareas.csv, que trae también ρ = 0,3 y 0,7 y las tareas independientes). Por grupos: promedio de la correlación dentro de cada grupo de método, número de soluciones, nivel e idoneidad, ponderado por su número de registros.</w:t>
      </w:r>
    </w:p>
    <w:p>
      <w:pPr>
        <w:spacing w:after="120" w:before="0" w:line="288"/>
        <w:jc w:val="left"/>
      </w:pPr>
      <w:r>
        <w:rPr>
          <w:rFonts w:ascii="Times New Roman" w:cs="Times New Roman" w:eastAsia="Times New Roman" w:hAnsi="Times New Roman"/>
          <w:sz w:val="24"/>
          <w:szCs w:val="24"/>
        </w:rPr>
        <w:t xml:space="preserve">En el dataset, en cambio, los grupos serán chicos: habrá varios niveles de analista y la idoneidad solo se ejecuta a veces. Con pocos registros, la correlación de rangos sale más cerca de cero que la objetivo (con ρ = 0,5 y 10 registros, 0,458 en promedio; Moran, 1948), así que una tolerancia fija rechazaría datos correctos. Por eso V2 compara la correlación obtenida con la esperada para el tamaño de cada grupo y acepta una diferencia de hasta cinco errores estándar, el mismo margen de la sección 1.6 (correlacion.verificar_por_grupos). El error estándar no se estima con los datos: sale de la varianza de la correlación de rangos de n pares independientes, 1/(n − 1) (Xu et al., 2010, ec. 20 con ρ = 0), que es la exacta en los pares que deben ser independientes y mayor que la real en los correlacionados (entre un 20 y un 30 % con ρ = 0,5, y entre un 60 y un 80 % con ρ = 0,7), donde la tolerancia queda más holgada de lo necesario. Así, la regla no depende de cuántos grupos haya ni de cuán distintos sean sus tamaños. Se usan los grupos de al menos 10 registros. Un par que se sale de su tolerancia no cumple, aunque tenga pocos registros; uno que cabe en ella solo se da por evaluado si tiene registros para ver una correlación del tamaño de la de S04 (o de 0,3, si la objetivo es cero), es decir, si siete errores estándar no pasan de la correlación esperada con ese ρ, y entonces la detectaría el 97,7 % de las veces. Si no, o si no tiene ningún grupo de 10 registros, queda sin datos suficientes, y V2 no se da por cumplido (correlacion.veredicto_v2). Solo cuentan las ejecuciones terminadas, porque las interrumpidas por una falla tienen tareas parciales, y las duraciones van sin redondear, como números reales: redondeadas al minuto, los empates moverían la correlación de rangos (correlacion.indicador_v2).</w:t>
      </w:r>
    </w:p>
    <w:p>
      <w:pPr>
        <w:spacing w:after="120" w:before="0" w:line="288"/>
        <w:jc w:val="left"/>
      </w:pPr>
      <w:r>
        <w:rPr>
          <w:rFonts w:ascii="Times New Roman" w:cs="Times New Roman" w:eastAsia="Times New Roman" w:hAnsi="Times New Roman"/>
          <w:sz w:val="24"/>
          <w:szCs w:val="24"/>
        </w:rPr>
        <w:t xml:space="preserve">El cuaderno 02 probó la regla con 100 datasets de 2 000 ejecuciones (unas 7 semanas del escenario base), con los niveles de analista que permiten las calificaciones (hoja «Analistas») y con la preparación y la idoneidad del sistema en el 30 % de los ensayos de HPLC y GC, con los tres puntos de ensayo de las pruebas, porque los reales están pendientes (sección 1.10). Cada par tuvo entre 12 y 62 grupos. Con datos correctos, la regla aceptó los 100 (la mayor diferencia fue de 3,6 errores estándar), mientras que una tolerancia fija de 0,05 por par habría aceptado solo 5. Con las tareas generadas con ρ = 0,3 la rechazó en los 100, y con ρ = 0,4, en 38: con 7 semanas, la tolerancia de los pares del analista va de 0,11 a 0,29, así que una diferencia de 0,1 en ρ no siempre se ve, y en los pares de la preparación del sistema, que tienen menos registros, tampoco una de 0,2. Con datos correctos, los quince pares se pudieron decidir en los 100 datasets de 2 000 ejecuciones y en los 100 de 1 500 (unas 5 semanas, un tamaño cerca del límite), pero no en los de 1 000 ni en los de 500, donde los nueve pares de la preparación y la idoneidad del sistema tienen muy pocos registros. Con S04 = 0,3 la correlación que hay que ver es más chica y hacen falta más ejecuciones: con datos correctos y 2 000 ejecuciones, esos nueve pares quedaron sin datos suficientes en los 100 datasets, y con 3 500, unas 12 semanas, los quince se decidieron en los 100 (tabla correlacion_v2_tolerancia.csv).</w:t>
      </w:r>
    </w:p>
    <w:p>
      <w:pPr>
        <w:spacing w:after="120" w:before="0" w:line="288"/>
        <w:jc w:val="left"/>
      </w:pPr>
      <w:r>
        <w:rPr>
          <w:rFonts w:ascii="Times New Roman" w:cs="Times New Roman" w:eastAsia="Times New Roman" w:hAnsi="Times New Roman"/>
          <w:sz w:val="24"/>
          <w:szCs w:val="24"/>
        </w:rPr>
        <w:t xml:space="preserve">La otra parte de V2 son las relaciones de la estructura (Tabla 10), que se reportan sin criterio de aceptación. Dentro de cada técnica son las esperadas: la complejidad fija el número de soluciones (0,82), el número de soluciones alarga la preparación (0,72) y la complejidad se refleja en la duración (0,71). En todo el dataset, en cambio, la técnica pesa más que la complejidad: el método de más demanda, M01, es de complejidad baja y de los más largos, y los de complejidad media de PSA y KF están entre los más cortos, así que complejidad y duración casi no se relacionan (−0,06). No es un error del generador, sino una propiedad del catálogo que el O2 tiene que ver: la complejidad sola no anticipa la duración; junto con la técnica, sí. El ρ de S04 casi no mueve estas relaciones: entre las tareas independientes y ρ = 0,7 cambian a lo sumo 0,06.</w:t>
      </w:r>
    </w:p>
    <w:p>
      <w:pPr>
        <w:keepNext/>
        <w:spacing w:after="0" w:before="200" w:line="288"/>
        <w:jc w:val="left"/>
      </w:pPr>
      <w:r>
        <w:rPr>
          <w:rFonts w:ascii="Times New Roman" w:cs="Times New Roman" w:eastAsia="Times New Roman" w:hAnsi="Times New Roman"/>
          <w:b/>
          <w:bCs/>
          <w:sz w:val="24"/>
          <w:szCs w:val="24"/>
        </w:rPr>
        <w:t xml:space="preserve">Tabla 10</w:t>
      </w:r>
    </w:p>
    <w:p>
      <w:pPr>
        <w:keepNext/>
        <w:spacing w:after="80" w:before="0" w:line="288"/>
        <w:jc w:val="left"/>
      </w:pPr>
      <w:r>
        <w:rPr>
          <w:rFonts w:ascii="Times New Roman" w:cs="Times New Roman" w:eastAsia="Times New Roman" w:hAnsi="Times New Roman"/>
          <w:i/>
          <w:iCs/>
          <w:sz w:val="24"/>
          <w:szCs w:val="24"/>
        </w:rPr>
        <w:t xml:space="preserve">Correlación de rangos entre complejidad, número de soluciones, preparación y duración</w:t>
      </w:r>
    </w:p>
    <w:tbl>
      <w:tblPr>
        <w:tblW w:type="dxa" w:w="8554"/>
        <w:tblBorders>
          <w:top w:val="none" w:color="FFFFFF" w:sz="0"/>
          <w:left w:val="none" w:color="FFFFFF" w:sz="0"/>
          <w:bottom w:val="none" w:color="FFFFFF" w:sz="0"/>
          <w:right w:val="none" w:color="FFFFFF" w:sz="0"/>
          <w:insideH w:val="none" w:color="FFFFFF" w:sz="0"/>
          <w:insideV w:val="none" w:color="FFFFFF" w:sz="0"/>
        </w:tblBorders>
      </w:tblPr>
      <w:tblGrid>
        <w:gridCol w:w="3554"/>
        <w:gridCol w:w="2500"/>
        <w:gridCol w:w="2500"/>
      </w:tblGrid>
      <w:tr>
        <w:trPr>
          <w:cantSplit/>
          <w:tblHeader/>
        </w:trPr>
        <w:tc>
          <w:tcPr>
            <w:tcW w:type="dxa" w:w="3554"/>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bCs/>
                <w:sz w:val="18"/>
                <w:szCs w:val="18"/>
              </w:rPr>
              <w:t xml:space="preserve">Par</w:t>
            </w:r>
          </w:p>
        </w:tc>
        <w:tc>
          <w:tcPr>
            <w:tcW w:type="dxa" w:w="2500"/>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bCs/>
                <w:sz w:val="18"/>
                <w:szCs w:val="18"/>
              </w:rPr>
              <w:t xml:space="preserve">Todo el dataset</w:t>
            </w:r>
          </w:p>
        </w:tc>
        <w:tc>
          <w:tcPr>
            <w:tcW w:type="dxa" w:w="2500"/>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bCs/>
                <w:sz w:val="18"/>
                <w:szCs w:val="18"/>
              </w:rPr>
              <w:t xml:space="preserve">Dentro de cada técnica</w:t>
            </w:r>
          </w:p>
        </w:tc>
      </w:tr>
      <w:tr>
        <w:trPr>
          <w:cantSplit/>
        </w:trPr>
        <w:tc>
          <w:tcPr>
            <w:tcW w:type="dxa" w:w="35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18"/>
                <w:szCs w:val="18"/>
              </w:rPr>
              <w:t xml:space="preserve">Complejidad – número de soluciones</w:t>
            </w:r>
          </w:p>
        </w:tc>
        <w:tc>
          <w:tcPr>
            <w:tcW w:type="dxa" w:w="2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8"/>
                <w:szCs w:val="18"/>
              </w:rPr>
              <w:t xml:space="preserve">0,91</w:t>
            </w:r>
          </w:p>
        </w:tc>
        <w:tc>
          <w:tcPr>
            <w:tcW w:type="dxa" w:w="2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8"/>
                <w:szCs w:val="18"/>
              </w:rPr>
              <w:t xml:space="preserve">0,82</w:t>
            </w:r>
          </w:p>
        </w:tc>
      </w:tr>
      <w:tr>
        <w:trPr>
          <w:cantSplit/>
        </w:trPr>
        <w:tc>
          <w:tcPr>
            <w:tcW w:type="dxa" w:w="35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18"/>
                <w:szCs w:val="18"/>
              </w:rPr>
              <w:t xml:space="preserve">Complejidad – preparación</w:t>
            </w:r>
          </w:p>
        </w:tc>
        <w:tc>
          <w:tcPr>
            <w:tcW w:type="dxa" w:w="2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8"/>
                <w:szCs w:val="18"/>
              </w:rPr>
              <w:t xml:space="preserve">0,11</w:t>
            </w:r>
          </w:p>
        </w:tc>
        <w:tc>
          <w:tcPr>
            <w:tcW w:type="dxa" w:w="2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8"/>
                <w:szCs w:val="18"/>
              </w:rPr>
              <w:t xml:space="preserve">0,61</w:t>
            </w:r>
          </w:p>
        </w:tc>
      </w:tr>
      <w:tr>
        <w:trPr>
          <w:cantSplit/>
        </w:trPr>
        <w:tc>
          <w:tcPr>
            <w:tcW w:type="dxa" w:w="35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18"/>
                <w:szCs w:val="18"/>
              </w:rPr>
              <w:t xml:space="preserve">Complejidad – duración</w:t>
            </w:r>
          </w:p>
        </w:tc>
        <w:tc>
          <w:tcPr>
            <w:tcW w:type="dxa" w:w="2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8"/>
                <w:szCs w:val="18"/>
              </w:rPr>
              <w:t xml:space="preserve">−0,06</w:t>
            </w:r>
          </w:p>
        </w:tc>
        <w:tc>
          <w:tcPr>
            <w:tcW w:type="dxa" w:w="2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8"/>
                <w:szCs w:val="18"/>
              </w:rPr>
              <w:t xml:space="preserve">0,71</w:t>
            </w:r>
          </w:p>
        </w:tc>
      </w:tr>
      <w:tr>
        <w:trPr>
          <w:cantSplit/>
        </w:trPr>
        <w:tc>
          <w:tcPr>
            <w:tcW w:type="dxa" w:w="35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18"/>
                <w:szCs w:val="18"/>
              </w:rPr>
              <w:t xml:space="preserve">Número de soluciones – preparación</w:t>
            </w:r>
          </w:p>
        </w:tc>
        <w:tc>
          <w:tcPr>
            <w:tcW w:type="dxa" w:w="2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8"/>
                <w:szCs w:val="18"/>
              </w:rPr>
              <w:t xml:space="preserve">0,22</w:t>
            </w:r>
          </w:p>
        </w:tc>
        <w:tc>
          <w:tcPr>
            <w:tcW w:type="dxa" w:w="2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8"/>
                <w:szCs w:val="18"/>
              </w:rPr>
              <w:t xml:space="preserve">0,72</w:t>
            </w:r>
          </w:p>
        </w:tc>
      </w:tr>
      <w:tr>
        <w:trPr>
          <w:cantSplit/>
        </w:trPr>
        <w:tc>
          <w:tcPr>
            <w:tcW w:type="dxa" w:w="35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sz w:val="18"/>
                <w:szCs w:val="18"/>
              </w:rPr>
              <w:t xml:space="preserve">Número de soluciones – duración</w:t>
            </w:r>
          </w:p>
        </w:tc>
        <w:tc>
          <w:tcPr>
            <w:tcW w:type="dxa" w:w="2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8"/>
                <w:szCs w:val="18"/>
              </w:rPr>
              <w:t xml:space="preserve">0,00</w:t>
            </w:r>
          </w:p>
        </w:tc>
        <w:tc>
          <w:tcPr>
            <w:tcW w:type="dxa" w:w="2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sz w:val="18"/>
                <w:szCs w:val="18"/>
              </w:rPr>
              <w:t xml:space="preserve">0,73</w:t>
            </w:r>
          </w:p>
        </w:tc>
      </w:tr>
      <w:tr>
        <w:trPr>
          <w:cantSplit/>
        </w:trPr>
        <w:tc>
          <w:tcPr>
            <w:tcW w:type="dxa" w:w="3554"/>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sz w:val="18"/>
                <w:szCs w:val="18"/>
              </w:rPr>
              <w:t xml:space="preserve">Preparación – duración</w:t>
            </w:r>
          </w:p>
        </w:tc>
        <w:tc>
          <w:tcPr>
            <w:tcW w:type="dxa" w:w="2500"/>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0,88</w:t>
            </w:r>
          </w:p>
        </w:tc>
        <w:tc>
          <w:tcPr>
            <w:tcW w:type="dxa" w:w="2500"/>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sz w:val="18"/>
                <w:szCs w:val="18"/>
              </w:rPr>
              <w:t xml:space="preserve">0,92</w:t>
            </w:r>
          </w:p>
        </w:tc>
      </w:tr>
    </w:tbl>
    <w:p>
      <w:pPr>
        <w:spacing w:after="200" w:before="60" w:line="240"/>
        <w:jc w:val="left"/>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La misma mezcla de la Tabla 9, con ρ = 0,5; complejidad baja, media y alta como 1, 2 y 3. Dentro de cada técnica: promedio de la correlación en cada técnica, ponderado por su número de registros (cuaderno 02, tabla correlacion_v2_estructura.csv). Cuando el dataset tenga la mezcla de niveles, el factor del nivel (S07) agregará otra relación: los métodos de complejidad alta solo los hace un sénior (S12), que tarda 10 % menos.</w:t>
      </w:r>
    </w:p>
    <w:p>
      <w:pPr>
        <w:pStyle w:val="Heading2"/>
        <w:keepNext/>
      </w:pPr>
      <w:r>
        <w:rPr>
          <w:rFonts w:ascii="Times New Roman" w:cs="Times New Roman" w:eastAsia="Times New Roman" w:hAnsi="Times New Roman"/>
          <w:b/>
          <w:bCs/>
          <w:sz w:val="24"/>
          <w:szCs w:val="24"/>
        </w:rPr>
        <w:t xml:space="preserve">2.6 Pruebas</w:t>
      </w:r>
    </w:p>
    <w:p>
      <w:pPr>
        <w:spacing w:after="120" w:before="0" w:line="288"/>
        <w:jc w:val="left"/>
      </w:pPr>
      <w:r>
        <w:rPr>
          <w:rFonts w:ascii="Times New Roman" w:cs="Times New Roman" w:eastAsia="Times New Roman" w:hAnsi="Times New Roman"/>
          <w:sz w:val="24"/>
          <w:szCs w:val="24"/>
        </w:rPr>
        <w:t xml:space="preserve">Las 26 pruebas de tests/test_correlacion.py comprueban que la hoja «Correlaciones» tome el ρ de S04 y que la sensibilidad cambie solo los pares de tareas del analista; la conversión entre la correlación de rangos y la de la normal; que la cópula llegue a la matriz objetivo con ρ = 0,3, 0,5 y 0,7 y que sus uniformes sigan siendo uniformes; que Iman y Conover conserve exactamente los valores de cada tarea y el índice de la tabla, llegue a la objetivo y rechace datos con vacíos o con muy pocas filas; el rechazo de matrices que no sirven, como una no simétrica o unas correlaciones que no pueden darse a la vez; que muestrear_ensayo dé la correlación pedida en las seis tareas (con tres puntos de ensayo para la preparación y la idoneidad del sistema y un analista júnior, cuyo factor no cambia los rangos), sin cambiar la distribución de cada tarea ni la media de la duración; la reproducibilidad con la semilla; el valor esperado y la varianza con pocos registros, frente a una simulación; que V2 acepte datos correctos repartidos en muchos grupos chicos, en pocos grupos o en grupos de tamaños muy distintos, rechace otra correlación, no tome por correctas tareas independientes cuando tiene pocos registros, deje sin datos suficientes los pares con grupos de menos de 10 registros o sin registros para ver la correlación de S04 (o una de 0,3, si la objetivo es cero), y que use solo las ejecuciones terminadas. Con 200 000 valores, la diferencia permitida con la objetivo es 0,01, unas cinco veces el error estándar, el mismo margen de la sección 1.6.</w:t>
      </w:r>
    </w:p>
    <w:p>
      <w:pPr>
        <w:pStyle w:val="Heading2"/>
        <w:keepNext/>
      </w:pPr>
      <w:r>
        <w:rPr>
          <w:rFonts w:ascii="Times New Roman" w:cs="Times New Roman" w:eastAsia="Times New Roman" w:hAnsi="Times New Roman"/>
          <w:b/>
          <w:bCs/>
          <w:sz w:val="24"/>
          <w:szCs w:val="24"/>
        </w:rPr>
        <w:t xml:space="preserve">2.7 Decisiones abiertas</w:t>
      </w:r>
    </w:p>
    <w:p>
      <w:pPr>
        <w:pStyle w:val="ListParagraph"/>
        <w:numPr>
          <w:ilvl w:val="0"/>
          <w:numId w:val="2"/>
        </w:numPr>
        <w:spacing w:after="80" w:line="288"/>
      </w:pPr>
      <w:r>
        <w:rPr>
          <w:rFonts w:ascii="Times New Roman" w:cs="Times New Roman" w:eastAsia="Times New Roman" w:hAnsi="Times New Roman"/>
          <w:b/>
          <w:bCs/>
          <w:sz w:val="24"/>
          <w:szCs w:val="24"/>
        </w:rPr>
        <w:t xml:space="preserve">Forma y correlación juntas.</w:t>
      </w:r>
      <w:r>
        <w:rPr>
          <w:rFonts w:ascii="Times New Roman" w:cs="Times New Roman" w:eastAsia="Times New Roman" w:hAnsi="Times New Roman"/>
          <w:sz w:val="24"/>
          <w:szCs w:val="24"/>
        </w:rPr>
        <w:t xml:space="preserve"> S04 propone ρ = 0,5, y la sección 1.10 propone λ = 1. Juntas, la dispersión de los ensayos queda 29 % por encima de la de la fuente en promedio (Tabla 8). Hassi et al. (2025, p. 339) usan 0,3 entre actividades parecidas que comparten riesgos comunes, como requisitos de mano de obra similares, lo más cercano a las tareas del analista (que son actividades distintas hechas por la misma persona), aunque en un proyecto de construcción y sin fuente. Propuesta: si queda λ = 1, bajar S04 a 0,3, con 0,5 y 0,7 como sensibilidad (los otros dos escenarios de S04), lo que deja la dispersión a 22 % de la fuente; si queda λ = 4, mantener 0,5, que la acerca a 11 %, aunque las medias siguen por debajo. Ninguna fuente dice cuánto se correlacionan las tareas en un laboratorio real: Costigliola et al. dan solo una distribución por tarea. Con S04 = 0,3, además, V2 necesita un dataset más largo para ver esa correlación: unas 3 500 ejecuciones, frente a 1 500 a 2 000 con 0,5 (sección 2.5). Conviene decidirlo con la validación del 31 de octubre.</w:t>
      </w:r>
    </w:p>
    <w:p>
      <w:pPr>
        <w:pStyle w:val="ListParagraph"/>
        <w:numPr>
          <w:ilvl w:val="0"/>
          <w:numId w:val="2"/>
        </w:numPr>
        <w:spacing w:after="80" w:line="288"/>
      </w:pPr>
      <w:r>
        <w:rPr>
          <w:rFonts w:ascii="Times New Roman" w:cs="Times New Roman" w:eastAsia="Times New Roman" w:hAnsi="Times New Roman"/>
          <w:b/>
          <w:bCs/>
          <w:sz w:val="24"/>
          <w:szCs w:val="24"/>
        </w:rPr>
        <w:t xml:space="preserve">Tareas del equipo.</w:t>
      </w:r>
      <w:r>
        <w:rPr>
          <w:rFonts w:ascii="Times New Roman" w:cs="Times New Roman" w:eastAsia="Times New Roman" w:hAnsi="Times New Roman"/>
          <w:sz w:val="24"/>
          <w:szCs w:val="24"/>
        </w:rPr>
        <w:t xml:space="preserve"> La idoneidad y la corrida quedan independientes entre sí y de las del analista. Si en la asesoría se piensa que las dos inyecciones deben variar juntas, el cambio es una celda de la hoja «Correlaciones».</w:t>
      </w:r>
    </w:p>
    <w:p>
      <w:pPr>
        <w:pStyle w:val="ListParagraph"/>
        <w:numPr>
          <w:ilvl w:val="0"/>
          <w:numId w:val="2"/>
        </w:numPr>
        <w:spacing w:after="80" w:line="288"/>
      </w:pPr>
      <w:r>
        <w:rPr>
          <w:rFonts w:ascii="Times New Roman" w:cs="Times New Roman" w:eastAsia="Times New Roman" w:hAnsi="Times New Roman"/>
          <w:b/>
          <w:bCs/>
          <w:sz w:val="24"/>
          <w:szCs w:val="24"/>
        </w:rPr>
        <w:t xml:space="preserve">Tolerancia de V2.</w:t>
      </w:r>
      <w:r>
        <w:rPr>
          <w:rFonts w:ascii="Times New Roman" w:cs="Times New Roman" w:eastAsia="Times New Roman" w:hAnsi="Times New Roman"/>
          <w:sz w:val="24"/>
          <w:szCs w:val="24"/>
        </w:rPr>
        <w:t xml:space="preserve"> Cinco errores estándar por par, con al menos 10 registros por grupo, y registros suficientes en cada par para ver una correlación del tamaño de la de S04 el 97,7 % de las veces. Con la frecuencia y los tres puntos de ensayo de la preparación y la idoneidad del sistema, los quince pares se deciden con unas 1 500 a 2 000 ejecuciones (de 5 a 7 semanas) si S04 queda en 0,5, y con unas 3 500 (unas 12 semanas) si baja a 0,3. Con 7 semanas y S04 = 0,5, una diferencia de 0,1 en ρ no siempre se detecta (en los pares de la preparación del sistema, tampoco una de 0,2). Si la validación necesita más precisión, hay que usar un dataset más largo.</w:t>
      </w:r>
    </w:p>
    <w:p>
      <w:pPr>
        <w:pStyle w:val="Heading2"/>
        <w:keepNext/>
      </w:pPr>
      <w:r>
        <w:rPr>
          <w:rFonts w:ascii="Times New Roman" w:cs="Times New Roman" w:eastAsia="Times New Roman" w:hAnsi="Times New Roman"/>
          <w:b/>
          <w:bCs/>
          <w:sz w:val="24"/>
          <w:szCs w:val="24"/>
        </w:rPr>
        <w:t xml:space="preserve">2.8 Estado del módulo</w:t>
      </w:r>
    </w:p>
    <w:p>
      <w:pPr>
        <w:spacing w:after="120" w:before="0" w:line="288"/>
        <w:jc w:val="left"/>
      </w:pPr>
      <w:r>
        <w:rPr>
          <w:rFonts w:ascii="Times New Roman" w:cs="Times New Roman" w:eastAsia="Times New Roman" w:hAnsi="Times New Roman"/>
          <w:sz w:val="24"/>
          <w:szCs w:val="24"/>
        </w:rPr>
        <w:t xml:space="preserve">El módulo src/generador/correlacion.py queda probado: sus 26 pruebas pasan, junto con las demás del repositorio (114 en total), y, con las de tests/test_duraciones.py, ejecutan el 100 % de las sentencias y de las ramas de correlacion.py (183 y 72) y de duraciones.py (59 y 14). El cuaderno notebooks/02_correlacion_duraciones.ipynb rehace las Tablas 6 a 10 y la Figura 2 y guarda sus datos en resultados/tablas/. El resto del generador ya puede pedir duraciones correlacionadas con muestrear_ensayo(..., correlacion=matriz_objetivo()), y la validación del 31 de octubre, calcular V2 con correlacion.indicador_v2.</w:t>
      </w:r>
    </w:p>
    <w:p>
      <w:pPr>
        <w:pStyle w:val="Heading1"/>
        <w:keepNext/>
      </w:pPr>
      <w:r>
        <w:rPr>
          <w:rFonts w:ascii="Times New Roman" w:cs="Times New Roman" w:eastAsia="Times New Roman" w:hAnsi="Times New Roman"/>
          <w:b/>
          <w:bCs/>
          <w:sz w:val="26"/>
          <w:szCs w:val="26"/>
        </w:rPr>
        <w:t xml:space="preserve">Referencias</w:t>
      </w:r>
    </w:p>
    <w:p>
      <w:pPr>
        <w:spacing w:after="120" w:line="288"/>
        <w:ind w:left="720" w:hanging="720"/>
      </w:pPr>
      <w:r>
        <w:rPr>
          <w:rFonts w:ascii="Times New Roman" w:cs="Times New Roman" w:eastAsia="Times New Roman" w:hAnsi="Times New Roman"/>
          <w:sz w:val="24"/>
          <w:szCs w:val="24"/>
        </w:rPr>
        <w:t xml:space="preserve">Clemen, R. T., &amp; Reilly, T. (1999). Correlations and copulas for decision and risk analysis. </w:t>
      </w:r>
      <w:r>
        <w:rPr>
          <w:rFonts w:ascii="Times New Roman" w:cs="Times New Roman" w:eastAsia="Times New Roman" w:hAnsi="Times New Roman"/>
          <w:i/>
          <w:iCs/>
          <w:sz w:val="24"/>
          <w:szCs w:val="24"/>
        </w:rPr>
        <w:t xml:space="preserve">Management Science, 45</w:t>
      </w:r>
      <w:r>
        <w:rPr>
          <w:rFonts w:ascii="Times New Roman" w:cs="Times New Roman" w:eastAsia="Times New Roman" w:hAnsi="Times New Roman"/>
          <w:sz w:val="24"/>
          <w:szCs w:val="24"/>
        </w:rPr>
        <w:t xml:space="preserve">(2), 208–224. https://doi.org/10.1287/mnsc.45.2.208</w:t>
      </w:r>
    </w:p>
    <w:p>
      <w:pPr>
        <w:spacing w:after="120" w:line="288"/>
        <w:ind w:left="720" w:hanging="720"/>
      </w:pPr>
      <w:r>
        <w:rPr>
          <w:rFonts w:ascii="Times New Roman" w:cs="Times New Roman" w:eastAsia="Times New Roman" w:hAnsi="Times New Roman"/>
          <w:sz w:val="24"/>
          <w:szCs w:val="24"/>
        </w:rPr>
        <w:t xml:space="preserve">Coito, T., Firme, B., Martins, M. S. E., Vieira, S. M., Figueiredo, J., &amp; Sousa, J. M. C. (2021). Intelligent sensors for real-time decision-making. </w:t>
      </w:r>
      <w:r>
        <w:rPr>
          <w:rFonts w:ascii="Times New Roman" w:cs="Times New Roman" w:eastAsia="Times New Roman" w:hAnsi="Times New Roman"/>
          <w:i/>
          <w:iCs/>
          <w:sz w:val="24"/>
          <w:szCs w:val="24"/>
        </w:rPr>
        <w:t xml:space="preserve">Automation, 2</w:t>
      </w:r>
      <w:r>
        <w:rPr>
          <w:rFonts w:ascii="Times New Roman" w:cs="Times New Roman" w:eastAsia="Times New Roman" w:hAnsi="Times New Roman"/>
          <w:sz w:val="24"/>
          <w:szCs w:val="24"/>
        </w:rPr>
        <w:t xml:space="preserve">(2), 62–82. https://doi.org/10.3390/automation2020004</w:t>
      </w:r>
    </w:p>
    <w:p>
      <w:pPr>
        <w:spacing w:after="120" w:line="288"/>
        <w:ind w:left="720" w:hanging="720"/>
      </w:pPr>
      <w:r>
        <w:rPr>
          <w:rFonts w:ascii="Times New Roman" w:cs="Times New Roman" w:eastAsia="Times New Roman" w:hAnsi="Times New Roman"/>
          <w:sz w:val="24"/>
          <w:szCs w:val="24"/>
        </w:rPr>
        <w:t xml:space="preserve">Costigliola, A., Ataíde, F. A. P., Vieira, S. M., &amp; Sousa, J. M. C. (2017). Simulation model of a quality control laboratory in pharmaceutical industry. </w:t>
      </w:r>
      <w:r>
        <w:rPr>
          <w:rFonts w:ascii="Times New Roman" w:cs="Times New Roman" w:eastAsia="Times New Roman" w:hAnsi="Times New Roman"/>
          <w:i/>
          <w:iCs/>
          <w:sz w:val="24"/>
          <w:szCs w:val="24"/>
        </w:rPr>
        <w:t xml:space="preserve">IFAC-PapersOnLine, 50</w:t>
      </w:r>
      <w:r>
        <w:rPr>
          <w:rFonts w:ascii="Times New Roman" w:cs="Times New Roman" w:eastAsia="Times New Roman" w:hAnsi="Times New Roman"/>
          <w:sz w:val="24"/>
          <w:szCs w:val="24"/>
        </w:rPr>
        <w:t xml:space="preserve">(1), 9014–9019. https://doi.org/10.1016/j.ifacol.2017.08.1582</w:t>
      </w:r>
    </w:p>
    <w:p>
      <w:pPr>
        <w:spacing w:after="120" w:line="288"/>
        <w:ind w:left="720" w:hanging="720"/>
      </w:pPr>
      <w:r>
        <w:rPr>
          <w:rFonts w:ascii="Times New Roman" w:cs="Times New Roman" w:eastAsia="Times New Roman" w:hAnsi="Times New Roman"/>
          <w:sz w:val="24"/>
          <w:szCs w:val="24"/>
        </w:rPr>
        <w:t xml:space="preserve">Hassi, H., El Mkhalet, M., &amp; Lamdouar, N. (2025). Scheduling optimization and risk analysis using Monte Carlo simulation for a construction project in Morocco. </w:t>
      </w:r>
      <w:r>
        <w:rPr>
          <w:rFonts w:ascii="Times New Roman" w:cs="Times New Roman" w:eastAsia="Times New Roman" w:hAnsi="Times New Roman"/>
          <w:i/>
          <w:iCs/>
          <w:sz w:val="24"/>
          <w:szCs w:val="24"/>
        </w:rPr>
        <w:t xml:space="preserve">International Journal of Engineering Trends and Technology, 73</w:t>
      </w:r>
      <w:r>
        <w:rPr>
          <w:rFonts w:ascii="Times New Roman" w:cs="Times New Roman" w:eastAsia="Times New Roman" w:hAnsi="Times New Roman"/>
          <w:sz w:val="24"/>
          <w:szCs w:val="24"/>
        </w:rPr>
        <w:t xml:space="preserve">(6), 336–349. https://doi.org/10.14445/22315381/IJETT-V73I6P128</w:t>
      </w:r>
    </w:p>
    <w:p>
      <w:pPr>
        <w:spacing w:after="120" w:line="288"/>
        <w:ind w:left="720" w:hanging="720"/>
      </w:pPr>
      <w:r>
        <w:rPr>
          <w:rFonts w:ascii="Times New Roman" w:cs="Times New Roman" w:eastAsia="Times New Roman" w:hAnsi="Times New Roman"/>
          <w:sz w:val="24"/>
          <w:szCs w:val="24"/>
        </w:rPr>
        <w:t xml:space="preserve">Iman, R. L., &amp; Conover, W. J. (1982). A distribution-free approach to inducing rank correlation among input variables. </w:t>
      </w:r>
      <w:r>
        <w:rPr>
          <w:rFonts w:ascii="Times New Roman" w:cs="Times New Roman" w:eastAsia="Times New Roman" w:hAnsi="Times New Roman"/>
          <w:i/>
          <w:iCs/>
          <w:sz w:val="24"/>
          <w:szCs w:val="24"/>
        </w:rPr>
        <w:t xml:space="preserve">Communications in Statistics – Simulation and Computation, 11</w:t>
      </w:r>
      <w:r>
        <w:rPr>
          <w:rFonts w:ascii="Times New Roman" w:cs="Times New Roman" w:eastAsia="Times New Roman" w:hAnsi="Times New Roman"/>
          <w:sz w:val="24"/>
          <w:szCs w:val="24"/>
        </w:rPr>
        <w:t xml:space="preserve">(3), 311–334. https://doi.org/10.1080/03610918208812265</w:t>
      </w:r>
    </w:p>
    <w:p>
      <w:pPr>
        <w:spacing w:after="120" w:line="288"/>
        <w:ind w:left="720" w:hanging="720"/>
      </w:pPr>
      <w:r>
        <w:rPr>
          <w:rFonts w:ascii="Times New Roman" w:cs="Times New Roman" w:eastAsia="Times New Roman" w:hAnsi="Times New Roman"/>
          <w:sz w:val="24"/>
          <w:szCs w:val="24"/>
        </w:rPr>
        <w:t xml:space="preserve">Moran, P. A. P. (1948). Rank correlation and product-moment correlation. </w:t>
      </w:r>
      <w:r>
        <w:rPr>
          <w:rFonts w:ascii="Times New Roman" w:cs="Times New Roman" w:eastAsia="Times New Roman" w:hAnsi="Times New Roman"/>
          <w:i/>
          <w:iCs/>
          <w:sz w:val="24"/>
          <w:szCs w:val="24"/>
        </w:rPr>
        <w:t xml:space="preserve">Biometrika, 35</w:t>
      </w:r>
      <w:r>
        <w:rPr>
          <w:rFonts w:ascii="Times New Roman" w:cs="Times New Roman" w:eastAsia="Times New Roman" w:hAnsi="Times New Roman"/>
          <w:sz w:val="24"/>
          <w:szCs w:val="24"/>
        </w:rPr>
        <w:t xml:space="preserve">(1–2), 203–206. https://doi.org/10.1093/biomet/35.1-2.203</w:t>
      </w:r>
    </w:p>
    <w:p>
      <w:pPr>
        <w:spacing w:after="120" w:line="288"/>
        <w:ind w:left="720" w:hanging="720"/>
      </w:pPr>
      <w:r>
        <w:rPr>
          <w:rFonts w:ascii="Times New Roman" w:cs="Times New Roman" w:eastAsia="Times New Roman" w:hAnsi="Times New Roman"/>
          <w:sz w:val="24"/>
          <w:szCs w:val="24"/>
        </w:rPr>
        <w:t xml:space="preserve">Xu, W., Hou, Y., Hung, Y. S., &amp; Zou, Y. (2010). </w:t>
      </w:r>
      <w:r>
        <w:rPr>
          <w:rFonts w:ascii="Times New Roman" w:cs="Times New Roman" w:eastAsia="Times New Roman" w:hAnsi="Times New Roman"/>
          <w:i/>
          <w:iCs/>
          <w:sz w:val="24"/>
          <w:szCs w:val="24"/>
        </w:rPr>
        <w:t xml:space="preserve">Comparison of Spearman's rho and Kendall's tau in normal and contaminated normal models</w:t>
      </w:r>
      <w:r>
        <w:rPr>
          <w:rFonts w:ascii="Times New Roman" w:cs="Times New Roman" w:eastAsia="Times New Roman" w:hAnsi="Times New Roman"/>
          <w:sz w:val="24"/>
          <w:szCs w:val="24"/>
        </w:rPr>
        <w:t xml:space="preserve"> (arXiv:1011.2009). arXiv. https://doi.org/10.48550/arXiv.1011.2009</w:t>
      </w:r>
    </w:p>
    <w:sectPr>
      <w:footerReference w:type="default" r:id="rId6"/>
      <w:pgSz w:w="12240" w:h="15840" w:orient="portrait"/>
      <w:pgMar w:top="1418" w:right="1418" w:bottom="1418" w:left="226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color w:val="808080"/>
        <w:sz w:val="18"/>
        <w:szCs w:val="18"/>
      </w:rPr>
      <w:t xml:space="preserve">Generador de datos sintéticos · página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Times New Roman" w:cs="Times New Roman" w:eastAsia="Times New Roman" w:hAnsi="Times New Roman"/>
      <w:b/>
      <w:bCs/>
      <w:color w:val="000000"/>
      <w:sz w:val="26"/>
      <w:szCs w:val="26"/>
    </w:rPr>
  </w:style>
  <w:style w:type="paragraph" w:styleId="Heading2">
    <w:name w:val="Heading 2"/>
    <w:basedOn w:val="Normal"/>
    <w:next w:val="Normal"/>
    <w:qFormat/>
    <w:pPr>
      <w:spacing w:after="100" w:before="240"/>
      <w:outlineLvl w:val="1"/>
    </w:pPr>
    <w:rPr>
      <w:rFonts w:ascii="Times New Roman" w:cs="Times New Roman" w:eastAsia="Times New Roman" w:hAnsi="Times New Roman"/>
      <w:b/>
      <w:bCs/>
      <w:color w:val="000000"/>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704627f976242bce139883c9dce7872f53db6786.png"/><Relationship Id="rId9" Type="http://schemas.openxmlformats.org/officeDocument/2006/relationships/fontTable" Target="fontTable.xml"/><Relationship Id="rId10" Type="http://schemas.openxmlformats.org/officeDocument/2006/relationships/image" Target="media/correlacion_tareas_M02.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Generador de datos sintéticos</dc:title>
  <dc:creator>Carlos Campo y Aldair Cétares</dc:creator>
  <cp:lastModifiedBy>Un-named</cp:lastModifiedBy>
  <cp:revision>1</cp:revision>
  <dcterms:created xsi:type="dcterms:W3CDTF">2026-10-28T21:33:10.108Z</dcterms:created>
  <dcterms:modified xsi:type="dcterms:W3CDTF">2026-10-28T21:33:10.108Z</dcterms:modified>
</cp:coreProperties>
</file>

<file path=docProps/custom.xml><?xml version="1.0" encoding="utf-8"?>
<Properties xmlns="http://schemas.openxmlformats.org/officeDocument/2006/custom-properties" xmlns:vt="http://schemas.openxmlformats.org/officeDocument/2006/docPropsVTypes"/>
</file>