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Gobernanza y análisis de datos financieros para optimizar el cobro de facturas en TForce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Carlos David Campo Urzola; 3045604013; carlosdcampou@gmail.com</w:t>
      </w:r>
    </w:p>
    <w:p w:rsidR="00000000" w:rsidDel="00000000" w:rsidP="00000000" w:rsidRDefault="00000000" w:rsidRPr="00000000" w14:paraId="0000000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84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Breve descripción de la situación a tratar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TForce existe la necesidad de mejorar la gestión de cobros y reducir el incremento del aging, causado por retrasos en los pagos de los clientes. Esta situación impacta la liquidez y ha llevado a recurrir a préstamos bancarios para mantener la operación.</w:t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problema se abordará en dos fases: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Gobernanza de datos: completar y estandarizar la información de contacto de las cuentas.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Análisis predictivo: desarrollar un modelo que permita anticipar los retrasos de pago y priorizar la gestión de cobros.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84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Situación a investigar corresponden con: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</w:t>
      </w:r>
      <w:r w:rsidDel="00000000" w:rsidR="00000000" w:rsidRPr="00000000">
        <w:rPr>
          <w:sz w:val="24"/>
          <w:szCs w:val="24"/>
          <w:rtl w:val="0"/>
        </w:rPr>
        <w:t xml:space="preserve"> X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TForce, el proceso de gestión de cobros presenta desviaciones respecto a la situación ideal, ya que no todas las cuentas cuentan con información de contacto completa ni con registros actualizados en los sistemas. Esta falta de gobernanza y calidad de datos dificulta la comunicación con los clientes y retrasa la recuperación de pagos, lo que incrementa el aging y afecta la liquidez de la empresa.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ello, la primera fase del proyecto se centrará en la consolidación, validación y estandarización de la base de datos de cuentas, con el fin de garantizar la trazabilidad de los clientes y establecer las bases para una segunda fase analítica orientada a la predicción de retrasos en pagos.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Necesidad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Oportunidad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84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Enfoque analítico</w:t>
      </w:r>
    </w:p>
    <w:tbl>
      <w:tblPr>
        <w:tblStyle w:val="Table1"/>
        <w:tblW w:w="9678.0" w:type="dxa"/>
        <w:jc w:val="left"/>
        <w:tblInd w:w="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38"/>
        <w:gridCol w:w="4840"/>
        <w:tblGridChange w:id="0">
          <w:tblGrid>
            <w:gridCol w:w="4838"/>
            <w:gridCol w:w="48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Técnicas estadísticas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Aprendizaje automático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descriptivo de completitud de datos: porcentaje de cuentas sin información de contacto y duplicadas.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Clasificación automática del nivel de calidad de datos según la completitud y consistencia de cada registro.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Estadísticas de resumen: conteo, frecuencia, media y mediana de variables relevantes (número de facturas por cliente, edad promedio de cuentas).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Aplicación de técnicas de imputación para estimar valores faltantes en registros con datos incompletos.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descriptivo del comportamiento histórico de pagos: promedio de días de retraso, desviación estándar, porcentaje de facturas past due por cliente.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Modelo de clasificación supervisado (regresión logística o arbol de decisión) para predecir la probabilidad de que un cliente pague después de la fecha de vencimiento.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de correlación entre variables como monto del invoice, tipo de servicio y días de retraso, para identificar patrones que influyen en el incumplimiento.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Segmentación de clientes según su nivel de riesgo de impago (alto, medio, bajo) mediante técnicas de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clustering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0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84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Manejo de datos</w:t>
      </w:r>
      <w:r w:rsidDel="00000000" w:rsidR="00000000" w:rsidRPr="00000000">
        <w:rPr>
          <w:rtl w:val="0"/>
        </w:rPr>
      </w:r>
    </w:p>
    <w:tbl>
      <w:tblPr>
        <w:tblStyle w:val="Table2"/>
        <w:tblW w:w="9678.0" w:type="dxa"/>
        <w:jc w:val="left"/>
        <w:tblInd w:w="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1"/>
        <w:gridCol w:w="1985"/>
        <w:gridCol w:w="2551"/>
        <w:gridCol w:w="3021"/>
        <w:tblGridChange w:id="0">
          <w:tblGrid>
            <w:gridCol w:w="2121"/>
            <w:gridCol w:w="1985"/>
            <w:gridCol w:w="2551"/>
            <w:gridCol w:w="302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dato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dato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Fuente del dato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preparación requerida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Aging Buckets (Current, 1–30, 31–60, 61–90, 91–180, 181–365, 366+)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Oracle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Transformar cada bucket en proporciones o etiquetas (porcentaje del total en mora).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Invoice 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Oracle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errores relacionados a cuentas duplicadas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Credit Limit / Oracle Credit Available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Oracle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coherencia (no permitir créditos negativos o superiores a los límites).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Contact Name / Contact Phone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Oracle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Completar información faltante, validar teléfonos y correos.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Average Pays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oracle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Detectar valores atípicos y registrar cuentas sin histórico de pago.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 Date / Most Recent Note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5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35"/>
              <w:tblGridChange w:id="0">
                <w:tblGrid>
                  <w:gridCol w:w="153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after="0" w:line="24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Fecha / Texto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spacing w:after="0" w:line="24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oracle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notas vacías o desactualizadas (&gt; 180 días).</w:t>
            </w:r>
          </w:p>
        </w:tc>
      </w:tr>
    </w:tbl>
    <w:p w:rsidR="00000000" w:rsidDel="00000000" w:rsidP="00000000" w:rsidRDefault="00000000" w:rsidRPr="00000000" w14:paraId="00000043">
      <w:pPr>
        <w:spacing w:after="0" w:lineRule="auto"/>
        <w:ind w:lef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5" w:hanging="705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5001CE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810DF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077E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077E9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077E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077E9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077E9B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PrPik128acOXt477+UZB/UaicQ==">CgMxLjA4AHIhMWV1UzZHNU1FSzVFMVZGbl85aHZVVmFaMUNuV0N0bm5R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2022-03-14T15:34:00Z</dcterms:created>
  <dc:creator>usuario</dc:creator>
</cp:coreProperties>
</file>