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before="200"/>
        <w:rPr>
          <w:color w:val="000000" w:themeColor="text1"/>
        </w:rPr>
      </w:pPr>
      <w:r>
        <w:rPr>
          <w:rFonts w:ascii="Calibri" w:cs="Calibri" w:eastAsia="Calibri" w:hAnsi="Calibri"/>
          <w:b/>
          <w:bCs/>
          <w:color w:val="5A5A5A"/>
          <w:sz w:val="18"/>
          <w:szCs w:val="18"/>
        </w:rPr>
        <w:t xml:space="preserve">NOTA TÉCNICA — ANEXO AL ANTEPROYECTO V8</w:t>
      </w:r>
    </w:p>
    <w:p>
      <w:pPr>
        <w:spacing w:after="60"/>
        <w:rPr>
          <w:color w:val="000000" w:themeColor="text1"/>
        </w:rPr>
      </w:pPr>
      <w:r>
        <w:rPr>
          <w:b/>
          <w:bCs/>
          <w:color w:val="000000" w:themeColor="text1"/>
          <w:sz w:val="26"/>
          <w:szCs w:val="26"/>
        </w:rPr>
        <w:t xml:space="preserve">Por qué la política de asignación mediante proceso de decisión de Markov y Deep Q-Network no se desarrolla en este trabajo</w:t>
      </w:r>
    </w:p>
    <w:p>
      <w:pPr>
        <w:spacing w:after="220"/>
        <w:rPr>
          <w:color w:val="000000" w:themeColor="text1"/>
        </w:rPr>
      </w:pPr>
      <w:r>
        <w:rPr>
          <w:color w:val="000000" w:themeColor="text1"/>
          <w:sz w:val="19"/>
          <w:szCs w:val="19"/>
        </w:rPr>
        <w:t xml:space="preserve">Aldair Rafael Cetares Barrios  ·  Carlos David Campo Urzola</w:t>
      </w:r>
    </w:p>
    <w:p>
      <w:pPr>
        <w:spacing w:after="150" w:line="288" w:lineRule="auto"/>
        <w:jc w:val="both"/>
        <w:rPr>
          <w:color w:val="000000" w:themeColor="text1"/>
        </w:rPr>
      </w:pPr>
      <w:r>
        <w:rPr>
          <w:color w:val="000000" w:themeColor="text1"/>
        </w:rPr>
        <w:t xml:space="preserve">La tercera pregunta específica del anteproyecto plantea la integración del modelo predictivo en un prototipo funcional basado en un proceso de decisión de Markov (MDP) resuelto mediante Deep Q-Network (DQN). Esta nota documenta por qué el desarrollo completo de esa capa excede el alcance del presente trabajo de grado —centrado en la generación de datos sintéticos calibrados y en la estimación supervisada de duraciones— y por qué se propone enunciarla como objetivo general de una investigación posterior. La decisión no cuestiona la pertinencia del enfoque, que está documentada (Khadivi et al., 2025), sino su viabilidad dentro de este alcance y bajo las condiciones de datos disponibles.</w:t>
      </w:r>
    </w:p>
    <w:p>
      <w:pPr>
        <w:pStyle w:val="Heading1"/>
        <w:spacing w:before="340" w:after="150"/>
        <w:rPr>
          <w:color w:val="000000" w:themeColor="text1"/>
        </w:rPr>
      </w:pPr>
      <w:r>
        <w:rPr>
          <w:b/>
          <w:bCs/>
          <w:color w:val="000000" w:themeColor="text1"/>
          <w:sz w:val="24"/>
          <w:szCs w:val="24"/>
        </w:rPr>
        <w:t xml:space="preserve">1. Qué exigiría implementar la capa de aprendizaje por refuerzo</w:t>
      </w:r>
    </w:p>
    <w:p>
      <w:pPr>
        <w:spacing w:after="150" w:line="288" w:lineRule="auto"/>
        <w:jc w:val="both"/>
        <w:rPr>
          <w:color w:val="000000" w:themeColor="text1"/>
        </w:rPr>
      </w:pPr>
      <w:r>
        <w:rPr>
          <w:color w:val="000000" w:themeColor="text1"/>
        </w:rPr>
        <w:t xml:space="preserve">Una política de asignación aprendida no es un modelo adicional que se entrena sobre la misma tabla de datos que los estimadores de duración. Exige, como mínimo, cuatro desarrollos independientes:</w:t>
      </w:r>
    </w:p>
    <w:p>
      <w:pPr>
        <w:pStyle w:val="ListParagraph"/>
        <w:numPr>
          <w:ilvl w:val="0"/>
          <w:numId w:val="2"/>
        </w:numPr>
        <w:spacing w:after="80" w:line="288" w:lineRule="auto"/>
        <w:jc w:val="both"/>
        <w:rPr>
          <w:color w:val="000000" w:themeColor="text1"/>
        </w:rPr>
      </w:pPr>
      <w:r>
        <w:rPr>
          <w:b/>
          <w:bCs/>
          <w:color w:val="000000" w:themeColor="text1"/>
        </w:rPr>
        <w:t xml:space="preserve">Formular el MDP. </w:t>
      </w:r>
      <w:r>
        <w:rPr>
          <w:color w:val="000000" w:themeColor="text1"/>
        </w:rPr>
        <w:t xml:space="preserve">Definir el espacio de estados (colas por tipo de ensayo, disponibilidad y calificación de analistas, estado de los equipos, plazos remanentes y duraciones estimadas), el espacio de acciones (asignaciones factibles de cada análisis a una pareja analista–equipo) y una función de recompensa que concilie objetivos en conflicto: makespan, tardanza media, utilización y cumplimiento de plazos.</w:t>
      </w:r>
    </w:p>
    <w:p>
      <w:pPr>
        <w:pStyle w:val="ListParagraph"/>
        <w:numPr>
          <w:ilvl w:val="0"/>
          <w:numId w:val="2"/>
        </w:numPr>
        <w:spacing w:after="80" w:line="288" w:lineRule="auto"/>
        <w:jc w:val="both"/>
        <w:rPr>
          <w:color w:val="000000" w:themeColor="text1"/>
        </w:rPr>
      </w:pPr>
      <w:r>
        <w:rPr>
          <w:b/>
          <w:bCs/>
          <w:color w:val="000000" w:themeColor="text1"/>
        </w:rPr>
        <w:t xml:space="preserve">Convertir el simulador en entorno de entrenamiento. </w:t>
      </w:r>
      <w:r>
        <w:rPr>
          <w:color w:val="000000" w:themeColor="text1"/>
        </w:rPr>
        <w:t xml:space="preserve">El generador de datos sintéticos produce observaciones; un agente necesita, en cambio, un entorno que acepte acciones, avance el reloj de simulación y devuelva recompensas paso a paso. Es un desarrollo de software distinto del generador y de mayor complejidad.</w:t>
      </w:r>
    </w:p>
    <w:p>
      <w:pPr>
        <w:pStyle w:val="ListParagraph"/>
        <w:numPr>
          <w:ilvl w:val="0"/>
          <w:numId w:val="2"/>
        </w:numPr>
        <w:spacing w:after="80" w:line="288" w:lineRule="auto"/>
        <w:jc w:val="both"/>
        <w:rPr>
          <w:color w:val="000000" w:themeColor="text1"/>
        </w:rPr>
      </w:pPr>
      <w:r>
        <w:rPr>
          <w:b/>
          <w:bCs/>
          <w:color w:val="000000" w:themeColor="text1"/>
        </w:rPr>
        <w:t xml:space="preserve">Entrenar y estabilizar la red. </w:t>
      </w:r>
      <w:r>
        <w:rPr>
          <w:color w:val="000000" w:themeColor="text1"/>
        </w:rPr>
        <w:t xml:space="preserve">Memoria de repetición, red objetivo, política de exploración y una búsqueda de hiperparámetros que, para ser defendible, debe recorrer decenas de miles de episodios por configuración.</w:t>
      </w:r>
    </w:p>
    <w:p>
      <w:pPr>
        <w:pStyle w:val="ListParagraph"/>
        <w:numPr>
          <w:ilvl w:val="0"/>
          <w:numId w:val="2"/>
        </w:numPr>
        <w:spacing w:after="80" w:line="288" w:lineRule="auto"/>
        <w:jc w:val="both"/>
        <w:rPr>
          <w:color w:val="000000" w:themeColor="text1"/>
        </w:rPr>
      </w:pPr>
      <w:r>
        <w:rPr>
          <w:b/>
          <w:bCs/>
          <w:color w:val="000000" w:themeColor="text1"/>
        </w:rPr>
        <w:t xml:space="preserve">Validar la política aprendida. </w:t>
      </w:r>
      <w:r>
        <w:rPr>
          <w:color w:val="000000" w:themeColor="text1"/>
        </w:rPr>
        <w:t xml:space="preserve">Comprobar que no colapsa en acciones degeneradas, que respeta las restricciones de calificación del personal y de disponibilidad de equipos, y que su desempeño se sostiene fuera de las condiciones de entrenamiento.</w:t>
      </w:r>
    </w:p>
    <w:p>
      <w:pPr>
        <w:spacing w:after="150" w:line="288" w:lineRule="auto"/>
        <w:jc w:val="both"/>
        <w:rPr>
          <w:color w:val="000000" w:themeColor="text1"/>
        </w:rPr>
      </w:pPr>
      <w:r>
        <w:rPr>
          <w:color w:val="000000" w:themeColor="text1"/>
        </w:rPr>
        <w:t xml:space="preserve">Cada uno de esos cuatro puntos tiene, por sí solo, el tamaño de un objetivo específico. En conjunto constituyen un proyecto de investigación completo y no la etapa final del presente.</w:t>
      </w:r>
    </w:p>
    <w:p>
      <w:pPr>
        <w:pStyle w:val="Heading1"/>
        <w:spacing w:before="340" w:after="150"/>
        <w:rPr>
          <w:color w:val="000000" w:themeColor="text1"/>
        </w:rPr>
      </w:pPr>
      <w:r>
        <w:rPr>
          <w:b/>
          <w:bCs/>
          <w:color w:val="000000" w:themeColor="text1"/>
          <w:sz w:val="24"/>
          <w:szCs w:val="24"/>
        </w:rPr>
        <w:t xml:space="preserve">2. Razones metodológicas, no solo de esfuerzo</w:t>
      </w:r>
    </w:p>
    <w:p>
      <w:pPr>
        <w:pStyle w:val="ListParagraph"/>
        <w:numPr>
          <w:ilvl w:val="0"/>
          <w:numId w:val="2"/>
        </w:numPr>
        <w:spacing w:after="80" w:line="288" w:lineRule="auto"/>
        <w:jc w:val="both"/>
        <w:rPr>
          <w:color w:val="000000" w:themeColor="text1"/>
        </w:rPr>
      </w:pPr>
      <w:r>
        <w:rPr>
          <w:b/>
          <w:bCs/>
          <w:color w:val="000000" w:themeColor="text1"/>
        </w:rPr>
        <w:t xml:space="preserve">La línea base todavía no existe. </w:t>
      </w:r>
      <w:r>
        <w:rPr>
          <w:color w:val="000000" w:themeColor="text1"/>
        </w:rPr>
        <w:t xml:space="preserve">Khadivi et al. (2025) reportan que las políticas aprendidas mediante Deep Q-Network superan de forma consistente a las reglas de despacho heurísticas. Esa comparación solo tiene sentido si las reglas de despacho existen, están implementadas y han sido medidas en el mismo entorno. Construir esa línea base es un prerrequisito del DQN, no una alternativa a él, y es precisamente lo que este trabajo produce.</w:t>
      </w:r>
    </w:p>
    <w:p>
      <w:pPr>
        <w:pStyle w:val="ListParagraph"/>
        <w:numPr>
          <w:ilvl w:val="0"/>
          <w:numId w:val="2"/>
        </w:numPr>
        <w:spacing w:after="80" w:line="288" w:lineRule="auto"/>
        <w:jc w:val="both"/>
        <w:rPr>
          <w:color w:val="000000" w:themeColor="text1"/>
        </w:rPr>
      </w:pPr>
      <w:r>
        <w:rPr>
          <w:b/>
          <w:bCs/>
          <w:color w:val="000000" w:themeColor="text1"/>
        </w:rPr>
        <w:t xml:space="preserve">La circularidad se amplifica en lugar de acotarse. </w:t>
      </w:r>
      <w:r>
        <w:rPr>
          <w:color w:val="000000" w:themeColor="text1"/>
        </w:rPr>
        <w:t xml:space="preserve">El anteproyecto ya declara el riesgo de circularidad entre generación y aprendizaje. Un agente que aprende por interacción dentro del mismo simulador cuyas reglas fueron definidas por los investigadores no aprende del laboratorio: aprende del simulador, y la mejora medida sería un artefacto del entorno. En el modelo supervisado ese riesgo se acota evaluando en regímenes de carga no vistos durante el entrenamiento; en un agente que optimiza sobre el mismo entorno que lo evalúa, esa mitigación no es aplicable.</w:t>
      </w:r>
    </w:p>
    <w:p>
      <w:pPr>
        <w:pStyle w:val="ListParagraph"/>
        <w:numPr>
          <w:ilvl w:val="0"/>
          <w:numId w:val="2"/>
        </w:numPr>
        <w:spacing w:after="80" w:line="288" w:lineRule="auto"/>
        <w:jc w:val="both"/>
        <w:rPr>
          <w:color w:val="000000" w:themeColor="text1"/>
        </w:rPr>
      </w:pPr>
      <w:r>
        <w:rPr>
          <w:b/>
          <w:bCs/>
          <w:color w:val="000000" w:themeColor="text1"/>
        </w:rPr>
        <w:t xml:space="preserve">La dependencia del entorno no es verificable sin datos reales. </w:t>
      </w:r>
      <w:r>
        <w:rPr>
          <w:color w:val="000000" w:themeColor="text1"/>
        </w:rPr>
        <w:t xml:space="preserve">Los mismos autores documentan que el desempeño del aprendizaje por refuerzo profundo depende fuertemente del entorno de simulación empleado y exige entrenamiento intensivo. Sin registros operativos reales contra los cuales contrastar, esa dependencia no es verificable y el resultado no sería auditable por un tercero.</w:t>
      </w:r>
    </w:p>
    <w:p>
      <w:pPr>
        <w:pStyle w:val="ListParagraph"/>
        <w:numPr>
          <w:ilvl w:val="0"/>
          <w:numId w:val="2"/>
        </w:numPr>
        <w:spacing w:after="80" w:line="288" w:lineRule="auto"/>
        <w:jc w:val="both"/>
        <w:rPr>
          <w:color w:val="000000" w:themeColor="text1"/>
        </w:rPr>
      </w:pPr>
      <w:r>
        <w:rPr>
          <w:b/>
          <w:bCs/>
          <w:color w:val="000000" w:themeColor="text1"/>
        </w:rPr>
        <w:t xml:space="preserve">La explicabilidad es un requisito del dominio. </w:t>
      </w:r>
      <w:r>
        <w:rPr>
          <w:color w:val="000000" w:themeColor="text1"/>
        </w:rPr>
        <w:t xml:space="preserve">En un laboratorio que opera bajo Buenas Prácticas de Manufactura, toda decisión de asignación debe poder justificarse y documentarse. Una política DQN no expone el criterio de sus decisiones. Que Mischek y Musliu (2024) hayan debido incorporar valores de Shapley al apoyo a decisiones de programación de laboratorios de ensayo indica que la explicabilidad es un requisito del dominio y no un refinamiento opcional.</w:t>
      </w:r>
    </w:p>
    <w:p>
      <w:pPr>
        <w:pStyle w:val="ListParagraph"/>
        <w:numPr>
          <w:ilvl w:val="0"/>
          <w:numId w:val="2"/>
        </w:numPr>
        <w:spacing w:after="80" w:line="288" w:lineRule="auto"/>
        <w:jc w:val="both"/>
        <w:rPr>
          <w:color w:val="000000" w:themeColor="text1"/>
        </w:rPr>
      </w:pPr>
      <w:r>
        <w:rPr>
          <w:b/>
          <w:bCs/>
          <w:color w:val="000000" w:themeColor="text1"/>
        </w:rPr>
        <w:t xml:space="preserve">El riesgo de proyecto es asimétrico. </w:t>
      </w:r>
      <w:r>
        <w:rPr>
          <w:color w:val="000000" w:themeColor="text1"/>
        </w:rPr>
        <w:t xml:space="preserve">Si el agente no converge —desenlace frecuente y difícil de anticipar—, el trabajo quedaría sin capa de asignación y sin resultado evaluable. La regla de despacho informada por las duraciones estimadas garantiza, en cambio, un entregable medible frente a FIFO, asignación aleatoria y regla experta bajo condiciones idénticas de simulación.</w:t>
      </w:r>
    </w:p>
    <w:p>
      <w:pPr>
        <w:pStyle w:val="Heading1"/>
        <w:spacing w:before="340" w:after="150"/>
        <w:rPr>
          <w:color w:val="000000" w:themeColor="text1"/>
        </w:rPr>
      </w:pPr>
      <w:r>
        <w:rPr>
          <w:b/>
          <w:bCs/>
          <w:color w:val="000000" w:themeColor="text1"/>
          <w:sz w:val="24"/>
          <w:szCs w:val="24"/>
        </w:rPr>
        <w:t xml:space="preserve">3. Qué queda resuelto en este trabajo</w:t>
      </w:r>
    </w:p>
    <w:p>
      <w:pPr>
        <w:spacing w:after="150" w:line="288" w:lineRule="auto"/>
        <w:jc w:val="both"/>
        <w:rPr>
          <w:color w:val="000000" w:themeColor="text1"/>
        </w:rPr>
      </w:pPr>
      <w:r>
        <w:rPr>
          <w:color w:val="000000" w:themeColor="text1"/>
        </w:rPr>
        <w:t xml:space="preserve">La pregunta se aborda en su fase de prototipado, que es como está formulada. El trabajo entrega los tres insumos que una capa de aprendizaje por refuerzo requeriría: el estado —disponibilidad de analistas y equipos, colas y plazos—, producido por el generador estocástico; la estimación de duraciones que reduce la incertidumbre de ese estado, que es la contribución central de la capa predictiva; y las políticas de referencia contra las cuales cualquier política aprendida deberá demostrar superioridad. Lo que no se entrega es el agente: el prototipo resuelve la asignación mediante una regla de despacho informada por las duraciones estimadas, y su desempeño se reporta con makespan, tasa de utilización de recursos, tardanza media y porcentaje de análisis fuera de plazo.</w:t>
      </w:r>
    </w:p>
    <w:p>
      <w:pPr>
        <w:pStyle w:val="Heading1"/>
        <w:spacing w:before="340" w:after="150"/>
        <w:rPr>
          <w:color w:val="000000" w:themeColor="text1"/>
        </w:rPr>
      </w:pPr>
      <w:r>
        <w:rPr>
          <w:b/>
          <w:bCs/>
          <w:color w:val="000000" w:themeColor="text1"/>
          <w:sz w:val="24"/>
          <w:szCs w:val="24"/>
        </w:rPr>
        <w:t xml:space="preserve">4. Propuesta: enunciarla como investigación posterior</w:t>
      </w:r>
    </w:p>
    <w:p>
      <w:pPr>
        <w:spacing w:after="150" w:line="288" w:lineRule="auto"/>
        <w:jc w:val="both"/>
        <w:rPr>
          <w:color w:val="000000" w:themeColor="text1"/>
        </w:rPr>
      </w:pPr>
      <w:r>
        <w:rPr>
          <w:color w:val="000000" w:themeColor="text1"/>
        </w:rPr>
        <w:t xml:space="preserve">Se propone formular la capa de aprendizaje por refuerzo como objetivo general de una investigación independiente, que tomaría como punto de partida los productos de la presente:</w:t>
      </w:r>
    </w:p>
    <w:p>
      <w:pPr>
        <w:spacing w:after="150" w:line="288" w:lineRule="auto"/>
        <w:jc w:val="both"/>
        <w:rPr>
          <w:color w:val="000000" w:themeColor="text1"/>
        </w:rPr>
      </w:pPr>
      <w:r>
        <w:rPr>
          <w:b/>
          <w:bCs/>
          <w:color w:val="000000" w:themeColor="text1"/>
        </w:rPr>
        <w:t xml:space="preserve">Objetivo general propuesto. </w:t>
      </w:r>
      <w:r>
        <w:rPr>
          <w:color w:val="000000" w:themeColor="text1"/>
        </w:rPr>
        <w:t xml:space="preserve">Desarrollar y evaluar una política de asignación de recursos para laboratorios de control de calidad farmacéuticos, formulada como proceso de decisión de Markov y aprendida mediante Deep Q-Network, contrastada frente a la regla de despacho informada y a las políticas de referencia establecidas previamente.</w:t>
      </w:r>
    </w:p>
    <w:p>
      <w:pPr>
        <w:pStyle w:val="ListParagraph"/>
        <w:numPr>
          <w:ilvl w:val="0"/>
          <w:numId w:val="2"/>
        </w:numPr>
        <w:spacing w:after="80" w:line="288" w:lineRule="auto"/>
        <w:jc w:val="both"/>
        <w:rPr>
          <w:color w:val="000000" w:themeColor="text1"/>
        </w:rPr>
      </w:pPr>
      <w:r>
        <w:rPr>
          <w:color w:val="000000" w:themeColor="text1"/>
        </w:rPr>
        <w:t xml:space="preserve">Formular el problema de asignación como proceso de decisión de Markov —espacio de estados, espacio de acciones y función de recompensa multiobjetivo— e implementar el entorno de entrenamiento sobre el simulador calibrado.</w:t>
      </w:r>
    </w:p>
    <w:p>
      <w:pPr>
        <w:pStyle w:val="ListParagraph"/>
        <w:numPr>
          <w:ilvl w:val="0"/>
          <w:numId w:val="2"/>
        </w:numPr>
        <w:spacing w:after="80" w:line="288" w:lineRule="auto"/>
        <w:jc w:val="both"/>
        <w:rPr>
          <w:color w:val="000000" w:themeColor="text1"/>
        </w:rPr>
      </w:pPr>
      <w:r>
        <w:rPr>
          <w:color w:val="000000" w:themeColor="text1"/>
        </w:rPr>
        <w:t xml:space="preserve">Entrenar y estabilizar una política mediante Deep Q-Network, documentando arquitectura, hiperparámetros, política de exploración y criterios de convergencia.</w:t>
      </w:r>
    </w:p>
    <w:p>
      <w:pPr>
        <w:pStyle w:val="ListParagraph"/>
        <w:numPr>
          <w:ilvl w:val="0"/>
          <w:numId w:val="2"/>
        </w:numPr>
        <w:spacing w:after="80" w:line="288" w:lineRule="auto"/>
        <w:jc w:val="both"/>
        <w:rPr>
          <w:color w:val="000000" w:themeColor="text1"/>
        </w:rPr>
      </w:pPr>
      <w:r>
        <w:rPr>
          <w:color w:val="000000" w:themeColor="text1"/>
        </w:rPr>
        <w:t xml:space="preserve">Evaluar la política aprendida frente a la regla de despacho informada y a las políticas de referencia, e incorporar un mecanismo de explicabilidad de las asignaciones recomendadas compatible con las exigencias documentales de Buenas Prácticas de Manufactura.</w:t>
      </w:r>
    </w:p>
    <w:p>
      <w:pPr>
        <w:spacing w:after="150" w:line="288" w:lineRule="auto"/>
        <w:jc w:val="both"/>
        <w:rPr>
          <w:color w:val="000000" w:themeColor="text1"/>
        </w:rPr>
      </w:pPr>
      <w:r>
        <w:rPr>
          <w:color w:val="000000" w:themeColor="text1"/>
        </w:rPr>
        <w:t xml:space="preserve">Esta secuencia —primero el sustituto de datos y la línea base, después la política aprendida— corresponde al orden en que la literatura establece la comparación, y evita que la segunda investigación deba reconstruir los insumos de la primera.</w:t>
      </w:r>
    </w:p>
    <w:p>
      <w:pPr>
        <w:pStyle w:val="Heading1"/>
        <w:spacing w:before="340" w:after="150"/>
        <w:rPr>
          <w:color w:val="000000" w:themeColor="text1"/>
        </w:rPr>
      </w:pPr>
      <w:r>
        <w:rPr>
          <w:b/>
          <w:bCs/>
          <w:color w:val="000000" w:themeColor="text1"/>
          <w:sz w:val="24"/>
          <w:szCs w:val="24"/>
        </w:rPr>
        <w:t xml:space="preserve">Referencias</w:t>
      </w:r>
    </w:p>
    <w:p>
      <w:pPr>
        <w:spacing w:after="105" w:line="264" w:lineRule="auto"/>
        <w:ind w:left="720" w:hanging="720"/>
        <w:rPr>
          <w:color w:val="000000" w:themeColor="text1"/>
        </w:rPr>
      </w:pPr>
      <w:r>
        <w:rPr>
          <w:color w:val="000000" w:themeColor="text1"/>
          <w:sz w:val="19"/>
          <w:szCs w:val="19"/>
        </w:rPr>
        <w:t xml:space="preserve">Danzinger, P., Geibinger, T., Mischek, F., y Musliu, N. (2025). Modeling and solving the generalized test laboratory scheduling problem. En G. Tack (Ed.), Integration of constraint programming, artificial intelligence, and operations research (Lecture Notes in Computer Science, Vol. 15762, pp. 188–204). Springer. https://doi.org/10.1007/978-3-031-95973-8_12</w:t>
      </w:r>
    </w:p>
    <w:p>
      <w:pPr>
        <w:spacing w:after="105" w:line="264" w:lineRule="auto"/>
        <w:ind w:left="720" w:hanging="720"/>
        <w:rPr>
          <w:color w:val="000000" w:themeColor="text1"/>
        </w:rPr>
      </w:pPr>
      <w:r>
        <w:rPr>
          <w:color w:val="000000" w:themeColor="text1"/>
          <w:sz w:val="19"/>
          <w:szCs w:val="19"/>
        </w:rPr>
        <w:t xml:space="preserve">Khadivi, M., Charter, T., Yaghoubi, M., Jalayer, M., Ahang, M., Shojaeinasab, A., y Najjaran, H. (2025). Deep reinforcement learning for machine scheduling: Methodology, the state-of-the-art, and future directions. Computers &amp; Industrial Engineering, 200, Artículo 110856. https://doi.org/10.1016/j.cie.2025.110856</w:t>
      </w:r>
    </w:p>
    <w:p>
      <w:pPr>
        <w:spacing w:after="105" w:line="264" w:lineRule="auto"/>
        <w:ind w:left="720" w:hanging="720"/>
        <w:rPr>
          <w:color w:val="000000" w:themeColor="text1"/>
        </w:rPr>
      </w:pPr>
      <w:r>
        <w:rPr>
          <w:color w:val="000000" w:themeColor="text1"/>
          <w:sz w:val="19"/>
          <w:szCs w:val="19"/>
        </w:rPr>
        <w:t xml:space="preserve">Mischek, F., y Musliu, N. (2024). Preference explanation and decision support for multi-objective real-world test laboratory scheduling. Proceedings of the International Conference on Automated Planning and Scheduling, 34(1), 378–386. https://doi.org/10.1609/icaps.v34i1.31497</w:t>
      </w:r>
    </w:p>
    <w:sectPr w:rsidR="00641C0F" w:rsidRPr="00974DA2">
      <w:pgSz w:w="12240" w:h="15840"/>
      <w:pgMar w:top="1150" w:right="1300" w:bottom="115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A79"/>
    <w:multiLevelType w:val="hybridMultilevel"/>
    <w:tmpl w:val="E9620C7A"/>
    <w:lvl w:ilvl="0" w:tplc="062876C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173A4"/>
    <w:multiLevelType w:val="hybridMultilevel"/>
    <w:tmpl w:val="CC705F46"/>
    <w:lvl w:ilvl="0" w:tplc="055AA68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677B3"/>
    <w:multiLevelType w:val="hybridMultilevel"/>
    <w:tmpl w:val="64381ABC"/>
    <w:lvl w:ilvl="0" w:tplc="86D2A272">
      <w:numFmt w:val="bullet"/>
      <w:lvlText w:val=""/>
      <w:lvlJc w:val="left"/>
      <w:pPr>
        <w:ind w:left="720" w:hanging="360"/>
      </w:pPr>
      <w:rPr>
        <w:rFonts w:ascii="Symbol" w:eastAsia="Calibri" w:hAnsi="Symbol" w:cs="Calibri" w:hint="default"/>
        <w:i/>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07A9E"/>
    <w:multiLevelType w:val="hybridMultilevel"/>
    <w:tmpl w:val="DF2AEB0E"/>
    <w:lvl w:ilvl="0" w:tplc="3E964C28">
      <w:start w:val="1"/>
      <w:numFmt w:val="bullet"/>
      <w:lvlText w:val="●"/>
      <w:lvlJc w:val="left"/>
      <w:pPr>
        <w:ind w:left="720" w:hanging="360"/>
      </w:pPr>
    </w:lvl>
    <w:lvl w:ilvl="1" w:tplc="0E842536">
      <w:start w:val="1"/>
      <w:numFmt w:val="bullet"/>
      <w:lvlText w:val="○"/>
      <w:lvlJc w:val="left"/>
      <w:pPr>
        <w:ind w:left="1440" w:hanging="360"/>
      </w:pPr>
    </w:lvl>
    <w:lvl w:ilvl="2" w:tplc="0AE6585C">
      <w:start w:val="1"/>
      <w:numFmt w:val="bullet"/>
      <w:lvlText w:val="■"/>
      <w:lvlJc w:val="left"/>
      <w:pPr>
        <w:ind w:left="2160" w:hanging="360"/>
      </w:pPr>
    </w:lvl>
    <w:lvl w:ilvl="3" w:tplc="1346BF56">
      <w:start w:val="1"/>
      <w:numFmt w:val="bullet"/>
      <w:lvlText w:val="●"/>
      <w:lvlJc w:val="left"/>
      <w:pPr>
        <w:ind w:left="2880" w:hanging="360"/>
      </w:pPr>
    </w:lvl>
    <w:lvl w:ilvl="4" w:tplc="C3447F46">
      <w:start w:val="1"/>
      <w:numFmt w:val="bullet"/>
      <w:lvlText w:val="○"/>
      <w:lvlJc w:val="left"/>
      <w:pPr>
        <w:ind w:left="3600" w:hanging="360"/>
      </w:pPr>
    </w:lvl>
    <w:lvl w:ilvl="5" w:tplc="31060E98">
      <w:start w:val="1"/>
      <w:numFmt w:val="bullet"/>
      <w:lvlText w:val="■"/>
      <w:lvlJc w:val="left"/>
      <w:pPr>
        <w:ind w:left="4320" w:hanging="360"/>
      </w:pPr>
    </w:lvl>
    <w:lvl w:ilvl="6" w:tplc="5BCAE116">
      <w:start w:val="1"/>
      <w:numFmt w:val="bullet"/>
      <w:lvlText w:val="●"/>
      <w:lvlJc w:val="left"/>
      <w:pPr>
        <w:ind w:left="5040" w:hanging="360"/>
      </w:pPr>
    </w:lvl>
    <w:lvl w:ilvl="7" w:tplc="AEE0326C">
      <w:start w:val="1"/>
      <w:numFmt w:val="bullet"/>
      <w:lvlText w:val="●"/>
      <w:lvlJc w:val="left"/>
      <w:pPr>
        <w:ind w:left="5760" w:hanging="360"/>
      </w:pPr>
    </w:lvl>
    <w:lvl w:ilvl="8" w:tplc="C9509728">
      <w:start w:val="1"/>
      <w:numFmt w:val="bullet"/>
      <w:lvlText w:val="●"/>
      <w:lvlJc w:val="left"/>
      <w:pPr>
        <w:ind w:left="6480" w:hanging="360"/>
      </w:pPr>
    </w:lvl>
  </w:abstractNum>
  <w:abstractNum w:abstractNumId="4" w15:restartNumberingAfterBreak="0">
    <w:nsid w:val="78517BB4"/>
    <w:multiLevelType w:val="hybridMultilevel"/>
    <w:tmpl w:val="1D3CF616"/>
    <w:lvl w:ilvl="0" w:tplc="4394D4E2">
      <w:start w:val="1"/>
      <w:numFmt w:val="bullet"/>
      <w:lvlText w:val="•"/>
      <w:lvlJc w:val="left"/>
      <w:pPr>
        <w:ind w:left="460" w:hanging="288"/>
      </w:pPr>
    </w:lvl>
    <w:lvl w:ilvl="1" w:tplc="6AEA243A">
      <w:numFmt w:val="decimal"/>
      <w:lvlText w:val=""/>
      <w:lvlJc w:val="left"/>
    </w:lvl>
    <w:lvl w:ilvl="2" w:tplc="4DB0ECDE">
      <w:numFmt w:val="decimal"/>
      <w:lvlText w:val=""/>
      <w:lvlJc w:val="left"/>
    </w:lvl>
    <w:lvl w:ilvl="3" w:tplc="C99E63A4">
      <w:numFmt w:val="decimal"/>
      <w:lvlText w:val=""/>
      <w:lvlJc w:val="left"/>
    </w:lvl>
    <w:lvl w:ilvl="4" w:tplc="0BFE946C">
      <w:numFmt w:val="decimal"/>
      <w:lvlText w:val=""/>
      <w:lvlJc w:val="left"/>
    </w:lvl>
    <w:lvl w:ilvl="5" w:tplc="7EDAF942">
      <w:numFmt w:val="decimal"/>
      <w:lvlText w:val=""/>
      <w:lvlJc w:val="left"/>
    </w:lvl>
    <w:lvl w:ilvl="6" w:tplc="0D9C576A">
      <w:numFmt w:val="decimal"/>
      <w:lvlText w:val=""/>
      <w:lvlJc w:val="left"/>
    </w:lvl>
    <w:lvl w:ilvl="7" w:tplc="E1504194">
      <w:numFmt w:val="decimal"/>
      <w:lvlText w:val=""/>
      <w:lvlJc w:val="left"/>
    </w:lvl>
    <w:lvl w:ilvl="8" w:tplc="40D47A90">
      <w:numFmt w:val="decimal"/>
      <w:lvlText w:val=""/>
      <w:lvlJc w:val="left"/>
    </w:lvl>
  </w:abstractNum>
  <w:num w:numId="1" w16cid:durableId="2107847916">
    <w:abstractNumId w:val="3"/>
    <w:lvlOverride w:ilvl="0">
      <w:startOverride w:val="1"/>
    </w:lvlOverride>
  </w:num>
  <w:num w:numId="2" w16cid:durableId="2008746428">
    <w:abstractNumId w:val="4"/>
    <w:lvlOverride w:ilvl="0">
      <w:startOverride w:val="1"/>
    </w:lvlOverride>
  </w:num>
  <w:num w:numId="3" w16cid:durableId="2068842435">
    <w:abstractNumId w:val="0"/>
  </w:num>
  <w:num w:numId="4" w16cid:durableId="2130659827">
    <w:abstractNumId w:val="2"/>
  </w:num>
  <w:num w:numId="5" w16cid:durableId="102035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30"/>
    <w:rsid w:val="0003284D"/>
    <w:rsid w:val="001778A9"/>
    <w:rsid w:val="001E2441"/>
    <w:rsid w:val="00296F08"/>
    <w:rsid w:val="00427B30"/>
    <w:rsid w:val="004B5E20"/>
    <w:rsid w:val="0053697E"/>
    <w:rsid w:val="0057730E"/>
    <w:rsid w:val="00641C0F"/>
    <w:rsid w:val="00753CF4"/>
    <w:rsid w:val="00797DF6"/>
    <w:rsid w:val="007C166A"/>
    <w:rsid w:val="008B5F52"/>
    <w:rsid w:val="00934AE5"/>
    <w:rsid w:val="00974DA2"/>
    <w:rsid w:val="00BA3EB9"/>
    <w:rsid w:val="00BF445C"/>
    <w:rsid w:val="00D50879"/>
    <w:rsid w:val="00F10FD7"/>
    <w:rsid w:val="00F22600"/>
    <w:rsid w:val="00F9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EE87E"/>
  <w15:docId w15:val="{46D1F736-19FB-F74F-B067-3451BF9B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4384</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Nota técnica — Viabilidad de MDP + Deep Q-Network</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 — Viabilidad de MDP + Deep Q-Network</dc:title>
  <dc:creator>Cetares y Campo</dc:creator>
  <cp:lastModifiedBy>Carlos David Campo Urzola</cp:lastModifiedBy>
  <cp:revision>6</cp:revision>
  <dcterms:created xsi:type="dcterms:W3CDTF">2026-08-08T18:52:00Z</dcterms:created>
  <dcterms:modified xsi:type="dcterms:W3CDTF">2026-08-16T16:22:00Z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2026-08-09T14:58:32Z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d74bd5e5-7454-4eba-b1ca-a7bcf5e54feb</vt:lpwstr>
  </property>
  <property fmtid="{D5CDD505-2E9C-101B-9397-08002B2CF9AE}" pid="8" name="MSIP_Label_f535a957-b352-4c2d-aa57-80f72177303d_ContentBits">
    <vt:lpwstr>0</vt:lpwstr>
  </property>
  <property fmtid="{D5CDD505-2E9C-101B-9397-08002B2CF9AE}" pid="9" name="MSIP_Label_f535a957-b352-4c2d-aa57-80f72177303d_Tag">
    <vt:lpwstr>50, 3, 0, 1</vt:lpwstr>
  </property>
</Properties>
</file>