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468BF" w14:textId="77777777" w:rsidR="00716D32" w:rsidRPr="0026418E" w:rsidRDefault="00000000">
      <w:pPr>
        <w:spacing w:before="200" w:after="60"/>
        <w:rPr>
          <w:lang w:val="es-US"/>
        </w:rPr>
      </w:pPr>
      <w:r w:rsidRPr="0026418E">
        <w:rPr>
          <w:b/>
          <w:bCs/>
          <w:color w:val="5A5A5A"/>
          <w:sz w:val="18"/>
          <w:szCs w:val="18"/>
          <w:lang w:val="es-US"/>
        </w:rPr>
        <w:t>DESCRIPCIÓN FORMAL DE LA IDEA DE INVESTIGACIÓN — VERSIÓN 8</w:t>
      </w:r>
    </w:p>
    <w:p w14:paraId="5DB34CEA" w14:textId="77777777" w:rsidR="00427B30" w:rsidRPr="00974DA2" w:rsidRDefault="00000000">
      <w:pPr>
        <w:spacing w:after="140"/>
        <w:rPr>
          <w:color w:val="000000" w:themeColor="text1"/>
          <w:lang w:val="es-US"/>
        </w:rPr>
      </w:pPr>
      <w:r w:rsidRPr="00974DA2">
        <w:rPr>
          <w:b/>
          <w:bCs/>
          <w:color w:val="000000" w:themeColor="text1"/>
          <w:sz w:val="27"/>
          <w:szCs w:val="27"/>
          <w:lang w:val="es-US"/>
        </w:rPr>
        <w:t>Modelo predictivo con datos sintéticos para la estimación de tiempos y la asignación de recursos en laboratorios de control de calidad farmacéuticos</w:t>
      </w:r>
    </w:p>
    <w:p w14:paraId="429A8B91" w14:textId="77777777" w:rsidR="00427B30" w:rsidRPr="00974DA2" w:rsidRDefault="00000000">
      <w:pPr>
        <w:spacing w:after="30" w:line="288" w:lineRule="auto"/>
        <w:rPr>
          <w:color w:val="000000" w:themeColor="text1"/>
          <w:lang w:val="es-US"/>
        </w:rPr>
      </w:pPr>
      <w:r w:rsidRPr="00974DA2">
        <w:rPr>
          <w:color w:val="000000" w:themeColor="text1"/>
          <w:sz w:val="19"/>
          <w:szCs w:val="19"/>
          <w:lang w:val="es-US"/>
        </w:rPr>
        <w:t>Aldair Rafael Cetares Barrios — 3005764182 — aldair.cetares@unisimon.edu.co</w:t>
      </w:r>
    </w:p>
    <w:p w14:paraId="3DE91C5B" w14:textId="77777777" w:rsidR="00427B30" w:rsidRPr="00974DA2" w:rsidRDefault="00000000">
      <w:pPr>
        <w:spacing w:after="200" w:line="288" w:lineRule="auto"/>
        <w:rPr>
          <w:color w:val="000000" w:themeColor="text1"/>
          <w:lang w:val="es-US"/>
        </w:rPr>
      </w:pPr>
      <w:r w:rsidRPr="00974DA2">
        <w:rPr>
          <w:color w:val="000000" w:themeColor="text1"/>
          <w:sz w:val="19"/>
          <w:szCs w:val="19"/>
          <w:lang w:val="es-US"/>
        </w:rPr>
        <w:t>Carlos David Campo Urzola — 3045604013 — carlos.campou@unisimon.edu.co</w:t>
      </w:r>
    </w:p>
    <w:p w14:paraId="32F1B15E" w14:textId="77777777" w:rsidR="00716D32" w:rsidRPr="0026418E" w:rsidRDefault="00000000">
      <w:pPr>
        <w:pStyle w:val="Heading1"/>
        <w:spacing w:before="340" w:after="150"/>
        <w:rPr>
          <w:color w:val="000000" w:themeColor="text1"/>
          <w:lang w:val="es-US"/>
        </w:rPr>
      </w:pPr>
      <w:r w:rsidRPr="0026418E">
        <w:rPr>
          <w:b/>
          <w:bCs/>
          <w:color w:val="000000" w:themeColor="text1"/>
          <w:sz w:val="24"/>
          <w:szCs w:val="24"/>
          <w:lang w:val="es-US"/>
        </w:rPr>
        <w:t>1. Preámbulo: contextualización teórica</w:t>
      </w:r>
    </w:p>
    <w:p w14:paraId="7D2E229C" w14:textId="77777777" w:rsidR="00716D32" w:rsidRPr="0026418E" w:rsidRDefault="00000000">
      <w:pPr>
        <w:spacing w:after="150" w:line="288" w:lineRule="auto"/>
        <w:jc w:val="both"/>
        <w:rPr>
          <w:color w:val="000000" w:themeColor="text1"/>
          <w:lang w:val="es-US"/>
        </w:rPr>
      </w:pPr>
      <w:r w:rsidRPr="0026418E">
        <w:rPr>
          <w:color w:val="000000" w:themeColor="text1"/>
          <w:lang w:val="es-US"/>
        </w:rPr>
        <w:t xml:space="preserve">El control de calidad farmacéutico puede entenderse, siguiendo a Juran y Godfrey (1999), como un proceso recursivo articulado en planificación, control y mejora continua. En el laboratorio ese proceso se materializa en ensayos fisicoquímicos y microbiológicos que compiten por recursos finitos: analistas con calificaciones específicas, equipos instrumentales y ventanas de tiempo acotadas por los plazos de liberación. Costigliola et al. (2017) muestran que la gestión de estos laboratorios se apoya predominantemente en la experiencia acumulada de los supervisores más que en modelos validados por datos, y Danzinger et al. (2025) demostraron que el problema de programación subyacente —el Test </w:t>
      </w:r>
      <w:proofErr w:type="spellStart"/>
      <w:r w:rsidRPr="0026418E">
        <w:rPr>
          <w:color w:val="000000" w:themeColor="text1"/>
          <w:lang w:val="es-US"/>
        </w:rPr>
        <w:t>Laboratory</w:t>
      </w:r>
      <w:proofErr w:type="spellEnd"/>
      <w:r w:rsidRPr="0026418E">
        <w:rPr>
          <w:color w:val="000000" w:themeColor="text1"/>
          <w:lang w:val="es-US"/>
        </w:rPr>
        <w:t xml:space="preserve"> </w:t>
      </w:r>
      <w:proofErr w:type="spellStart"/>
      <w:r w:rsidRPr="0026418E">
        <w:rPr>
          <w:color w:val="000000" w:themeColor="text1"/>
          <w:lang w:val="es-US"/>
        </w:rPr>
        <w:t>Scheduling</w:t>
      </w:r>
      <w:proofErr w:type="spellEnd"/>
      <w:r w:rsidRPr="0026418E">
        <w:rPr>
          <w:color w:val="000000" w:themeColor="text1"/>
          <w:lang w:val="es-US"/>
        </w:rPr>
        <w:t xml:space="preserve"> </w:t>
      </w:r>
      <w:proofErr w:type="spellStart"/>
      <w:r w:rsidRPr="0026418E">
        <w:rPr>
          <w:color w:val="000000" w:themeColor="text1"/>
          <w:lang w:val="es-US"/>
        </w:rPr>
        <w:t>Problem</w:t>
      </w:r>
      <w:proofErr w:type="spellEnd"/>
      <w:r w:rsidRPr="0026418E">
        <w:rPr>
          <w:color w:val="000000" w:themeColor="text1"/>
          <w:lang w:val="es-US"/>
        </w:rPr>
        <w:t>— es NP-difícil: la intuición del planificador opera sobre un espacio de soluciones que crece de forma factorial.</w:t>
      </w:r>
    </w:p>
    <w:p w14:paraId="6DF2B51A" w14:textId="77777777" w:rsidR="00716D32" w:rsidRPr="0026418E" w:rsidRDefault="00000000">
      <w:pPr>
        <w:spacing w:after="150" w:line="288" w:lineRule="auto"/>
        <w:jc w:val="both"/>
        <w:rPr>
          <w:color w:val="000000" w:themeColor="text1"/>
          <w:lang w:val="es-US"/>
        </w:rPr>
      </w:pPr>
      <w:r w:rsidRPr="0026418E">
        <w:rPr>
          <w:color w:val="000000" w:themeColor="text1"/>
          <w:lang w:val="es-US"/>
        </w:rPr>
        <w:t xml:space="preserve">Frente a esa dureza combinatoria se han consolidado dos familias de respuesta. La primera es la optimización explícita: programación con restricciones (Danzinger et al., 2025), optimización multiobjetivo con </w:t>
      </w:r>
      <w:proofErr w:type="spellStart"/>
      <w:r w:rsidRPr="0026418E">
        <w:rPr>
          <w:color w:val="000000" w:themeColor="text1"/>
          <w:lang w:val="es-US"/>
        </w:rPr>
        <w:t>explicabilidad</w:t>
      </w:r>
      <w:proofErr w:type="spellEnd"/>
      <w:r w:rsidRPr="0026418E">
        <w:rPr>
          <w:color w:val="000000" w:themeColor="text1"/>
          <w:lang w:val="es-US"/>
        </w:rPr>
        <w:t xml:space="preserve"> mediante valores de Shapley (</w:t>
      </w:r>
      <w:proofErr w:type="spellStart"/>
      <w:r w:rsidRPr="0026418E">
        <w:rPr>
          <w:color w:val="000000" w:themeColor="text1"/>
          <w:lang w:val="es-US"/>
        </w:rPr>
        <w:t>Mischek</w:t>
      </w:r>
      <w:proofErr w:type="spellEnd"/>
      <w:r w:rsidRPr="0026418E">
        <w:rPr>
          <w:color w:val="000000" w:themeColor="text1"/>
          <w:lang w:val="es-US"/>
        </w:rPr>
        <w:t xml:space="preserve"> y </w:t>
      </w:r>
      <w:proofErr w:type="spellStart"/>
      <w:r w:rsidRPr="0026418E">
        <w:rPr>
          <w:color w:val="000000" w:themeColor="text1"/>
          <w:lang w:val="es-US"/>
        </w:rPr>
        <w:t>Musliu</w:t>
      </w:r>
      <w:proofErr w:type="spellEnd"/>
      <w:r w:rsidRPr="0026418E">
        <w:rPr>
          <w:color w:val="000000" w:themeColor="text1"/>
          <w:lang w:val="es-US"/>
        </w:rPr>
        <w:t>, 2024) y heurísticas de gran escala (</w:t>
      </w:r>
      <w:proofErr w:type="spellStart"/>
      <w:r w:rsidRPr="0026418E">
        <w:rPr>
          <w:color w:val="000000" w:themeColor="text1"/>
          <w:lang w:val="es-US"/>
        </w:rPr>
        <w:t>Martins</w:t>
      </w:r>
      <w:proofErr w:type="spellEnd"/>
      <w:r w:rsidRPr="0026418E">
        <w:rPr>
          <w:color w:val="000000" w:themeColor="text1"/>
          <w:lang w:val="es-US"/>
        </w:rPr>
        <w:t xml:space="preserve"> et al., 2023). La segunda es el modelado basado en datos, que Dong et al. (2023) sistematizan para procesos farmacéuticos. La línea de estudio de laboratorios analíticos está consolidada (</w:t>
      </w:r>
      <w:proofErr w:type="spellStart"/>
      <w:r w:rsidRPr="0026418E">
        <w:rPr>
          <w:color w:val="000000" w:themeColor="text1"/>
          <w:lang w:val="es-US"/>
        </w:rPr>
        <w:t>Klaessens</w:t>
      </w:r>
      <w:proofErr w:type="spellEnd"/>
      <w:r w:rsidRPr="0026418E">
        <w:rPr>
          <w:color w:val="000000" w:themeColor="text1"/>
          <w:lang w:val="es-US"/>
        </w:rPr>
        <w:t xml:space="preserve"> et al., 1988; Boyd y Savory, 2001; Schäfer, 2004; Maslaton, 2012; </w:t>
      </w:r>
      <w:proofErr w:type="spellStart"/>
      <w:r w:rsidRPr="0026418E">
        <w:rPr>
          <w:color w:val="000000" w:themeColor="text1"/>
          <w:lang w:val="es-US"/>
        </w:rPr>
        <w:t>Dudnikov</w:t>
      </w:r>
      <w:proofErr w:type="spellEnd"/>
      <w:r w:rsidRPr="0026418E">
        <w:rPr>
          <w:color w:val="000000" w:themeColor="text1"/>
          <w:lang w:val="es-US"/>
        </w:rPr>
        <w:t xml:space="preserve"> et al., 2012; Costigliola et al., 2017; </w:t>
      </w:r>
      <w:proofErr w:type="spellStart"/>
      <w:r w:rsidRPr="0026418E">
        <w:rPr>
          <w:color w:val="000000" w:themeColor="text1"/>
          <w:lang w:val="es-US"/>
        </w:rPr>
        <w:t>Lopes</w:t>
      </w:r>
      <w:proofErr w:type="spellEnd"/>
      <w:r w:rsidRPr="0026418E">
        <w:rPr>
          <w:color w:val="000000" w:themeColor="text1"/>
          <w:lang w:val="es-US"/>
        </w:rPr>
        <w:t xml:space="preserve"> et al., 2020), pero opera sobre modelos de reglas o sobre datos operativos propios de cada instalación.</w:t>
      </w:r>
    </w:p>
    <w:p w14:paraId="131A9F02" w14:textId="77777777" w:rsidR="00716D32" w:rsidRPr="0026418E" w:rsidRDefault="00000000">
      <w:pPr>
        <w:spacing w:after="150" w:line="288" w:lineRule="auto"/>
        <w:jc w:val="both"/>
        <w:rPr>
          <w:color w:val="000000" w:themeColor="text1"/>
          <w:lang w:val="es-US"/>
        </w:rPr>
      </w:pPr>
      <w:r w:rsidRPr="0026418E">
        <w:rPr>
          <w:color w:val="000000" w:themeColor="text1"/>
          <w:lang w:val="es-US"/>
        </w:rPr>
        <w:t xml:space="preserve">El pilar metodológico de este trabajo —generar datos por simulación para entrenar modelos predictivos— cuenta con literatura propia. Hassi et al. (2025) documentan la simulación de Monte Carlo con estimaciones de tres puntos y factores de correlación, y muestran que la elección de la distribución altera significativamente las estimaciones de duración. Chan et al. (2022) formalizaron el uso de simulación de eventos discretos para producir conjuntos de entrenamiento, P. V. </w:t>
      </w:r>
      <w:proofErr w:type="spellStart"/>
      <w:r w:rsidRPr="0026418E">
        <w:rPr>
          <w:color w:val="000000" w:themeColor="text1"/>
          <w:lang w:val="es-US"/>
        </w:rPr>
        <w:t>Lopes</w:t>
      </w:r>
      <w:proofErr w:type="spellEnd"/>
      <w:r w:rsidRPr="0026418E">
        <w:rPr>
          <w:color w:val="000000" w:themeColor="text1"/>
          <w:lang w:val="es-US"/>
        </w:rPr>
        <w:t xml:space="preserve"> et al. (2024) lo aplicaron al análisis de sistemas de producción en ausencia de datos reales, y </w:t>
      </w:r>
      <w:proofErr w:type="spellStart"/>
      <w:r w:rsidRPr="0026418E">
        <w:rPr>
          <w:color w:val="000000" w:themeColor="text1"/>
          <w:lang w:val="es-US"/>
        </w:rPr>
        <w:t>Elbasheer</w:t>
      </w:r>
      <w:proofErr w:type="spellEnd"/>
      <w:r w:rsidRPr="0026418E">
        <w:rPr>
          <w:color w:val="000000" w:themeColor="text1"/>
          <w:lang w:val="es-US"/>
        </w:rPr>
        <w:t xml:space="preserve"> et al. (2025) reportan un error porcentual absoluto medio de 15,47 % al estimar duraciones con datos simulados de un taller de trabajo flexible, valor que sirve de referencia para los criterios de éxito. La calidad del dato sintético se valora en fidelidad, utilidad y privacidad (Figueira y Vaz, 2022; </w:t>
      </w:r>
      <w:proofErr w:type="spellStart"/>
      <w:r w:rsidRPr="0026418E">
        <w:rPr>
          <w:color w:val="000000" w:themeColor="text1"/>
          <w:lang w:val="es-US"/>
        </w:rPr>
        <w:t>Vallevik</w:t>
      </w:r>
      <w:proofErr w:type="spellEnd"/>
      <w:r w:rsidRPr="0026418E">
        <w:rPr>
          <w:color w:val="000000" w:themeColor="text1"/>
          <w:lang w:val="es-US"/>
        </w:rPr>
        <w:t xml:space="preserve"> et al., 2024; </w:t>
      </w:r>
      <w:proofErr w:type="spellStart"/>
      <w:r w:rsidRPr="0026418E">
        <w:rPr>
          <w:color w:val="000000" w:themeColor="text1"/>
          <w:lang w:val="es-US"/>
        </w:rPr>
        <w:t>Hernandez</w:t>
      </w:r>
      <w:proofErr w:type="spellEnd"/>
      <w:r w:rsidRPr="0026418E">
        <w:rPr>
          <w:color w:val="000000" w:themeColor="text1"/>
          <w:lang w:val="es-US"/>
        </w:rPr>
        <w:t xml:space="preserve"> et al., 2025), con TSTR como protocolo estándar de utilidad (Esteban et al., 2017); el marco conceptual general lo aportan Jordon et al. (2022) y Goncalves et al. (2020), y las rutas generativas alternativas, Patki et al. (2016) y </w:t>
      </w:r>
      <w:proofErr w:type="spellStart"/>
      <w:r w:rsidRPr="0026418E">
        <w:rPr>
          <w:color w:val="000000" w:themeColor="text1"/>
          <w:lang w:val="es-US"/>
        </w:rPr>
        <w:t>Xu</w:t>
      </w:r>
      <w:proofErr w:type="spellEnd"/>
      <w:r w:rsidRPr="0026418E">
        <w:rPr>
          <w:color w:val="000000" w:themeColor="text1"/>
          <w:lang w:val="es-US"/>
        </w:rPr>
        <w:t xml:space="preserve"> et al. (2019). </w:t>
      </w:r>
      <w:proofErr w:type="spellStart"/>
      <w:r w:rsidRPr="0026418E">
        <w:rPr>
          <w:color w:val="000000" w:themeColor="text1"/>
          <w:lang w:val="es-US"/>
        </w:rPr>
        <w:t>Kodumuru</w:t>
      </w:r>
      <w:proofErr w:type="spellEnd"/>
      <w:r w:rsidRPr="0026418E">
        <w:rPr>
          <w:color w:val="000000" w:themeColor="text1"/>
          <w:lang w:val="es-US"/>
        </w:rPr>
        <w:t xml:space="preserve"> et al. (2025) y </w:t>
      </w:r>
      <w:proofErr w:type="spellStart"/>
      <w:r w:rsidRPr="0026418E">
        <w:rPr>
          <w:color w:val="000000" w:themeColor="text1"/>
          <w:lang w:val="es-US"/>
        </w:rPr>
        <w:t>Abdulhussain</w:t>
      </w:r>
      <w:proofErr w:type="spellEnd"/>
      <w:r w:rsidRPr="0026418E">
        <w:rPr>
          <w:color w:val="000000" w:themeColor="text1"/>
          <w:lang w:val="es-US"/>
        </w:rPr>
        <w:t xml:space="preserve"> et al. (2026) sitúan estas herramientas en el marco </w:t>
      </w:r>
      <w:proofErr w:type="spellStart"/>
      <w:r w:rsidRPr="0026418E">
        <w:rPr>
          <w:color w:val="000000" w:themeColor="text1"/>
          <w:lang w:val="es-US"/>
        </w:rPr>
        <w:t>Quality</w:t>
      </w:r>
      <w:proofErr w:type="spellEnd"/>
      <w:r w:rsidRPr="0026418E">
        <w:rPr>
          <w:color w:val="000000" w:themeColor="text1"/>
          <w:lang w:val="es-US"/>
        </w:rPr>
        <w:t xml:space="preserve"> </w:t>
      </w:r>
      <w:proofErr w:type="spellStart"/>
      <w:r w:rsidRPr="0026418E">
        <w:rPr>
          <w:color w:val="000000" w:themeColor="text1"/>
          <w:lang w:val="es-US"/>
        </w:rPr>
        <w:t>by</w:t>
      </w:r>
      <w:proofErr w:type="spellEnd"/>
      <w:r w:rsidRPr="0026418E">
        <w:rPr>
          <w:color w:val="000000" w:themeColor="text1"/>
          <w:lang w:val="es-US"/>
        </w:rPr>
        <w:t xml:space="preserve"> Digital </w:t>
      </w:r>
      <w:proofErr w:type="spellStart"/>
      <w:r w:rsidRPr="0026418E">
        <w:rPr>
          <w:color w:val="000000" w:themeColor="text1"/>
          <w:lang w:val="es-US"/>
        </w:rPr>
        <w:t>Design</w:t>
      </w:r>
      <w:proofErr w:type="spellEnd"/>
      <w:r w:rsidRPr="0026418E">
        <w:rPr>
          <w:color w:val="000000" w:themeColor="text1"/>
          <w:lang w:val="es-US"/>
        </w:rPr>
        <w:t xml:space="preserve">, y </w:t>
      </w:r>
      <w:proofErr w:type="spellStart"/>
      <w:r w:rsidRPr="0026418E">
        <w:rPr>
          <w:color w:val="000000" w:themeColor="text1"/>
          <w:lang w:val="es-US"/>
        </w:rPr>
        <w:t>Khadivi</w:t>
      </w:r>
      <w:proofErr w:type="spellEnd"/>
      <w:r w:rsidRPr="0026418E">
        <w:rPr>
          <w:color w:val="000000" w:themeColor="text1"/>
          <w:lang w:val="es-US"/>
        </w:rPr>
        <w:t xml:space="preserve"> et al. (2025) sistematizan el aprendizaje por refuerzo profundo en programación de máquinas, cuya incorporación se declara como línea de trabajo futuro.</w:t>
      </w:r>
    </w:p>
    <w:p w14:paraId="7F52CD3D" w14:textId="77777777" w:rsidR="00716D32" w:rsidRPr="0026418E" w:rsidRDefault="00000000">
      <w:pPr>
        <w:pStyle w:val="Heading1"/>
        <w:spacing w:before="340" w:after="150"/>
        <w:rPr>
          <w:color w:val="000000" w:themeColor="text1"/>
          <w:lang w:val="es-US"/>
        </w:rPr>
      </w:pPr>
      <w:r w:rsidRPr="0026418E">
        <w:rPr>
          <w:b/>
          <w:bCs/>
          <w:color w:val="000000" w:themeColor="text1"/>
          <w:sz w:val="24"/>
          <w:szCs w:val="24"/>
          <w:lang w:val="es-US"/>
        </w:rPr>
        <w:t>1. Preámbulo: contextualización práctica</w:t>
      </w:r>
    </w:p>
    <w:p w14:paraId="2698A23C" w14:textId="77777777" w:rsidR="00716D32" w:rsidRPr="0026418E" w:rsidRDefault="00000000">
      <w:pPr>
        <w:spacing w:after="150" w:line="288" w:lineRule="auto"/>
        <w:jc w:val="both"/>
        <w:rPr>
          <w:color w:val="000000" w:themeColor="text1"/>
          <w:lang w:val="es-US"/>
        </w:rPr>
      </w:pPr>
      <w:r w:rsidRPr="0026418E">
        <w:rPr>
          <w:color w:val="000000" w:themeColor="text1"/>
          <w:lang w:val="es-US"/>
        </w:rPr>
        <w:t xml:space="preserve">Un laboratorio de control de calidad recibe muestras de materias primas, productos intermedios, producto a granel y producto terminado, y debe ejecutar sobre ellas los ensayos definidos por especificación antes de que un lote pueda liberarse. La Resolución 1160 de 2016 del Ministerio de Salud y Protección Social exige que se lleven a cabo todos los controles necesarios y asigna al jefe de control de calidad la responsabilidad de aprobar o rechazar </w:t>
      </w:r>
      <w:r w:rsidRPr="0026418E">
        <w:rPr>
          <w:color w:val="000000" w:themeColor="text1"/>
          <w:lang w:val="es-US"/>
        </w:rPr>
        <w:lastRenderedPageBreak/>
        <w:t>según especificaciones; el Decreto 335 de 2022 regula la certificación de Buenas Prácticas de Manufactura y de Laboratorio ante el INVIMA.</w:t>
      </w:r>
    </w:p>
    <w:p w14:paraId="4894A20D" w14:textId="77777777" w:rsidR="00716D32" w:rsidRPr="0026418E" w:rsidRDefault="00000000">
      <w:pPr>
        <w:spacing w:after="150" w:line="288" w:lineRule="auto"/>
        <w:jc w:val="both"/>
        <w:rPr>
          <w:color w:val="000000" w:themeColor="text1"/>
          <w:lang w:val="es-US"/>
        </w:rPr>
      </w:pPr>
      <w:r w:rsidRPr="0026418E">
        <w:rPr>
          <w:color w:val="000000" w:themeColor="text1"/>
          <w:lang w:val="es-US"/>
        </w:rPr>
        <w:t xml:space="preserve">Dos rasgos definen esa operación. Los recursos son </w:t>
      </w:r>
      <w:proofErr w:type="spellStart"/>
      <w:r w:rsidRPr="0026418E">
        <w:rPr>
          <w:color w:val="000000" w:themeColor="text1"/>
          <w:lang w:val="es-US"/>
        </w:rPr>
        <w:t>cruzadamente</w:t>
      </w:r>
      <w:proofErr w:type="spellEnd"/>
      <w:r w:rsidRPr="0026418E">
        <w:rPr>
          <w:color w:val="000000" w:themeColor="text1"/>
          <w:lang w:val="es-US"/>
        </w:rPr>
        <w:t xml:space="preserve"> restringidos: un mismo cromatógrafo sirve a varios ensayos, un mismo analista está calificado solo para algunos métodos, y la disponibilidad de ambos debe coincidir en el tiempo. Y el proceso está sujeto a perturbaciones no planificadas —reanálisis por resultados fuera de especificación, ingreso de muestras urgentes, indisponibilidad de equipos— que invalidan la programación establecida al inicio del día.</w:t>
      </w:r>
    </w:p>
    <w:p w14:paraId="0919A6CA" w14:textId="77777777" w:rsidR="00716D32" w:rsidRPr="0026418E" w:rsidRDefault="00000000">
      <w:pPr>
        <w:pStyle w:val="Heading1"/>
        <w:spacing w:before="340" w:after="150"/>
        <w:rPr>
          <w:color w:val="000000" w:themeColor="text1"/>
          <w:lang w:val="es-US"/>
        </w:rPr>
      </w:pPr>
      <w:r w:rsidRPr="0026418E">
        <w:rPr>
          <w:b/>
          <w:bCs/>
          <w:color w:val="000000" w:themeColor="text1"/>
          <w:sz w:val="24"/>
          <w:szCs w:val="24"/>
          <w:lang w:val="es-US"/>
        </w:rPr>
        <w:t>1. Preámbulo: contextualización espacial</w:t>
      </w:r>
    </w:p>
    <w:p w14:paraId="38205399" w14:textId="77777777" w:rsidR="00716D32" w:rsidRPr="0026418E" w:rsidRDefault="00000000">
      <w:pPr>
        <w:spacing w:after="150" w:line="288" w:lineRule="auto"/>
        <w:jc w:val="both"/>
        <w:rPr>
          <w:color w:val="000000" w:themeColor="text1"/>
          <w:lang w:val="es-US"/>
        </w:rPr>
      </w:pPr>
      <w:r w:rsidRPr="0026418E">
        <w:rPr>
          <w:color w:val="000000" w:themeColor="text1"/>
          <w:lang w:val="es-US"/>
        </w:rPr>
        <w:t>Según la Encuesta Anual Manufacturera del DANE (2025), la división CIIU 21 registró en 2024 una producción bruta de $11,15 billones de pesos, equivalente al 2,5 % de la producción bruta manufacturera nacional y al 5,0 % de su valor agregado, con el coeficiente técnico más bajo de la industria colombiana. El INVIMA opera como Autoridad Reguladora Nacional de Referencia Regional de Nivel IV (OPS, 2020), condición que impone exigencias sostenidas de capacidad analítica y documental, mientras el propio instituto adoptó un plan de contingencia para atender más de 14.000 trámites represados (INVIMA, 2025) y el CONPES 4170 declaró de importancia estratégica el fortalecimiento de la producción farmacéutica nacional (Consejo Nacional de Política Económica y Social, 2025).</w:t>
      </w:r>
    </w:p>
    <w:p w14:paraId="4B33E19C" w14:textId="77777777" w:rsidR="00716D32" w:rsidRPr="0026418E" w:rsidRDefault="00000000">
      <w:pPr>
        <w:spacing w:after="150" w:line="288" w:lineRule="auto"/>
        <w:jc w:val="both"/>
        <w:rPr>
          <w:color w:val="000000" w:themeColor="text1"/>
          <w:lang w:val="es-US"/>
        </w:rPr>
      </w:pPr>
      <w:r w:rsidRPr="0026418E">
        <w:rPr>
          <w:color w:val="000000" w:themeColor="text1"/>
          <w:lang w:val="es-US"/>
        </w:rPr>
        <w:t>La adopción de analítica avanzada, en cambio, es incipiente. CINTEL (2023) reporta, sobre 431 empresas entre las mayores del país, que solo el 12 % implementa inteligencia artificial y que el 63 % de los procesos permanece manual; Muñoz-Pinzón et al. (2024), sobre 121 pymes, encuentran que el 40,5 % de las manufactureras nunca la utiliza para análisis. Ambas muestras son no censales, por lo que sus valores deben leerse como indicativos y no como parámetros poblacionales.</w:t>
      </w:r>
    </w:p>
    <w:p w14:paraId="2062ED06" w14:textId="77777777" w:rsidR="00716D32" w:rsidRPr="0026418E" w:rsidRDefault="00000000">
      <w:pPr>
        <w:pStyle w:val="Heading1"/>
        <w:spacing w:before="340" w:after="150"/>
        <w:rPr>
          <w:color w:val="000000" w:themeColor="text1"/>
          <w:lang w:val="es-US"/>
        </w:rPr>
      </w:pPr>
      <w:r w:rsidRPr="0026418E">
        <w:rPr>
          <w:b/>
          <w:bCs/>
          <w:color w:val="000000" w:themeColor="text1"/>
          <w:sz w:val="24"/>
          <w:szCs w:val="24"/>
          <w:lang w:val="es-US"/>
        </w:rPr>
        <w:t>2. Diseño del planteamiento: enfoque en el caso de estudio</w:t>
      </w:r>
    </w:p>
    <w:p w14:paraId="0E2BC05F" w14:textId="77777777" w:rsidR="00716D32" w:rsidRPr="0026418E" w:rsidRDefault="00000000">
      <w:pPr>
        <w:spacing w:after="150" w:line="288" w:lineRule="auto"/>
        <w:jc w:val="both"/>
        <w:rPr>
          <w:color w:val="000000" w:themeColor="text1"/>
          <w:lang w:val="es-US"/>
        </w:rPr>
      </w:pPr>
      <w:r w:rsidRPr="0026418E">
        <w:rPr>
          <w:color w:val="000000" w:themeColor="text1"/>
          <w:lang w:val="es-US"/>
        </w:rPr>
        <w:t>La investigación no se desarrolla sobre un laboratorio empírico identificable. El caso de estudio es un laboratorio de control de calidad farmacéutico de referencia, construido computacionalmente a partir de parámetros operativos reportados en literatura arbitrada. La decisión responde a dos restricciones documentables y no a una preferencia metodológica: los registros operativos de una planta farmacéutica constituyen secreto empresarial bajo los artículos 260 a 265 de la Decisión 486 de 2000 de la Comunidad Andina, y su divulgación o uso no autorizado está tipificado como acto de competencia desleal por la Ley 256 de 1996; además, la búsqueda en repositorios públicos (</w:t>
      </w:r>
      <w:proofErr w:type="spellStart"/>
      <w:r w:rsidRPr="0026418E">
        <w:rPr>
          <w:color w:val="000000" w:themeColor="text1"/>
          <w:lang w:val="es-US"/>
        </w:rPr>
        <w:t>Kaggle</w:t>
      </w:r>
      <w:proofErr w:type="spellEnd"/>
      <w:r w:rsidRPr="0026418E">
        <w:rPr>
          <w:color w:val="000000" w:themeColor="text1"/>
          <w:lang w:val="es-US"/>
        </w:rPr>
        <w:t xml:space="preserve">, </w:t>
      </w:r>
      <w:proofErr w:type="spellStart"/>
      <w:r w:rsidRPr="0026418E">
        <w:rPr>
          <w:color w:val="000000" w:themeColor="text1"/>
          <w:lang w:val="es-US"/>
        </w:rPr>
        <w:t>Zenodo</w:t>
      </w:r>
      <w:proofErr w:type="spellEnd"/>
      <w:r w:rsidRPr="0026418E">
        <w:rPr>
          <w:color w:val="000000" w:themeColor="text1"/>
          <w:lang w:val="es-US"/>
        </w:rPr>
        <w:t xml:space="preserve">, UCI Machine </w:t>
      </w:r>
      <w:proofErr w:type="spellStart"/>
      <w:r w:rsidRPr="0026418E">
        <w:rPr>
          <w:color w:val="000000" w:themeColor="text1"/>
          <w:lang w:val="es-US"/>
        </w:rPr>
        <w:t>Learning</w:t>
      </w:r>
      <w:proofErr w:type="spellEnd"/>
      <w:r w:rsidRPr="0026418E">
        <w:rPr>
          <w:color w:val="000000" w:themeColor="text1"/>
          <w:lang w:val="es-US"/>
        </w:rPr>
        <w:t xml:space="preserve"> </w:t>
      </w:r>
      <w:proofErr w:type="spellStart"/>
      <w:r w:rsidRPr="0026418E">
        <w:rPr>
          <w:color w:val="000000" w:themeColor="text1"/>
          <w:lang w:val="es-US"/>
        </w:rPr>
        <w:t>Repository</w:t>
      </w:r>
      <w:proofErr w:type="spellEnd"/>
      <w:r w:rsidRPr="0026418E">
        <w:rPr>
          <w:color w:val="000000" w:themeColor="text1"/>
          <w:lang w:val="es-US"/>
        </w:rPr>
        <w:t xml:space="preserve"> y Mendeley Data) no arrojó ningún conjunto de datos de operación de estos laboratorios. Los datos crudos que sustentan a Costigliola et al. (2017) y </w:t>
      </w:r>
      <w:proofErr w:type="spellStart"/>
      <w:r w:rsidRPr="0026418E">
        <w:rPr>
          <w:color w:val="000000" w:themeColor="text1"/>
          <w:lang w:val="es-US"/>
        </w:rPr>
        <w:t>Lopes</w:t>
      </w:r>
      <w:proofErr w:type="spellEnd"/>
      <w:r w:rsidRPr="0026418E">
        <w:rPr>
          <w:color w:val="000000" w:themeColor="text1"/>
          <w:lang w:val="es-US"/>
        </w:rPr>
        <w:t xml:space="preserve"> et al. (2020) nunca fueron publicados; el propio grupo debió generar instancias sintéticas calibradas con distribuciones de literatura para su estudio de 2023 (</w:t>
      </w:r>
      <w:proofErr w:type="spellStart"/>
      <w:r w:rsidRPr="0026418E">
        <w:rPr>
          <w:color w:val="000000" w:themeColor="text1"/>
          <w:lang w:val="es-US"/>
        </w:rPr>
        <w:t>Martins</w:t>
      </w:r>
      <w:proofErr w:type="spellEnd"/>
      <w:r w:rsidRPr="0026418E">
        <w:rPr>
          <w:color w:val="000000" w:themeColor="text1"/>
          <w:lang w:val="es-US"/>
        </w:rPr>
        <w:t xml:space="preserve"> et al., 2023).</w:t>
      </w:r>
    </w:p>
    <w:p w14:paraId="3F7FB109" w14:textId="77777777" w:rsidR="00716D32" w:rsidRPr="0026418E" w:rsidRDefault="00000000">
      <w:pPr>
        <w:spacing w:after="150" w:line="288" w:lineRule="auto"/>
        <w:jc w:val="both"/>
        <w:rPr>
          <w:color w:val="000000" w:themeColor="text1"/>
          <w:lang w:val="es-US"/>
        </w:rPr>
      </w:pPr>
      <w:r w:rsidRPr="0026418E">
        <w:rPr>
          <w:color w:val="000000" w:themeColor="text1"/>
          <w:lang w:val="es-US"/>
        </w:rPr>
        <w:t>El término «datos sintéticos» se emplea aquí en el sentido de datos generados por simulación estocástica a partir de parámetros calibrados con literatura, y no de datos derivados de un conjunto real mediante modelos generativos; la validez del conjunto depende, por tanto, enteramente de la trazabilidad de sus supuestos. La unidad de análisis es la actividad analítica individual —un ensayo específico sobre una muestra específica—, caracterizada por su método, complejidad, equipo requerido, calificación exigida al analista y plazo de entrega. Sobre ella operan tres capas: generación mediante simulación de Monte Carlo con estimaciones de tres puntos (</w:t>
      </w:r>
      <w:proofErr w:type="spellStart"/>
      <w:r w:rsidRPr="0026418E">
        <w:rPr>
          <w:color w:val="000000" w:themeColor="text1"/>
          <w:lang w:val="es-US"/>
        </w:rPr>
        <w:t>BetaPERT</w:t>
      </w:r>
      <w:proofErr w:type="spellEnd"/>
      <w:r w:rsidRPr="0026418E">
        <w:rPr>
          <w:color w:val="000000" w:themeColor="text1"/>
          <w:lang w:val="es-US"/>
        </w:rPr>
        <w:t xml:space="preserve">) y factores de correlación, calibrada con Coito et al. (2021) y Costigliola et al. (2017) y contrastada estructuralmente con las instancias públicas del TLSP y de </w:t>
      </w:r>
      <w:proofErr w:type="spellStart"/>
      <w:r w:rsidRPr="0026418E">
        <w:rPr>
          <w:color w:val="000000" w:themeColor="text1"/>
          <w:lang w:val="es-US"/>
        </w:rPr>
        <w:t>Martins</w:t>
      </w:r>
      <w:proofErr w:type="spellEnd"/>
      <w:r w:rsidRPr="0026418E">
        <w:rPr>
          <w:color w:val="000000" w:themeColor="text1"/>
          <w:lang w:val="es-US"/>
        </w:rPr>
        <w:t xml:space="preserve"> et al. (2023); predicción supervisada de la </w:t>
      </w:r>
      <w:r w:rsidRPr="0026418E">
        <w:rPr>
          <w:color w:val="000000" w:themeColor="text1"/>
          <w:lang w:val="es-US"/>
        </w:rPr>
        <w:lastRenderedPageBreak/>
        <w:t>duración de cada actividad; y asignación mediante una regla de despacho informada por las duraciones estimadas, evaluada frente a FIFO, asignación aleatoria y regla experta en el mismo entorno de simulación.</w:t>
      </w:r>
    </w:p>
    <w:p w14:paraId="20B78CC6" w14:textId="77777777" w:rsidR="00716D32" w:rsidRPr="0026418E" w:rsidRDefault="00000000">
      <w:pPr>
        <w:pStyle w:val="Heading1"/>
        <w:spacing w:before="340" w:after="150"/>
        <w:rPr>
          <w:color w:val="000000" w:themeColor="text1"/>
          <w:lang w:val="es-US"/>
        </w:rPr>
      </w:pPr>
      <w:r w:rsidRPr="0026418E">
        <w:rPr>
          <w:b/>
          <w:bCs/>
          <w:color w:val="000000" w:themeColor="text1"/>
          <w:sz w:val="24"/>
          <w:szCs w:val="24"/>
          <w:lang w:val="es-US"/>
        </w:rPr>
        <w:t>3. Fundamentación del problema: evidencias frente a juicios de valor</w:t>
      </w:r>
    </w:p>
    <w:p w14:paraId="3CA04DFD" w14:textId="77777777" w:rsidR="00716D32" w:rsidRPr="0026418E" w:rsidRDefault="00000000">
      <w:pPr>
        <w:spacing w:after="150" w:line="288" w:lineRule="auto"/>
        <w:jc w:val="both"/>
        <w:rPr>
          <w:color w:val="000000" w:themeColor="text1"/>
          <w:lang w:val="es-US"/>
        </w:rPr>
      </w:pPr>
      <w:r w:rsidRPr="0026418E">
        <w:rPr>
          <w:color w:val="000000" w:themeColor="text1"/>
          <w:lang w:val="es-US"/>
        </w:rPr>
        <w:t xml:space="preserve">El planteamiento distingue lo documentado por una fuente verificable, lo que se infiere de forma razonada a partir de ello, y lo que constituye un juicio de valor sin respaldo empírico. Está documentado que la programación de laboratorios de ensayo con recursos heterogéneos es un problema NP-difícil (Danzinger et al., 2025); que la gestión de estos laboratorios se apoya predominantemente en criterio experto (Costigliola et al., 2017, en contexto europeo); que el sector farmacéutico colombiano es de alta densidad de valor agregado (DANE, 2025) y opera bajo un regulador de referencia regional con carga administrativa documentada (OPS, 2020; INVIMA, 2025); que la adopción de analítica avanzada en la empresa colombiana es incipiente (CINTEL, 2023; Muñoz-Pinzón et al., 2024); y que no existe estadística pública colombiana sobre tiempos de liberación de lotes ni sobre capacidad analítica instalada por laboratorio, evidencia negativa obtenida mediante búsqueda sistemática en INVIMA, </w:t>
      </w:r>
      <w:proofErr w:type="spellStart"/>
      <w:r w:rsidRPr="0026418E">
        <w:rPr>
          <w:color w:val="000000" w:themeColor="text1"/>
          <w:lang w:val="es-US"/>
        </w:rPr>
        <w:t>MinSalud</w:t>
      </w:r>
      <w:proofErr w:type="spellEnd"/>
      <w:r w:rsidRPr="0026418E">
        <w:rPr>
          <w:color w:val="000000" w:themeColor="text1"/>
          <w:lang w:val="es-US"/>
        </w:rPr>
        <w:t>, DANE y literatura indexada.</w:t>
      </w:r>
    </w:p>
    <w:p w14:paraId="6CDCB661" w14:textId="77777777" w:rsidR="00716D32" w:rsidRPr="0026418E" w:rsidRDefault="00000000">
      <w:pPr>
        <w:spacing w:after="150" w:line="288" w:lineRule="auto"/>
        <w:jc w:val="both"/>
        <w:rPr>
          <w:color w:val="000000" w:themeColor="text1"/>
          <w:lang w:val="es-US"/>
        </w:rPr>
      </w:pPr>
      <w:r w:rsidRPr="0026418E">
        <w:rPr>
          <w:color w:val="000000" w:themeColor="text1"/>
          <w:lang w:val="es-US"/>
        </w:rPr>
        <w:t>De ahí se desprenden tres inferencias, enunciadas como tales y sujetas a refutación: que existe margen de mejora en la asignación de recursos de estos laboratorios —plausible, no demostrado, porque ninguna de las evidencias mide desempeño operativo colombiano—; que la ausencia de indicadores públicos limita tanto la gestión interna basada en evidencia como la investigación académica sobre el tema; y que, a partir de cierto número de muestras, analistas y equipos, la calidad de una programación construida manualmente se degrada respecto del óptimo alcanzable, consecuencia matemática de la dureza del problema y no observación sobre laboratorios concretos.</w:t>
      </w:r>
    </w:p>
    <w:p w14:paraId="6A4D8E6A" w14:textId="77777777" w:rsidR="00716D32" w:rsidRPr="0026418E" w:rsidRDefault="00000000">
      <w:pPr>
        <w:spacing w:after="150" w:line="288" w:lineRule="auto"/>
        <w:jc w:val="both"/>
        <w:rPr>
          <w:color w:val="000000" w:themeColor="text1"/>
          <w:lang w:val="es-US"/>
        </w:rPr>
      </w:pPr>
      <w:r w:rsidRPr="0026418E">
        <w:rPr>
          <w:color w:val="000000" w:themeColor="text1"/>
          <w:lang w:val="es-US"/>
        </w:rPr>
        <w:t>Se excluyen deliberadamente cuatro afirmaciones frecuentes por carecer de respaldo verificable: que los laboratorios de control de calidad colombianos son ineficientes, pues no existe medición pública de su desempeño y afirmarlo sería atribuir un déficit no observado; que el represamiento de trámites del INVIMA se explica por la operación de los laboratorios, lo que confunde el trámite regulatorio ante la autoridad sanitaria con la operación analítica interna de la planta; que la inteligencia artificial resolverá el desabastecimiento de medicamentos, cuyas causas documentadas son múltiples y mayoritariamente ajenas a la planificación analítica (</w:t>
      </w:r>
      <w:proofErr w:type="spellStart"/>
      <w:r w:rsidRPr="0026418E">
        <w:rPr>
          <w:color w:val="000000" w:themeColor="text1"/>
          <w:lang w:val="es-US"/>
        </w:rPr>
        <w:t>MinSalud</w:t>
      </w:r>
      <w:proofErr w:type="spellEnd"/>
      <w:r w:rsidRPr="0026418E">
        <w:rPr>
          <w:color w:val="000000" w:themeColor="text1"/>
          <w:lang w:val="es-US"/>
        </w:rPr>
        <w:t>, 2023); y que la gestión basada en la experiencia del supervisor es deficiente, cuando el conocimiento experto acumulado es un activo operativo y lo que la evidencia sugiere es la ausencia de un complemento cuantitativo.</w:t>
      </w:r>
    </w:p>
    <w:p w14:paraId="3C5D56FE" w14:textId="12751FCA" w:rsidR="00716D32" w:rsidRPr="0026418E" w:rsidRDefault="00000000">
      <w:pPr>
        <w:spacing w:after="150" w:line="288" w:lineRule="auto"/>
        <w:jc w:val="both"/>
        <w:rPr>
          <w:color w:val="000000" w:themeColor="text1"/>
          <w:lang w:val="es-US"/>
        </w:rPr>
      </w:pPr>
      <w:r w:rsidRPr="0026418E">
        <w:rPr>
          <w:color w:val="000000" w:themeColor="text1"/>
          <w:lang w:val="es-US"/>
        </w:rPr>
        <w:t xml:space="preserve">El vacío es, entonces, preciso. No se identificaron trabajos que integren la estimación supervisada de duraciones y la recomendación de asignación de recursos entrenadas exclusivamente con datos sintéticos calibrados con literatura y evaluadas frente a políticas de referencia, en el contexto de laboratorios de control de calidad farmacéuticos. El problema no es de desempeño observado sino de capacidad instalada de decisión, y está bloqueado </w:t>
      </w:r>
      <w:r w:rsidR="0026418E">
        <w:rPr>
          <w:color w:val="000000" w:themeColor="text1"/>
          <w:lang w:val="es-US"/>
        </w:rPr>
        <w:t>en las fases iniciales</w:t>
      </w:r>
      <w:r w:rsidRPr="0026418E">
        <w:rPr>
          <w:color w:val="000000" w:themeColor="text1"/>
          <w:lang w:val="es-US"/>
        </w:rPr>
        <w:t>: no es posible desarrollar ni evaluar modelos predictivos de apoyo a la planificación analítica farmacéutica mientras no se disponga de un sustituto metodológicamente defendible de los datos operativos reales. La situación a investigar corresponde, así, con un problema de investigación.</w:t>
      </w:r>
    </w:p>
    <w:p w14:paraId="63DF29FC" w14:textId="77777777" w:rsidR="00716D32" w:rsidRPr="0026418E" w:rsidRDefault="00000000">
      <w:pPr>
        <w:pStyle w:val="Heading1"/>
        <w:spacing w:before="340" w:after="150"/>
        <w:rPr>
          <w:color w:val="000000" w:themeColor="text1"/>
          <w:lang w:val="es-US"/>
        </w:rPr>
      </w:pPr>
      <w:r w:rsidRPr="0026418E">
        <w:rPr>
          <w:b/>
          <w:bCs/>
          <w:color w:val="000000" w:themeColor="text1"/>
          <w:sz w:val="24"/>
          <w:szCs w:val="24"/>
          <w:lang w:val="es-US"/>
        </w:rPr>
        <w:t>4. Pronóstico del fenómeno</w:t>
      </w:r>
    </w:p>
    <w:p w14:paraId="035A8EFA" w14:textId="77777777" w:rsidR="00716D32" w:rsidRPr="0026418E" w:rsidRDefault="00000000">
      <w:pPr>
        <w:spacing w:after="150" w:line="288" w:lineRule="auto"/>
        <w:jc w:val="both"/>
        <w:rPr>
          <w:color w:val="000000" w:themeColor="text1"/>
          <w:lang w:val="es-US"/>
        </w:rPr>
      </w:pPr>
      <w:r w:rsidRPr="0026418E">
        <w:rPr>
          <w:color w:val="000000" w:themeColor="text1"/>
          <w:lang w:val="es-US"/>
        </w:rPr>
        <w:t>El escenario que sigue es prospectivo y se construye por extrapolación de tendencias documentadas: expansión de la capacidad productiva nacional (Consejo Nacional de Política Económica y Social, 2025), persistencia de la carga administrativa regulatoria (INVIMA, 2025) y adopción analítica que avanza lentamente (CINTEL, 2023). No constituye una predicción.</w:t>
      </w:r>
    </w:p>
    <w:p w14:paraId="442BCBE9" w14:textId="77777777" w:rsidR="00716D32" w:rsidRPr="0026418E" w:rsidRDefault="00000000">
      <w:pPr>
        <w:spacing w:after="150" w:line="288" w:lineRule="auto"/>
        <w:jc w:val="both"/>
        <w:rPr>
          <w:color w:val="000000" w:themeColor="text1"/>
          <w:lang w:val="es-US"/>
        </w:rPr>
      </w:pPr>
      <w:r w:rsidRPr="0026418E">
        <w:rPr>
          <w:color w:val="000000" w:themeColor="text1"/>
          <w:lang w:val="es-US"/>
        </w:rPr>
        <w:lastRenderedPageBreak/>
        <w:t>Si la capacidad analítica instalada crece por adición de recursos —más analistas, más equipos— sin incorporar planificación basada en datos, es razonable esperar que la brecha entre demanda de ensayos y capacidad efectiva de procesamiento se amplíe en lugar de cerrarse: en un problema NP-difícil, añadir recursos incrementa el espacio de soluciones más rápido de lo que incrementa la capacidad de un planificador humano para explorarlo. El resultado previsible no es la ausencia de capacidad sino su subutilización —recursos ociosos junto a otros congestionados—, con efecto sobre los tiempos de liberación. A ello se suma que, sin indicadores de desempeño analítico, no se dispone de la información necesaria para localizar la restricción: la ausencia de medición no solo impide corregir, impide saber que hay algo que corregir.</w:t>
      </w:r>
    </w:p>
    <w:p w14:paraId="5F3A813C" w14:textId="77777777" w:rsidR="00716D32" w:rsidRPr="0026418E" w:rsidRDefault="00000000">
      <w:pPr>
        <w:spacing w:after="150" w:line="288" w:lineRule="auto"/>
        <w:jc w:val="both"/>
        <w:rPr>
          <w:color w:val="000000" w:themeColor="text1"/>
          <w:lang w:val="es-US"/>
        </w:rPr>
      </w:pPr>
      <w:r w:rsidRPr="0026418E">
        <w:rPr>
          <w:color w:val="000000" w:themeColor="text1"/>
          <w:lang w:val="es-US"/>
        </w:rPr>
        <w:t>El escenario es modificable. Un modelo capaz de estimar con antelación la duración de las actividades analíticas y de recomendar asignaciones de personal y equipo permitiría anticipar congestiones antes de que se materialicen y contrastar alternativas de programación antes de comprometer recursos. Esta investigación no interviene sobre ningún laboratorio real: aporta la evidencia de viabilidad técnica que una intervención de ese tipo requeriría como paso previo.</w:t>
      </w:r>
    </w:p>
    <w:p w14:paraId="627CC199" w14:textId="77777777" w:rsidR="00716D32" w:rsidRPr="0026418E" w:rsidRDefault="00000000">
      <w:pPr>
        <w:pStyle w:val="Heading1"/>
        <w:spacing w:before="340" w:after="150"/>
        <w:rPr>
          <w:color w:val="000000" w:themeColor="text1"/>
          <w:lang w:val="es-US"/>
        </w:rPr>
      </w:pPr>
      <w:r w:rsidRPr="0026418E">
        <w:rPr>
          <w:b/>
          <w:bCs/>
          <w:color w:val="000000" w:themeColor="text1"/>
          <w:sz w:val="24"/>
          <w:szCs w:val="24"/>
          <w:lang w:val="es-US"/>
        </w:rPr>
        <w:t>5. Planteamiento de la propuesta investigativa</w:t>
      </w:r>
    </w:p>
    <w:p w14:paraId="671BEC83" w14:textId="77777777" w:rsidR="00716D32" w:rsidRPr="0026418E" w:rsidRDefault="00000000">
      <w:pPr>
        <w:spacing w:after="150" w:line="288" w:lineRule="auto"/>
        <w:jc w:val="both"/>
        <w:rPr>
          <w:color w:val="000000" w:themeColor="text1"/>
          <w:lang w:val="es-US"/>
        </w:rPr>
      </w:pPr>
      <w:r w:rsidRPr="0026418E">
        <w:rPr>
          <w:color w:val="000000" w:themeColor="text1"/>
          <w:lang w:val="es-US"/>
        </w:rPr>
        <w:t>La propuesta desarrolla capacidades analíticas predictivas para el estudio de la planificación de laboratorios de control de calidad farmacéuticos en condiciones de acceso restringido a datos reales, y entrega tres productos: un conjunto de datos sintéticos documentado con trazabilidad de cada supuesto a su fuente, un análisis comparativo de algoritmos de estimación de duraciones con métricas y protocolo de validación declarados, y un prototipo de recomendación de asignación evaluado frente a políticas de referencia. Produce evidencia de viabilidad técnica y no de eficacia operativa en una instalación concreta; la validación con registros reales bajo protocolo TSTR (Esteban et al., 2017) y la incorporación de políticas aprendidas por refuerzo profundo (</w:t>
      </w:r>
      <w:proofErr w:type="spellStart"/>
      <w:r w:rsidRPr="0026418E">
        <w:rPr>
          <w:color w:val="000000" w:themeColor="text1"/>
          <w:lang w:val="es-US"/>
        </w:rPr>
        <w:t>Khadivi</w:t>
      </w:r>
      <w:proofErr w:type="spellEnd"/>
      <w:r w:rsidRPr="0026418E">
        <w:rPr>
          <w:color w:val="000000" w:themeColor="text1"/>
          <w:lang w:val="es-US"/>
        </w:rPr>
        <w:t xml:space="preserve"> et al., 2025) se declaran como líneas de trabajo futuro.</w:t>
      </w:r>
    </w:p>
    <w:p w14:paraId="354D46F1" w14:textId="77777777" w:rsidR="00716D32" w:rsidRPr="0026418E" w:rsidRDefault="00000000">
      <w:pPr>
        <w:pStyle w:val="Heading1"/>
        <w:spacing w:before="340" w:after="150"/>
        <w:rPr>
          <w:color w:val="000000" w:themeColor="text1"/>
          <w:lang w:val="es-US"/>
        </w:rPr>
      </w:pPr>
      <w:r w:rsidRPr="0026418E">
        <w:rPr>
          <w:b/>
          <w:bCs/>
          <w:color w:val="000000" w:themeColor="text1"/>
          <w:sz w:val="24"/>
          <w:szCs w:val="24"/>
          <w:lang w:val="es-US"/>
        </w:rPr>
        <w:t>Pregunta de investigación</w:t>
      </w:r>
    </w:p>
    <w:p w14:paraId="70A74DDC" w14:textId="77777777" w:rsidR="00427B30" w:rsidRPr="00974DA2" w:rsidRDefault="00000000">
      <w:pPr>
        <w:spacing w:after="150" w:line="288" w:lineRule="auto"/>
        <w:jc w:val="both"/>
        <w:rPr>
          <w:color w:val="000000" w:themeColor="text1"/>
          <w:lang w:val="es-US"/>
        </w:rPr>
      </w:pPr>
      <w:r w:rsidRPr="00974DA2">
        <w:rPr>
          <w:color w:val="000000" w:themeColor="text1"/>
          <w:lang w:val="es-US"/>
        </w:rPr>
        <w:t>La ejecución de actividades analíticas exige estimar duraciones y asignar recursos bajo restricciones cruzadas de calificación del personal, disponibilidad de equipos y plazos de entrega, sobre un problema de programación cuya dureza computacional está demostrada. Cuando esa doble tarea se resuelve solo con criterio experto y sin apoyo predictivo, la capacidad operativa real del laboratorio permanece invisible y los cuellos de botella se identifican tarde. En este marco surge la necesidad de investigar:</w:t>
      </w:r>
    </w:p>
    <w:p w14:paraId="5D62E79B" w14:textId="77777777" w:rsidR="00BF445C" w:rsidRPr="00BF445C" w:rsidRDefault="00BF445C" w:rsidP="00BF445C">
      <w:pPr>
        <w:pStyle w:val="ListParagraph"/>
        <w:numPr>
          <w:ilvl w:val="0"/>
          <w:numId w:val="4"/>
        </w:numPr>
        <w:spacing w:after="80" w:line="288" w:lineRule="auto"/>
        <w:jc w:val="both"/>
        <w:rPr>
          <w:color w:val="000000" w:themeColor="text1"/>
          <w:lang w:val="es-US"/>
        </w:rPr>
      </w:pPr>
      <w:r>
        <w:rPr>
          <w:color w:val="000000" w:themeColor="text1"/>
          <w:lang w:val="es-US"/>
        </w:rPr>
        <w:t>¿Qué modelo de aprendizaje automático, en su fase de prototipado, permite la predicción de la duración de actividades analíticas y la recomendación de la asignación de recursos en los laboratorios farmacéuticos basado en datos sintéticos?</w:t>
      </w:r>
    </w:p>
    <w:p w14:paraId="365C1AB9" w14:textId="77777777" w:rsidR="00716D32" w:rsidRPr="0026418E" w:rsidRDefault="00000000">
      <w:pPr>
        <w:spacing w:before="220" w:after="100"/>
        <w:rPr>
          <w:color w:val="000000" w:themeColor="text1"/>
          <w:lang w:val="es-US"/>
        </w:rPr>
      </w:pPr>
      <w:r w:rsidRPr="0026418E">
        <w:rPr>
          <w:b/>
          <w:bCs/>
          <w:color w:val="000000" w:themeColor="text1"/>
          <w:lang w:val="es-US"/>
        </w:rPr>
        <w:t>Objetivo general</w:t>
      </w:r>
    </w:p>
    <w:p w14:paraId="0679F6E3" w14:textId="77777777" w:rsidR="00427B30" w:rsidRPr="00974DA2" w:rsidRDefault="00000000">
      <w:pPr>
        <w:spacing w:after="150" w:line="288" w:lineRule="auto"/>
        <w:jc w:val="both"/>
        <w:rPr>
          <w:color w:val="000000" w:themeColor="text1"/>
          <w:lang w:val="es-US"/>
        </w:rPr>
      </w:pPr>
      <w:r w:rsidRPr="00974DA2">
        <w:rPr>
          <w:color w:val="000000" w:themeColor="text1"/>
          <w:lang w:val="es-US"/>
        </w:rPr>
        <w:t>Desarrollar un prototipo de modelo de aprendizaje automático, entrenado con datos sintéticos calibrados con parámetros de la literatura, que permita la predicción de la duración de actividades analíticas y la recomendación de la asignación de personal calificado y equipos en un laboratorio de control de calidad farmacéutico de referencia.</w:t>
      </w:r>
    </w:p>
    <w:p w14:paraId="1001277A" w14:textId="77777777" w:rsidR="00716D32" w:rsidRPr="0026418E" w:rsidRDefault="00000000">
      <w:pPr>
        <w:spacing w:before="220" w:after="100"/>
        <w:rPr>
          <w:color w:val="000000" w:themeColor="text1"/>
          <w:lang w:val="es-US"/>
        </w:rPr>
      </w:pPr>
      <w:r w:rsidRPr="0026418E">
        <w:rPr>
          <w:b/>
          <w:bCs/>
          <w:color w:val="000000" w:themeColor="text1"/>
          <w:lang w:val="es-US"/>
        </w:rPr>
        <w:t>Preguntas específicas</w:t>
      </w:r>
    </w:p>
    <w:p w14:paraId="175431F7" w14:textId="77777777" w:rsidR="00716D32" w:rsidRPr="0026418E" w:rsidRDefault="00000000">
      <w:pPr>
        <w:spacing w:after="150" w:line="288" w:lineRule="auto"/>
        <w:jc w:val="both"/>
        <w:rPr>
          <w:color w:val="000000" w:themeColor="text1"/>
          <w:lang w:val="es-US"/>
        </w:rPr>
      </w:pPr>
      <w:r w:rsidRPr="0026418E">
        <w:rPr>
          <w:color w:val="000000" w:themeColor="text1"/>
          <w:lang w:val="es-US"/>
        </w:rPr>
        <w:lastRenderedPageBreak/>
        <w:t>La pregunta general se descompone en tres preguntas específicas, ordenadas según la secuencia que sigue el trabajo: la construcción del sustituto de datos, la capacidad predictiva de los algoritmos supervisados entrenados sobre él, y la integración del modelo seleccionado en un prototipo de recomendación de asignación. Cada pregunta se enuncia seguida del objetivo específico que la responde.</w:t>
      </w:r>
    </w:p>
    <w:p w14:paraId="140D7E84" w14:textId="77777777" w:rsidR="00BF445C" w:rsidRPr="00BF445C" w:rsidRDefault="00BF445C" w:rsidP="00BF445C">
      <w:pPr>
        <w:pStyle w:val="ListParagraph"/>
        <w:numPr>
          <w:ilvl w:val="0"/>
          <w:numId w:val="5"/>
        </w:numPr>
        <w:spacing w:after="80" w:line="288" w:lineRule="auto"/>
        <w:jc w:val="both"/>
        <w:rPr>
          <w:color w:val="000000" w:themeColor="text1"/>
          <w:lang w:val="es-US"/>
        </w:rPr>
      </w:pPr>
      <w:r>
        <w:rPr>
          <w:color w:val="000000" w:themeColor="text1"/>
          <w:lang w:val="es-US"/>
        </w:rPr>
        <w:t>¿Cómo estructurar un conjunto de datos sintéticos que represente los tiempos de ejecución y la disponibilidad cruzada de recursos humanos y materiales en un laboratorio farmacéutico, mediante simulación de Monte Carlo, estimaciones de tres puntos y factores de correlación?</w:t>
      </w:r>
    </w:p>
    <w:p w14:paraId="64BB40C1" w14:textId="77777777" w:rsidR="00427B30" w:rsidRDefault="00000000">
      <w:pPr>
        <w:pStyle w:val="ListParagraph"/>
        <w:numPr>
          <w:ilvl w:val="0"/>
          <w:numId w:val="2"/>
        </w:numPr>
        <w:spacing w:after="80" w:line="288" w:lineRule="auto"/>
        <w:jc w:val="both"/>
        <w:rPr>
          <w:color w:val="000000" w:themeColor="text1"/>
          <w:lang w:val="es-US"/>
        </w:rPr>
      </w:pPr>
      <w:r w:rsidRPr="00974DA2">
        <w:rPr>
          <w:color w:val="000000" w:themeColor="text1"/>
          <w:lang w:val="es-US"/>
        </w:rPr>
        <w:t>Estructurar un conjunto de datos sintéticos que represente los tiempos de ejecución y la disponibilidad cruzada de recursos humanos y materiales del laboratorio de referencia, mediante simulación estocástica de Monte Carlo con estimaciones de tres puntos (</w:t>
      </w:r>
      <w:proofErr w:type="spellStart"/>
      <w:r w:rsidRPr="00974DA2">
        <w:rPr>
          <w:color w:val="000000" w:themeColor="text1"/>
          <w:lang w:val="es-US"/>
        </w:rPr>
        <w:t>BetaPERT</w:t>
      </w:r>
      <w:proofErr w:type="spellEnd"/>
      <w:r w:rsidRPr="00974DA2">
        <w:rPr>
          <w:color w:val="000000" w:themeColor="text1"/>
          <w:lang w:val="es-US"/>
        </w:rPr>
        <w:t>) y factores de correlación, calibrada con parámetros operativos publicados y contrastada estructuralmente con instancias públicas de programación de laboratorios.</w:t>
      </w:r>
    </w:p>
    <w:p w14:paraId="7EB00BCB" w14:textId="77777777" w:rsidR="00BF445C" w:rsidRPr="00BF445C" w:rsidRDefault="00BF445C" w:rsidP="00BF445C">
      <w:pPr>
        <w:pStyle w:val="ListParagraph"/>
        <w:numPr>
          <w:ilvl w:val="0"/>
          <w:numId w:val="5"/>
        </w:numPr>
        <w:spacing w:after="80" w:line="288" w:lineRule="auto"/>
        <w:jc w:val="both"/>
        <w:rPr>
          <w:color w:val="000000" w:themeColor="text1"/>
          <w:lang w:val="es-US"/>
        </w:rPr>
      </w:pPr>
      <w:r>
        <w:rPr>
          <w:color w:val="000000" w:themeColor="text1"/>
          <w:lang w:val="es-US"/>
        </w:rPr>
        <w:t>¿Cuál es el desempeño comparativo de diferentes algoritmos de aprendizaje automático supervisado en la estimación de la duración de las actividades analíticas y cuál presenta el mejor desempeño?</w:t>
      </w:r>
    </w:p>
    <w:p w14:paraId="42C1693A" w14:textId="77777777" w:rsidR="00427B30" w:rsidRDefault="00000000">
      <w:pPr>
        <w:pStyle w:val="ListParagraph"/>
        <w:numPr>
          <w:ilvl w:val="0"/>
          <w:numId w:val="2"/>
        </w:numPr>
        <w:spacing w:after="80" w:line="288" w:lineRule="auto"/>
        <w:jc w:val="both"/>
        <w:rPr>
          <w:color w:val="000000" w:themeColor="text1"/>
          <w:lang w:val="es-US"/>
        </w:rPr>
      </w:pPr>
      <w:r w:rsidRPr="00974DA2">
        <w:rPr>
          <w:color w:val="000000" w:themeColor="text1"/>
          <w:lang w:val="es-US"/>
        </w:rPr>
        <w:t>Comparar el desempeño de algoritmos de aprendizaje automático supervisado —regresión lineal múltiple como línea base, Random Forest, máquinas de vectores de soporte y ensambles de potenciación de gradiente— en la estimación de la duración de las actividades analíticas, mediante las métricas MAE, RMSE, MAPE y R², con partición 80/20, validación cruzada k-</w:t>
      </w:r>
      <w:proofErr w:type="spellStart"/>
      <w:r w:rsidRPr="00974DA2">
        <w:rPr>
          <w:color w:val="000000" w:themeColor="text1"/>
          <w:lang w:val="es-US"/>
        </w:rPr>
        <w:t>fold</w:t>
      </w:r>
      <w:proofErr w:type="spellEnd"/>
      <w:r w:rsidRPr="00974DA2">
        <w:rPr>
          <w:color w:val="000000" w:themeColor="text1"/>
          <w:lang w:val="es-US"/>
        </w:rPr>
        <w:t xml:space="preserve"> y evaluación en regímenes de carga no vistos durante el entrenamiento.</w:t>
      </w:r>
    </w:p>
    <w:p w14:paraId="10EEA0ED" w14:textId="77777777" w:rsidR="00296F08" w:rsidRPr="0026418E" w:rsidRDefault="00296F08" w:rsidP="00296F08">
      <w:pPr>
        <w:pStyle w:val="ListParagraph"/>
        <w:numPr>
          <w:ilvl w:val="0"/>
          <w:numId w:val="5"/>
        </w:numPr>
        <w:spacing w:after="80" w:line="288" w:lineRule="auto"/>
        <w:jc w:val="both"/>
        <w:rPr>
          <w:color w:val="000000" w:themeColor="text1"/>
          <w:highlight w:val="yellow"/>
          <w:lang w:val="es-US"/>
        </w:rPr>
      </w:pPr>
      <w:r w:rsidRPr="0026418E">
        <w:rPr>
          <w:color w:val="000000" w:themeColor="text1"/>
          <w:highlight w:val="yellow"/>
          <w:lang w:val="es-US"/>
        </w:rPr>
        <w:t>¿Cómo integrar el modelo predictivo seleccionado en un prototipo funcional basado en un proceso de decisión de Markov y Deep Q-Network para recomendar la asignación de analistas y equipos en un laboratorio farmacéutico?</w:t>
      </w:r>
    </w:p>
    <w:p w14:paraId="2DA0692F" w14:textId="77777777" w:rsidR="00797DF6" w:rsidRPr="0026418E" w:rsidRDefault="00797DF6" w:rsidP="00797DF6">
      <w:pPr>
        <w:pStyle w:val="ListParagraph"/>
        <w:numPr>
          <w:ilvl w:val="0"/>
          <w:numId w:val="2"/>
        </w:numPr>
        <w:spacing w:after="80" w:line="288" w:lineRule="auto"/>
        <w:jc w:val="both"/>
        <w:rPr>
          <w:color w:val="000000" w:themeColor="text1"/>
          <w:highlight w:val="yellow"/>
          <w:lang w:val="es-US"/>
        </w:rPr>
      </w:pPr>
      <w:r w:rsidRPr="0026418E">
        <w:rPr>
          <w:color w:val="000000" w:themeColor="text1"/>
          <w:highlight w:val="yellow"/>
          <w:lang w:val="es-US"/>
        </w:rPr>
        <w:t>Construir un prototipo funcional que integre el modelo predictivo seleccionado y genere recomendaciones de asignación de personal calificado y equipos mediante una regla de despacho informada por las duraciones estimadas —asignando cada análisis a la combinación factible de analista y equipo con menor tiempo de terminación previsto—, evaluando su desempeño frente a políticas de asignación de referencia (FIFO, asignación aleatoria y regla experta) con indicadores de makespan, tasa de utilización de recursos, tardanza media y porcentaje de análisis fuera de plazo, en el entorno de simulación.</w:t>
      </w:r>
    </w:p>
    <w:p w14:paraId="7DEFF5AE" w14:textId="77777777" w:rsidR="00716D32" w:rsidRPr="0026418E" w:rsidRDefault="00000000">
      <w:pPr>
        <w:pStyle w:val="Heading1"/>
        <w:spacing w:before="340" w:after="150"/>
        <w:rPr>
          <w:color w:val="000000" w:themeColor="text1"/>
          <w:lang w:val="es-US"/>
        </w:rPr>
      </w:pPr>
      <w:r w:rsidRPr="0026418E">
        <w:rPr>
          <w:b/>
          <w:bCs/>
          <w:color w:val="000000" w:themeColor="text1"/>
          <w:sz w:val="24"/>
          <w:szCs w:val="24"/>
          <w:lang w:val="es-US"/>
        </w:rPr>
        <w:t>Justificación</w:t>
      </w:r>
    </w:p>
    <w:p w14:paraId="79B10A98" w14:textId="77777777" w:rsidR="00716D32" w:rsidRPr="0026418E" w:rsidRDefault="00000000">
      <w:pPr>
        <w:spacing w:after="150" w:line="288" w:lineRule="auto"/>
        <w:jc w:val="both"/>
        <w:rPr>
          <w:color w:val="000000" w:themeColor="text1"/>
          <w:lang w:val="es-US"/>
        </w:rPr>
      </w:pPr>
      <w:r w:rsidRPr="0026418E">
        <w:rPr>
          <w:color w:val="000000" w:themeColor="text1"/>
          <w:lang w:val="es-US"/>
        </w:rPr>
        <w:t xml:space="preserve">La investigación se justifica, en primer lugar, por la posición que ocupa el proceso estudiado. El laboratorio de control de calidad es la última compuerta antes de la liberación de un lote, de modo que cualquier demora o desbalance en la planificación de sus actividades se traslada de forma directa al tiempo de liberación. Sobre él pesan exigencias regulatorias sostenidas, en un sector cuya capacidad administrativa está documentadamente tensionada, y el problema de asignación subyacente es computacionalmente duro: el apoyo cuantitativo a la decisión no constituye un refinamiento administrativo sino la única vía de explorar de forma sistemática un espacio de soluciones que crece </w:t>
      </w:r>
      <w:proofErr w:type="spellStart"/>
      <w:r w:rsidRPr="0026418E">
        <w:rPr>
          <w:color w:val="000000" w:themeColor="text1"/>
          <w:lang w:val="es-US"/>
        </w:rPr>
        <w:t>factorialmente</w:t>
      </w:r>
      <w:proofErr w:type="spellEnd"/>
      <w:r w:rsidRPr="0026418E">
        <w:rPr>
          <w:color w:val="000000" w:themeColor="text1"/>
          <w:lang w:val="es-US"/>
        </w:rPr>
        <w:t>.</w:t>
      </w:r>
    </w:p>
    <w:p w14:paraId="17F06920" w14:textId="77777777" w:rsidR="00716D32" w:rsidRPr="0026418E" w:rsidRDefault="00000000">
      <w:pPr>
        <w:spacing w:after="150" w:line="288" w:lineRule="auto"/>
        <w:jc w:val="both"/>
        <w:rPr>
          <w:color w:val="000000" w:themeColor="text1"/>
          <w:lang w:val="es-US"/>
        </w:rPr>
      </w:pPr>
      <w:r w:rsidRPr="0026418E">
        <w:rPr>
          <w:color w:val="000000" w:themeColor="text1"/>
          <w:lang w:val="es-US"/>
        </w:rPr>
        <w:t xml:space="preserve">Se justifica, en segundo lugar, por lo que aporta. En el plano metodológico entrega una vía auditable para investigar un dominio cuyo acceso a los datos está bloqueado por secreto empresarial y por inexistencia de estadística pública: no reclama un dato que no puede obtener, sino que construye un sustituto cuya legitimidad no descansa en la intuición de quien lo genera sino en la trazabilidad de cada supuesto a su fuente en literatura </w:t>
      </w:r>
      <w:r w:rsidRPr="0026418E">
        <w:rPr>
          <w:color w:val="000000" w:themeColor="text1"/>
          <w:lang w:val="es-US"/>
        </w:rPr>
        <w:lastRenderedPageBreak/>
        <w:t>arbitrada, reutilizable por otras investigaciones que enfrenten la misma restricción. En el plano aplicado entrega un estimador de duraciones y un prototipo de recomendación de asignación evaluado frente a políticas de referencia bajo condiciones idénticas de simulación: para el responsable de un laboratorio, un instrumento para anticipar congestiones y contrastar alternativas antes de comprometer recursos; para la línea de investigación, la línea base contra la cual deberá medirse cualquier política de asignación más sofisticada.</w:t>
      </w:r>
    </w:p>
    <w:p w14:paraId="7CFDA67F" w14:textId="77777777" w:rsidR="00716D32" w:rsidRPr="0026418E" w:rsidRDefault="00000000">
      <w:pPr>
        <w:pStyle w:val="Heading1"/>
        <w:spacing w:before="340" w:after="150"/>
        <w:rPr>
          <w:color w:val="000000" w:themeColor="text1"/>
          <w:lang w:val="es-US"/>
        </w:rPr>
      </w:pPr>
      <w:r w:rsidRPr="0026418E">
        <w:rPr>
          <w:b/>
          <w:bCs/>
          <w:color w:val="000000" w:themeColor="text1"/>
          <w:sz w:val="24"/>
          <w:szCs w:val="24"/>
          <w:lang w:val="es-US"/>
        </w:rPr>
        <w:t>Bibliografía</w:t>
      </w:r>
    </w:p>
    <w:p w14:paraId="29E946FB" w14:textId="77777777" w:rsidR="00427B30" w:rsidRPr="00974DA2" w:rsidRDefault="00000000">
      <w:pPr>
        <w:spacing w:after="105" w:line="264" w:lineRule="auto"/>
        <w:ind w:left="720" w:hanging="720"/>
        <w:rPr>
          <w:color w:val="000000" w:themeColor="text1"/>
        </w:rPr>
      </w:pPr>
      <w:proofErr w:type="spellStart"/>
      <w:r w:rsidRPr="00974DA2">
        <w:rPr>
          <w:color w:val="000000" w:themeColor="text1"/>
          <w:sz w:val="19"/>
          <w:szCs w:val="19"/>
          <w:lang w:val="es-US"/>
        </w:rPr>
        <w:t>Abdulhussain</w:t>
      </w:r>
      <w:proofErr w:type="spellEnd"/>
      <w:r w:rsidRPr="00974DA2">
        <w:rPr>
          <w:color w:val="000000" w:themeColor="text1"/>
          <w:sz w:val="19"/>
          <w:szCs w:val="19"/>
          <w:lang w:val="es-US"/>
        </w:rPr>
        <w:t xml:space="preserve">, R., Muhamad, H., Fiza, T., </w:t>
      </w:r>
      <w:proofErr w:type="spellStart"/>
      <w:r w:rsidRPr="00974DA2">
        <w:rPr>
          <w:color w:val="000000" w:themeColor="text1"/>
          <w:sz w:val="19"/>
          <w:szCs w:val="19"/>
          <w:lang w:val="es-US"/>
        </w:rPr>
        <w:t>Dereiah</w:t>
      </w:r>
      <w:proofErr w:type="spellEnd"/>
      <w:r w:rsidRPr="00974DA2">
        <w:rPr>
          <w:color w:val="000000" w:themeColor="text1"/>
          <w:sz w:val="19"/>
          <w:szCs w:val="19"/>
          <w:lang w:val="es-US"/>
        </w:rPr>
        <w:t xml:space="preserve">, S., </w:t>
      </w:r>
      <w:proofErr w:type="spellStart"/>
      <w:r w:rsidRPr="00974DA2">
        <w:rPr>
          <w:color w:val="000000" w:themeColor="text1"/>
          <w:sz w:val="19"/>
          <w:szCs w:val="19"/>
          <w:lang w:val="es-US"/>
        </w:rPr>
        <w:t>Mawla</w:t>
      </w:r>
      <w:proofErr w:type="spellEnd"/>
      <w:r w:rsidRPr="00974DA2">
        <w:rPr>
          <w:color w:val="000000" w:themeColor="text1"/>
          <w:sz w:val="19"/>
          <w:szCs w:val="19"/>
          <w:lang w:val="es-US"/>
        </w:rPr>
        <w:t xml:space="preserve">, N., Patel, K., Adebisi, A., y Asare-Addo, K. (2026). </w:t>
      </w:r>
      <w:r w:rsidRPr="00974DA2">
        <w:rPr>
          <w:color w:val="000000" w:themeColor="text1"/>
          <w:sz w:val="19"/>
          <w:szCs w:val="19"/>
        </w:rPr>
        <w:t xml:space="preserve">The integration of artificial intelligence through quality by digital design for sustainable pharmaceutical manufacturing. International Journal of Pharmaceutics, 693, </w:t>
      </w:r>
      <w:proofErr w:type="spellStart"/>
      <w:r w:rsidRPr="00974DA2">
        <w:rPr>
          <w:color w:val="000000" w:themeColor="text1"/>
          <w:sz w:val="19"/>
          <w:szCs w:val="19"/>
        </w:rPr>
        <w:t>Artículo</w:t>
      </w:r>
      <w:proofErr w:type="spellEnd"/>
      <w:r w:rsidRPr="00974DA2">
        <w:rPr>
          <w:color w:val="000000" w:themeColor="text1"/>
          <w:sz w:val="19"/>
          <w:szCs w:val="19"/>
        </w:rPr>
        <w:t xml:space="preserve"> 126682. https://doi.org/10.1016/j.ijpharm.2026.126682</w:t>
      </w:r>
    </w:p>
    <w:p w14:paraId="7554D3C9" w14:textId="77777777" w:rsidR="00427B30" w:rsidRPr="0026418E" w:rsidRDefault="00000000">
      <w:pPr>
        <w:spacing w:after="105" w:line="264" w:lineRule="auto"/>
        <w:ind w:left="720" w:hanging="720"/>
        <w:rPr>
          <w:color w:val="000000" w:themeColor="text1"/>
          <w:lang w:val="es-US"/>
        </w:rPr>
      </w:pPr>
      <w:r w:rsidRPr="00974DA2">
        <w:rPr>
          <w:color w:val="000000" w:themeColor="text1"/>
          <w:sz w:val="19"/>
          <w:szCs w:val="19"/>
        </w:rPr>
        <w:t xml:space="preserve">Boyd, J. C., y Savory, J. (2001). Genetic algorithm for scheduling of laboratory personnel. </w:t>
      </w:r>
      <w:proofErr w:type="spellStart"/>
      <w:r w:rsidRPr="0026418E">
        <w:rPr>
          <w:color w:val="000000" w:themeColor="text1"/>
          <w:sz w:val="19"/>
          <w:szCs w:val="19"/>
          <w:lang w:val="es-US"/>
        </w:rPr>
        <w:t>Clinical</w:t>
      </w:r>
      <w:proofErr w:type="spellEnd"/>
      <w:r w:rsidRPr="0026418E">
        <w:rPr>
          <w:color w:val="000000" w:themeColor="text1"/>
          <w:sz w:val="19"/>
          <w:szCs w:val="19"/>
          <w:lang w:val="es-US"/>
        </w:rPr>
        <w:t xml:space="preserve"> </w:t>
      </w:r>
      <w:proofErr w:type="spellStart"/>
      <w:r w:rsidRPr="0026418E">
        <w:rPr>
          <w:color w:val="000000" w:themeColor="text1"/>
          <w:sz w:val="19"/>
          <w:szCs w:val="19"/>
          <w:lang w:val="es-US"/>
        </w:rPr>
        <w:t>Chemistry</w:t>
      </w:r>
      <w:proofErr w:type="spellEnd"/>
      <w:r w:rsidRPr="0026418E">
        <w:rPr>
          <w:color w:val="000000" w:themeColor="text1"/>
          <w:sz w:val="19"/>
          <w:szCs w:val="19"/>
          <w:lang w:val="es-US"/>
        </w:rPr>
        <w:t>, 47(1), 118–123. https://doi.org/10.1093/clinchem/47.1.118</w:t>
      </w:r>
    </w:p>
    <w:p w14:paraId="524DC698" w14:textId="77777777" w:rsidR="00427B30" w:rsidRPr="00974DA2" w:rsidRDefault="00000000">
      <w:pPr>
        <w:spacing w:after="105" w:line="264" w:lineRule="auto"/>
        <w:ind w:left="720" w:hanging="720"/>
        <w:rPr>
          <w:color w:val="000000" w:themeColor="text1"/>
        </w:rPr>
      </w:pPr>
      <w:r w:rsidRPr="0026418E">
        <w:rPr>
          <w:color w:val="000000" w:themeColor="text1"/>
          <w:sz w:val="19"/>
          <w:szCs w:val="19"/>
          <w:lang w:val="es-US"/>
        </w:rPr>
        <w:t xml:space="preserve">Centro de Investigación y Desarrollo en Tecnologías de la Información y las Comunicaciones. (2023). Índice de madurez de transformación digital de las empresas colombianas. </w:t>
      </w:r>
      <w:r>
        <w:rPr>
          <w:color w:val="000000" w:themeColor="text1"/>
          <w:sz w:val="19"/>
          <w:szCs w:val="19"/>
        </w:rPr>
        <w:t>CINTEL.</w:t>
      </w:r>
    </w:p>
    <w:p w14:paraId="0CC8A9BC" w14:textId="77777777" w:rsidR="00427B30" w:rsidRPr="00974DA2" w:rsidRDefault="00000000">
      <w:pPr>
        <w:spacing w:after="105" w:line="264" w:lineRule="auto"/>
        <w:ind w:left="720" w:hanging="720"/>
        <w:rPr>
          <w:color w:val="000000" w:themeColor="text1"/>
        </w:rPr>
      </w:pPr>
      <w:r>
        <w:rPr>
          <w:color w:val="000000" w:themeColor="text1"/>
          <w:sz w:val="19"/>
          <w:szCs w:val="19"/>
        </w:rPr>
        <w:t>Chan, K. C., Rabaev, M., y Pratama, H. (2022). Generation of synthetic manufacturing datasets for machine learning using discrete-event simulation. Production &amp; Manufacturing Research, 10(1), 337–353. https://doi.org/10.1080/21693277.2022.2086642</w:t>
      </w:r>
    </w:p>
    <w:p w14:paraId="09245616" w14:textId="77777777" w:rsidR="00427B30" w:rsidRPr="00974DA2" w:rsidRDefault="00000000">
      <w:pPr>
        <w:spacing w:after="105" w:line="264" w:lineRule="auto"/>
        <w:ind w:left="720" w:hanging="720"/>
        <w:rPr>
          <w:color w:val="000000" w:themeColor="text1"/>
        </w:rPr>
      </w:pPr>
      <w:r w:rsidRPr="00974DA2">
        <w:rPr>
          <w:color w:val="000000" w:themeColor="text1"/>
          <w:sz w:val="19"/>
          <w:szCs w:val="19"/>
        </w:rPr>
        <w:t>Coito, T., Firme, B., Martins, M. S. E., Vieira, S. M., Figueiredo, J., y Sousa, J. M. C. (2021). Intelligent sensors for real-time decision-making. Automation, 2(2), 62–82. https://doi.org/10.3390/automation2020004</w:t>
      </w:r>
    </w:p>
    <w:p w14:paraId="520733BA" w14:textId="77777777" w:rsidR="00427B30" w:rsidRPr="0026418E" w:rsidRDefault="00000000">
      <w:pPr>
        <w:spacing w:after="105" w:line="264" w:lineRule="auto"/>
        <w:ind w:left="720" w:hanging="720"/>
        <w:rPr>
          <w:color w:val="000000" w:themeColor="text1"/>
          <w:lang w:val="es-US"/>
        </w:rPr>
      </w:pPr>
      <w:r w:rsidRPr="0026418E">
        <w:rPr>
          <w:color w:val="000000" w:themeColor="text1"/>
          <w:sz w:val="19"/>
          <w:szCs w:val="19"/>
          <w:lang w:val="es-US"/>
        </w:rPr>
        <w:t>Comunidad Andina. (2000). Decisión 486 de 2000, Régimen Común sobre Propiedad Industrial. Gaceta Oficial del Acuerdo de Cartagena.</w:t>
      </w:r>
    </w:p>
    <w:p w14:paraId="79584713" w14:textId="77777777" w:rsidR="00427B30" w:rsidRPr="0026418E" w:rsidRDefault="00000000">
      <w:pPr>
        <w:spacing w:after="105" w:line="264" w:lineRule="auto"/>
        <w:ind w:left="720" w:hanging="720"/>
        <w:rPr>
          <w:color w:val="000000" w:themeColor="text1"/>
          <w:lang w:val="es-US"/>
        </w:rPr>
      </w:pPr>
      <w:r w:rsidRPr="0026418E">
        <w:rPr>
          <w:color w:val="000000" w:themeColor="text1"/>
          <w:sz w:val="19"/>
          <w:szCs w:val="19"/>
          <w:lang w:val="es-US"/>
        </w:rPr>
        <w:t>Congreso de la República de Colombia. (1996). Ley 256 de 1996, por la cual se dictan normas sobre competencia desleal. Diario Oficial.</w:t>
      </w:r>
    </w:p>
    <w:p w14:paraId="4AABA24E" w14:textId="77777777" w:rsidR="00427B30" w:rsidRPr="0026418E" w:rsidRDefault="00000000">
      <w:pPr>
        <w:spacing w:after="105" w:line="264" w:lineRule="auto"/>
        <w:ind w:left="720" w:hanging="720"/>
        <w:rPr>
          <w:color w:val="000000" w:themeColor="text1"/>
          <w:lang w:val="es-US"/>
        </w:rPr>
      </w:pPr>
      <w:r w:rsidRPr="0026418E">
        <w:rPr>
          <w:color w:val="000000" w:themeColor="text1"/>
          <w:sz w:val="19"/>
          <w:szCs w:val="19"/>
          <w:lang w:val="es-US"/>
        </w:rPr>
        <w:t>Consejo Nacional de Política Económica y Social. (2025). Documento CONPES 4170: Declaración de importancia estratégica del proyecto de inversión Fortalecimiento de la producción nacional de productos farmacéuticos que garanticen la soberanía sanitaria nacional. Departamento Nacional de Planeación.</w:t>
      </w:r>
    </w:p>
    <w:p w14:paraId="357E74A9" w14:textId="77777777" w:rsidR="00427B30" w:rsidRPr="00974DA2" w:rsidRDefault="00000000">
      <w:pPr>
        <w:spacing w:after="105" w:line="264" w:lineRule="auto"/>
        <w:ind w:left="720" w:hanging="720"/>
        <w:rPr>
          <w:color w:val="000000" w:themeColor="text1"/>
        </w:rPr>
      </w:pPr>
      <w:r w:rsidRPr="00974DA2">
        <w:rPr>
          <w:color w:val="000000" w:themeColor="text1"/>
          <w:sz w:val="19"/>
          <w:szCs w:val="19"/>
          <w:lang w:val="es-US"/>
        </w:rPr>
        <w:t xml:space="preserve">Costigliola, A., Ataíde, F. A. P., Vieira, S. M., y Sousa, J. M. C. (2017). </w:t>
      </w:r>
      <w:r w:rsidRPr="00974DA2">
        <w:rPr>
          <w:color w:val="000000" w:themeColor="text1"/>
          <w:sz w:val="19"/>
          <w:szCs w:val="19"/>
        </w:rPr>
        <w:t>Simulation model of a quality control laboratory in pharmaceutical industry. IFAC-</w:t>
      </w:r>
      <w:proofErr w:type="spellStart"/>
      <w:r w:rsidRPr="00974DA2">
        <w:rPr>
          <w:color w:val="000000" w:themeColor="text1"/>
          <w:sz w:val="19"/>
          <w:szCs w:val="19"/>
        </w:rPr>
        <w:t>PapersOnLine</w:t>
      </w:r>
      <w:proofErr w:type="spellEnd"/>
      <w:r w:rsidRPr="00974DA2">
        <w:rPr>
          <w:color w:val="000000" w:themeColor="text1"/>
          <w:sz w:val="19"/>
          <w:szCs w:val="19"/>
        </w:rPr>
        <w:t>, 50(1), 9014–9019. https://doi.org/10.1016/j.ifacol.2017.08.1582</w:t>
      </w:r>
    </w:p>
    <w:p w14:paraId="4F4E4791" w14:textId="77777777" w:rsidR="00427B30" w:rsidRPr="0026418E" w:rsidRDefault="00000000">
      <w:pPr>
        <w:spacing w:after="105" w:line="264" w:lineRule="auto"/>
        <w:ind w:left="720" w:hanging="720"/>
        <w:rPr>
          <w:b/>
          <w:bCs/>
          <w:color w:val="000000" w:themeColor="text1"/>
          <w:lang w:val="es-US"/>
        </w:rPr>
      </w:pPr>
      <w:r w:rsidRPr="001E2441">
        <w:rPr>
          <w:b/>
          <w:bCs/>
          <w:color w:val="000000" w:themeColor="text1"/>
          <w:sz w:val="19"/>
          <w:szCs w:val="19"/>
        </w:rPr>
        <w:t xml:space="preserve">Danzinger, P., Geibinger, T., </w:t>
      </w:r>
      <w:proofErr w:type="spellStart"/>
      <w:r w:rsidRPr="001E2441">
        <w:rPr>
          <w:b/>
          <w:bCs/>
          <w:color w:val="000000" w:themeColor="text1"/>
          <w:sz w:val="19"/>
          <w:szCs w:val="19"/>
        </w:rPr>
        <w:t>Mischek</w:t>
      </w:r>
      <w:proofErr w:type="spellEnd"/>
      <w:r w:rsidRPr="001E2441">
        <w:rPr>
          <w:b/>
          <w:bCs/>
          <w:color w:val="000000" w:themeColor="text1"/>
          <w:sz w:val="19"/>
          <w:szCs w:val="19"/>
        </w:rPr>
        <w:t xml:space="preserve">, F., y Musliu, N. (2025). Modeling and solving the generalized test laboratory scheduling problem. En G. Tack (Ed.), Integration of constraint programming, artificial intelligence, and operations research (Lecture Notes in Computer Science, Vol. 15762, pp. 188–204). </w:t>
      </w:r>
      <w:r w:rsidRPr="0026418E">
        <w:rPr>
          <w:b/>
          <w:bCs/>
          <w:color w:val="000000" w:themeColor="text1"/>
          <w:sz w:val="19"/>
          <w:szCs w:val="19"/>
          <w:lang w:val="es-US"/>
        </w:rPr>
        <w:t>Springer. https://doi.org/10.1007/978-3-031-95973-8_12</w:t>
      </w:r>
    </w:p>
    <w:p w14:paraId="091C6D28" w14:textId="77777777" w:rsidR="00427B30" w:rsidRPr="001E2441" w:rsidRDefault="00000000">
      <w:pPr>
        <w:spacing w:after="105" w:line="264" w:lineRule="auto"/>
        <w:ind w:left="720" w:hanging="720"/>
        <w:rPr>
          <w:b/>
          <w:bCs/>
          <w:color w:val="000000" w:themeColor="text1"/>
        </w:rPr>
      </w:pPr>
      <w:r w:rsidRPr="0026418E">
        <w:rPr>
          <w:b/>
          <w:bCs/>
          <w:color w:val="000000" w:themeColor="text1"/>
          <w:sz w:val="19"/>
          <w:szCs w:val="19"/>
          <w:lang w:val="es-US"/>
        </w:rPr>
        <w:t xml:space="preserve">Departamento Administrativo Nacional de Estadística. (2025). Encuesta Anual Manufacturera 2024. </w:t>
      </w:r>
      <w:r>
        <w:rPr>
          <w:b/>
          <w:bCs/>
          <w:color w:val="000000" w:themeColor="text1"/>
          <w:sz w:val="19"/>
          <w:szCs w:val="19"/>
        </w:rPr>
        <w:t>DANE.</w:t>
      </w:r>
    </w:p>
    <w:p w14:paraId="22944517" w14:textId="77777777" w:rsidR="00427B30" w:rsidRPr="00974DA2" w:rsidRDefault="00000000">
      <w:pPr>
        <w:spacing w:after="105" w:line="264" w:lineRule="auto"/>
        <w:ind w:left="720" w:hanging="720"/>
        <w:rPr>
          <w:color w:val="000000" w:themeColor="text1"/>
          <w:lang w:val="es-US"/>
        </w:rPr>
      </w:pPr>
      <w:r w:rsidRPr="00974DA2">
        <w:rPr>
          <w:color w:val="000000" w:themeColor="text1"/>
          <w:sz w:val="19"/>
          <w:szCs w:val="19"/>
        </w:rPr>
        <w:t xml:space="preserve">Dong, Y., Yang, T., Xing, Y., Du, J., y Meng, Q. (2023). Data-driven modeling methods and techniques for pharmaceutical processes. </w:t>
      </w:r>
      <w:proofErr w:type="spellStart"/>
      <w:r w:rsidRPr="00974DA2">
        <w:rPr>
          <w:color w:val="000000" w:themeColor="text1"/>
          <w:sz w:val="19"/>
          <w:szCs w:val="19"/>
          <w:lang w:val="es-US"/>
        </w:rPr>
        <w:t>Processes</w:t>
      </w:r>
      <w:proofErr w:type="spellEnd"/>
      <w:r w:rsidRPr="00974DA2">
        <w:rPr>
          <w:color w:val="000000" w:themeColor="text1"/>
          <w:sz w:val="19"/>
          <w:szCs w:val="19"/>
          <w:lang w:val="es-US"/>
        </w:rPr>
        <w:t>, 11(7), Artículo 2096. https://doi.org/10.3390/pr11072096</w:t>
      </w:r>
    </w:p>
    <w:p w14:paraId="2D2B479E" w14:textId="77777777" w:rsidR="00427B30" w:rsidRPr="001E2441" w:rsidRDefault="00000000">
      <w:pPr>
        <w:spacing w:after="105" w:line="264" w:lineRule="auto"/>
        <w:ind w:left="720" w:hanging="720"/>
        <w:rPr>
          <w:b/>
          <w:bCs/>
          <w:color w:val="000000" w:themeColor="text1"/>
        </w:rPr>
      </w:pPr>
      <w:r w:rsidRPr="001E2441">
        <w:rPr>
          <w:b/>
          <w:bCs/>
          <w:color w:val="000000" w:themeColor="text1"/>
          <w:sz w:val="19"/>
          <w:szCs w:val="19"/>
          <w:lang w:val="es-US"/>
        </w:rPr>
        <w:t xml:space="preserve">Dudnikov, E. E., Sidorenko, A. M., y </w:t>
      </w:r>
      <w:proofErr w:type="spellStart"/>
      <w:r w:rsidRPr="001E2441">
        <w:rPr>
          <w:b/>
          <w:bCs/>
          <w:color w:val="000000" w:themeColor="text1"/>
          <w:sz w:val="19"/>
          <w:szCs w:val="19"/>
          <w:lang w:val="es-US"/>
        </w:rPr>
        <w:t>Khobotov</w:t>
      </w:r>
      <w:proofErr w:type="spellEnd"/>
      <w:r w:rsidRPr="001E2441">
        <w:rPr>
          <w:b/>
          <w:bCs/>
          <w:color w:val="000000" w:themeColor="text1"/>
          <w:sz w:val="19"/>
          <w:szCs w:val="19"/>
          <w:lang w:val="es-US"/>
        </w:rPr>
        <w:t xml:space="preserve">, E. N. (2012). </w:t>
      </w:r>
      <w:r w:rsidRPr="001E2441">
        <w:rPr>
          <w:b/>
          <w:bCs/>
          <w:color w:val="000000" w:themeColor="text1"/>
          <w:sz w:val="19"/>
          <w:szCs w:val="19"/>
        </w:rPr>
        <w:t>Laboratory analysis planning system for industrial enterprises. Automation and Remote Control, 73(11), 1910–1915. https://doi.org/10.1134/S0005117912110124</w:t>
      </w:r>
    </w:p>
    <w:p w14:paraId="70673E14" w14:textId="77777777" w:rsidR="00427B30" w:rsidRPr="001E2441" w:rsidRDefault="00000000">
      <w:pPr>
        <w:spacing w:after="105" w:line="264" w:lineRule="auto"/>
        <w:ind w:left="720" w:hanging="720"/>
        <w:rPr>
          <w:b/>
          <w:bCs/>
          <w:color w:val="000000" w:themeColor="text1"/>
        </w:rPr>
      </w:pPr>
      <w:proofErr w:type="spellStart"/>
      <w:r w:rsidRPr="0026418E">
        <w:rPr>
          <w:b/>
          <w:bCs/>
          <w:color w:val="000000" w:themeColor="text1"/>
          <w:sz w:val="19"/>
          <w:szCs w:val="19"/>
        </w:rPr>
        <w:t>Elbasheer</w:t>
      </w:r>
      <w:proofErr w:type="spellEnd"/>
      <w:r w:rsidRPr="0026418E">
        <w:rPr>
          <w:b/>
          <w:bCs/>
          <w:color w:val="000000" w:themeColor="text1"/>
          <w:sz w:val="19"/>
          <w:szCs w:val="19"/>
        </w:rPr>
        <w:t>, M., Longo, F., Madden, M. G., Padovano, A., y Ullah, I. (2025). Towards a digital twin for production planning: Combining discrete event simulation and ML for flexible job shops. Procedia Computer Science, 253, 3078–3087. https://doi.org/10.1016/j.procs.2025.02.032</w:t>
      </w:r>
    </w:p>
    <w:p w14:paraId="43C5829F" w14:textId="77777777" w:rsidR="00427B30" w:rsidRPr="00974DA2" w:rsidRDefault="00000000">
      <w:pPr>
        <w:spacing w:after="105" w:line="264" w:lineRule="auto"/>
        <w:ind w:left="720" w:hanging="720"/>
        <w:rPr>
          <w:color w:val="000000" w:themeColor="text1"/>
        </w:rPr>
      </w:pPr>
      <w:r w:rsidRPr="00974DA2">
        <w:rPr>
          <w:color w:val="000000" w:themeColor="text1"/>
          <w:sz w:val="19"/>
          <w:szCs w:val="19"/>
        </w:rPr>
        <w:t xml:space="preserve">Esteban, C., Hyland, S. L., y </w:t>
      </w:r>
      <w:proofErr w:type="spellStart"/>
      <w:r w:rsidRPr="00974DA2">
        <w:rPr>
          <w:color w:val="000000" w:themeColor="text1"/>
          <w:sz w:val="19"/>
          <w:szCs w:val="19"/>
        </w:rPr>
        <w:t>Rätsch</w:t>
      </w:r>
      <w:proofErr w:type="spellEnd"/>
      <w:r w:rsidRPr="00974DA2">
        <w:rPr>
          <w:color w:val="000000" w:themeColor="text1"/>
          <w:sz w:val="19"/>
          <w:szCs w:val="19"/>
        </w:rPr>
        <w:t xml:space="preserve">, G. (2017). Real-valued (medical) time series generation with recurrent conditional GANs (arXiv:1706.02633). </w:t>
      </w:r>
      <w:proofErr w:type="spellStart"/>
      <w:r w:rsidRPr="00974DA2">
        <w:rPr>
          <w:color w:val="000000" w:themeColor="text1"/>
          <w:sz w:val="19"/>
          <w:szCs w:val="19"/>
        </w:rPr>
        <w:t>arXiv</w:t>
      </w:r>
      <w:proofErr w:type="spellEnd"/>
      <w:r w:rsidRPr="00974DA2">
        <w:rPr>
          <w:color w:val="000000" w:themeColor="text1"/>
          <w:sz w:val="19"/>
          <w:szCs w:val="19"/>
        </w:rPr>
        <w:t>. https://arxiv.org/abs/1706.02633</w:t>
      </w:r>
    </w:p>
    <w:p w14:paraId="0B30E342" w14:textId="77777777" w:rsidR="00427B30" w:rsidRPr="00974DA2" w:rsidRDefault="00000000">
      <w:pPr>
        <w:spacing w:after="105" w:line="264" w:lineRule="auto"/>
        <w:ind w:left="720" w:hanging="720"/>
        <w:rPr>
          <w:color w:val="000000" w:themeColor="text1"/>
        </w:rPr>
      </w:pPr>
      <w:r w:rsidRPr="00974DA2">
        <w:rPr>
          <w:color w:val="000000" w:themeColor="text1"/>
          <w:sz w:val="19"/>
          <w:szCs w:val="19"/>
          <w:lang w:val="es-US"/>
        </w:rPr>
        <w:t xml:space="preserve">Figueira, A., y Vaz, B. (2022). </w:t>
      </w:r>
      <w:r w:rsidRPr="00974DA2">
        <w:rPr>
          <w:color w:val="000000" w:themeColor="text1"/>
          <w:sz w:val="19"/>
          <w:szCs w:val="19"/>
        </w:rPr>
        <w:t xml:space="preserve">Survey on synthetic data generation, evaluation methods and GANs. Mathematics, 10(15), </w:t>
      </w:r>
      <w:proofErr w:type="spellStart"/>
      <w:r w:rsidRPr="00974DA2">
        <w:rPr>
          <w:color w:val="000000" w:themeColor="text1"/>
          <w:sz w:val="19"/>
          <w:szCs w:val="19"/>
        </w:rPr>
        <w:t>Artículo</w:t>
      </w:r>
      <w:proofErr w:type="spellEnd"/>
      <w:r w:rsidRPr="00974DA2">
        <w:rPr>
          <w:color w:val="000000" w:themeColor="text1"/>
          <w:sz w:val="19"/>
          <w:szCs w:val="19"/>
        </w:rPr>
        <w:t xml:space="preserve"> 2733. https://doi.org/10.3390/math10152733</w:t>
      </w:r>
    </w:p>
    <w:p w14:paraId="6D8B181E" w14:textId="77777777" w:rsidR="00427B30" w:rsidRPr="00974DA2" w:rsidRDefault="00000000">
      <w:pPr>
        <w:spacing w:after="105" w:line="264" w:lineRule="auto"/>
        <w:ind w:left="720" w:hanging="720"/>
        <w:rPr>
          <w:color w:val="000000" w:themeColor="text1"/>
        </w:rPr>
      </w:pPr>
      <w:r w:rsidRPr="00974DA2">
        <w:rPr>
          <w:color w:val="000000" w:themeColor="text1"/>
          <w:sz w:val="19"/>
          <w:szCs w:val="19"/>
        </w:rPr>
        <w:lastRenderedPageBreak/>
        <w:t xml:space="preserve">Goncalves, A., Ray, P., Soper, B., Stevens, J., Coyle, L., y Sales, A. P. (2020). Generation and evaluation of synthetic patient data. BMC Medical Research Methodology, 20, </w:t>
      </w:r>
      <w:proofErr w:type="spellStart"/>
      <w:r w:rsidRPr="00974DA2">
        <w:rPr>
          <w:color w:val="000000" w:themeColor="text1"/>
          <w:sz w:val="19"/>
          <w:szCs w:val="19"/>
        </w:rPr>
        <w:t>Artículo</w:t>
      </w:r>
      <w:proofErr w:type="spellEnd"/>
      <w:r w:rsidRPr="00974DA2">
        <w:rPr>
          <w:color w:val="000000" w:themeColor="text1"/>
          <w:sz w:val="19"/>
          <w:szCs w:val="19"/>
        </w:rPr>
        <w:t xml:space="preserve"> 108. https://doi.org/10.1186/s12874-020-00977-1</w:t>
      </w:r>
    </w:p>
    <w:p w14:paraId="0C291922" w14:textId="77777777" w:rsidR="00427B30" w:rsidRPr="001E2441" w:rsidRDefault="00000000">
      <w:pPr>
        <w:spacing w:after="105" w:line="264" w:lineRule="auto"/>
        <w:ind w:left="720" w:hanging="720"/>
        <w:rPr>
          <w:b/>
          <w:bCs/>
          <w:color w:val="000000" w:themeColor="text1"/>
        </w:rPr>
      </w:pPr>
      <w:r w:rsidRPr="001E2441">
        <w:rPr>
          <w:b/>
          <w:bCs/>
          <w:color w:val="000000" w:themeColor="text1"/>
          <w:sz w:val="19"/>
          <w:szCs w:val="19"/>
          <w:lang w:val="es-US"/>
        </w:rPr>
        <w:t xml:space="preserve">Hassi, H., El </w:t>
      </w:r>
      <w:proofErr w:type="spellStart"/>
      <w:r w:rsidRPr="001E2441">
        <w:rPr>
          <w:b/>
          <w:bCs/>
          <w:color w:val="000000" w:themeColor="text1"/>
          <w:sz w:val="19"/>
          <w:szCs w:val="19"/>
          <w:lang w:val="es-US"/>
        </w:rPr>
        <w:t>Mkhalet</w:t>
      </w:r>
      <w:proofErr w:type="spellEnd"/>
      <w:r w:rsidRPr="001E2441">
        <w:rPr>
          <w:b/>
          <w:bCs/>
          <w:color w:val="000000" w:themeColor="text1"/>
          <w:sz w:val="19"/>
          <w:szCs w:val="19"/>
          <w:lang w:val="es-US"/>
        </w:rPr>
        <w:t xml:space="preserve">, M., y </w:t>
      </w:r>
      <w:proofErr w:type="spellStart"/>
      <w:r w:rsidRPr="001E2441">
        <w:rPr>
          <w:b/>
          <w:bCs/>
          <w:color w:val="000000" w:themeColor="text1"/>
          <w:sz w:val="19"/>
          <w:szCs w:val="19"/>
          <w:lang w:val="es-US"/>
        </w:rPr>
        <w:t>Lamdouar</w:t>
      </w:r>
      <w:proofErr w:type="spellEnd"/>
      <w:r w:rsidRPr="001E2441">
        <w:rPr>
          <w:b/>
          <w:bCs/>
          <w:color w:val="000000" w:themeColor="text1"/>
          <w:sz w:val="19"/>
          <w:szCs w:val="19"/>
          <w:lang w:val="es-US"/>
        </w:rPr>
        <w:t xml:space="preserve">, N. (2025). </w:t>
      </w:r>
      <w:r w:rsidRPr="001E2441">
        <w:rPr>
          <w:b/>
          <w:bCs/>
          <w:color w:val="000000" w:themeColor="text1"/>
          <w:sz w:val="19"/>
          <w:szCs w:val="19"/>
        </w:rPr>
        <w:t>Scheduling optimization and risk analysis using Monte Carlo simulation for a construction project in Morocco. International Journal of Engineering Trends and Technology, 73(6), 336–349. https://doi.org/10.14445/22315381/IJETT-V73I6P128</w:t>
      </w:r>
    </w:p>
    <w:p w14:paraId="1FB5E5ED" w14:textId="77777777" w:rsidR="00427B30" w:rsidRPr="0026418E" w:rsidRDefault="00000000">
      <w:pPr>
        <w:spacing w:after="105" w:line="264" w:lineRule="auto"/>
        <w:ind w:left="720" w:hanging="720"/>
        <w:rPr>
          <w:color w:val="000000" w:themeColor="text1"/>
          <w:lang w:val="es-US"/>
        </w:rPr>
      </w:pPr>
      <w:proofErr w:type="spellStart"/>
      <w:r w:rsidRPr="00974DA2">
        <w:rPr>
          <w:color w:val="000000" w:themeColor="text1"/>
          <w:sz w:val="19"/>
          <w:szCs w:val="19"/>
          <w:lang w:val="es-US"/>
        </w:rPr>
        <w:t>Hernandez</w:t>
      </w:r>
      <w:proofErr w:type="spellEnd"/>
      <w:r w:rsidRPr="00974DA2">
        <w:rPr>
          <w:color w:val="000000" w:themeColor="text1"/>
          <w:sz w:val="19"/>
          <w:szCs w:val="19"/>
          <w:lang w:val="es-US"/>
        </w:rPr>
        <w:t xml:space="preserve">, M., Osorio-Marulanda, P. A., Catalina, M., Loinaz, L., </w:t>
      </w:r>
      <w:proofErr w:type="spellStart"/>
      <w:r w:rsidRPr="00974DA2">
        <w:rPr>
          <w:color w:val="000000" w:themeColor="text1"/>
          <w:sz w:val="19"/>
          <w:szCs w:val="19"/>
          <w:lang w:val="es-US"/>
        </w:rPr>
        <w:t>Epelde</w:t>
      </w:r>
      <w:proofErr w:type="spellEnd"/>
      <w:r w:rsidRPr="00974DA2">
        <w:rPr>
          <w:color w:val="000000" w:themeColor="text1"/>
          <w:sz w:val="19"/>
          <w:szCs w:val="19"/>
          <w:lang w:val="es-US"/>
        </w:rPr>
        <w:t xml:space="preserve">, G., y </w:t>
      </w:r>
      <w:proofErr w:type="spellStart"/>
      <w:r w:rsidRPr="00974DA2">
        <w:rPr>
          <w:color w:val="000000" w:themeColor="text1"/>
          <w:sz w:val="19"/>
          <w:szCs w:val="19"/>
          <w:lang w:val="es-US"/>
        </w:rPr>
        <w:t>Aginako</w:t>
      </w:r>
      <w:proofErr w:type="spellEnd"/>
      <w:r w:rsidRPr="00974DA2">
        <w:rPr>
          <w:color w:val="000000" w:themeColor="text1"/>
          <w:sz w:val="19"/>
          <w:szCs w:val="19"/>
          <w:lang w:val="es-US"/>
        </w:rPr>
        <w:t xml:space="preserve">, N. (2025). </w:t>
      </w:r>
      <w:r w:rsidRPr="00974DA2">
        <w:rPr>
          <w:color w:val="000000" w:themeColor="text1"/>
          <w:sz w:val="19"/>
          <w:szCs w:val="19"/>
        </w:rPr>
        <w:t xml:space="preserve">Comprehensive evaluation framework for synthetic tabular data in health: Fidelity, utility and privacy analysis of generative models with and without privacy guarantees. </w:t>
      </w:r>
      <w:proofErr w:type="spellStart"/>
      <w:r w:rsidRPr="0026418E">
        <w:rPr>
          <w:color w:val="000000" w:themeColor="text1"/>
          <w:sz w:val="19"/>
          <w:szCs w:val="19"/>
          <w:lang w:val="es-US"/>
        </w:rPr>
        <w:t>Frontiers</w:t>
      </w:r>
      <w:proofErr w:type="spellEnd"/>
      <w:r w:rsidRPr="0026418E">
        <w:rPr>
          <w:color w:val="000000" w:themeColor="text1"/>
          <w:sz w:val="19"/>
          <w:szCs w:val="19"/>
          <w:lang w:val="es-US"/>
        </w:rPr>
        <w:t xml:space="preserve"> in Digital Health, 7, Artículo 1576290. https://doi.org/10.3389/fdgth.2025.1576290</w:t>
      </w:r>
    </w:p>
    <w:p w14:paraId="20426DE5" w14:textId="77777777" w:rsidR="00427B30" w:rsidRPr="00974DA2" w:rsidRDefault="00000000">
      <w:pPr>
        <w:spacing w:after="105" w:line="264" w:lineRule="auto"/>
        <w:ind w:left="720" w:hanging="720"/>
        <w:rPr>
          <w:color w:val="000000" w:themeColor="text1"/>
        </w:rPr>
      </w:pPr>
      <w:r>
        <w:rPr>
          <w:color w:val="000000" w:themeColor="text1"/>
          <w:sz w:val="19"/>
          <w:szCs w:val="19"/>
          <w:lang w:val="es-US"/>
        </w:rPr>
        <w:t xml:space="preserve">Instituto Nacional de Vigilancia de Medicamentos y Alimentos. (2025). Resolución 2025010547 de 2025, por la cual se adopta un plan de contingencia para el trámite de registros sanitarios de medicamentos. </w:t>
      </w:r>
      <w:r w:rsidRPr="0026418E">
        <w:rPr>
          <w:color w:val="000000" w:themeColor="text1"/>
          <w:sz w:val="19"/>
          <w:szCs w:val="19"/>
        </w:rPr>
        <w:t>INVIMA.</w:t>
      </w:r>
    </w:p>
    <w:p w14:paraId="2F7EB7E5" w14:textId="77777777" w:rsidR="00427B30" w:rsidRPr="00974DA2" w:rsidRDefault="00000000">
      <w:pPr>
        <w:spacing w:after="105" w:line="264" w:lineRule="auto"/>
        <w:ind w:left="720" w:hanging="720"/>
        <w:rPr>
          <w:color w:val="000000" w:themeColor="text1"/>
        </w:rPr>
      </w:pPr>
      <w:r w:rsidRPr="00974DA2">
        <w:rPr>
          <w:color w:val="000000" w:themeColor="text1"/>
          <w:sz w:val="19"/>
          <w:szCs w:val="19"/>
        </w:rPr>
        <w:t xml:space="preserve">Jordon, J., </w:t>
      </w:r>
      <w:proofErr w:type="spellStart"/>
      <w:r w:rsidRPr="00974DA2">
        <w:rPr>
          <w:color w:val="000000" w:themeColor="text1"/>
          <w:sz w:val="19"/>
          <w:szCs w:val="19"/>
        </w:rPr>
        <w:t>Szpruch</w:t>
      </w:r>
      <w:proofErr w:type="spellEnd"/>
      <w:r w:rsidRPr="00974DA2">
        <w:rPr>
          <w:color w:val="000000" w:themeColor="text1"/>
          <w:sz w:val="19"/>
          <w:szCs w:val="19"/>
        </w:rPr>
        <w:t xml:space="preserve">, L., </w:t>
      </w:r>
      <w:proofErr w:type="spellStart"/>
      <w:r w:rsidRPr="00974DA2">
        <w:rPr>
          <w:color w:val="000000" w:themeColor="text1"/>
          <w:sz w:val="19"/>
          <w:szCs w:val="19"/>
        </w:rPr>
        <w:t>Houssiau</w:t>
      </w:r>
      <w:proofErr w:type="spellEnd"/>
      <w:r w:rsidRPr="00974DA2">
        <w:rPr>
          <w:color w:val="000000" w:themeColor="text1"/>
          <w:sz w:val="19"/>
          <w:szCs w:val="19"/>
        </w:rPr>
        <w:t xml:space="preserve">, F., Bottarelli, M., Cherubin, G., Maple, C., Cohen, S. N., y Weller, A. (2022). Synthetic data — What, why and how? (arXiv:2205.03257). </w:t>
      </w:r>
      <w:proofErr w:type="spellStart"/>
      <w:r w:rsidRPr="00974DA2">
        <w:rPr>
          <w:color w:val="000000" w:themeColor="text1"/>
          <w:sz w:val="19"/>
          <w:szCs w:val="19"/>
        </w:rPr>
        <w:t>arXiv</w:t>
      </w:r>
      <w:proofErr w:type="spellEnd"/>
      <w:r w:rsidRPr="00974DA2">
        <w:rPr>
          <w:color w:val="000000" w:themeColor="text1"/>
          <w:sz w:val="19"/>
          <w:szCs w:val="19"/>
        </w:rPr>
        <w:t>. https://arxiv.org/abs/2205.03257</w:t>
      </w:r>
    </w:p>
    <w:p w14:paraId="2B618D88" w14:textId="77777777" w:rsidR="00427B30" w:rsidRPr="0053697E" w:rsidRDefault="00000000">
      <w:pPr>
        <w:spacing w:after="105" w:line="264" w:lineRule="auto"/>
        <w:ind w:left="720" w:hanging="720"/>
        <w:rPr>
          <w:b/>
          <w:bCs/>
          <w:color w:val="000000" w:themeColor="text1"/>
        </w:rPr>
      </w:pPr>
      <w:r w:rsidRPr="0053697E">
        <w:rPr>
          <w:b/>
          <w:bCs/>
          <w:color w:val="000000" w:themeColor="text1"/>
          <w:sz w:val="19"/>
          <w:szCs w:val="19"/>
          <w:lang w:val="es-US"/>
        </w:rPr>
        <w:t xml:space="preserve">Juran, J. M., y Godfrey, A. B. (Eds.). </w:t>
      </w:r>
      <w:r w:rsidRPr="0053697E">
        <w:rPr>
          <w:b/>
          <w:bCs/>
          <w:color w:val="000000" w:themeColor="text1"/>
          <w:sz w:val="19"/>
          <w:szCs w:val="19"/>
        </w:rPr>
        <w:t>(1999). Juran’s quality handbook (5.ª ed.). McGraw-Hill.</w:t>
      </w:r>
    </w:p>
    <w:p w14:paraId="587F5CDE" w14:textId="77777777" w:rsidR="00427B30" w:rsidRPr="0053697E" w:rsidRDefault="00000000">
      <w:pPr>
        <w:spacing w:after="105" w:line="264" w:lineRule="auto"/>
        <w:ind w:left="720" w:hanging="720"/>
        <w:rPr>
          <w:b/>
          <w:bCs/>
          <w:color w:val="000000" w:themeColor="text1"/>
        </w:rPr>
      </w:pPr>
      <w:r w:rsidRPr="0053697E">
        <w:rPr>
          <w:b/>
          <w:bCs/>
          <w:color w:val="000000" w:themeColor="text1"/>
          <w:sz w:val="19"/>
          <w:szCs w:val="19"/>
        </w:rPr>
        <w:t xml:space="preserve">Khadivi, M., Charter, T., Yaghoubi, M., </w:t>
      </w:r>
      <w:proofErr w:type="spellStart"/>
      <w:r w:rsidRPr="0053697E">
        <w:rPr>
          <w:b/>
          <w:bCs/>
          <w:color w:val="000000" w:themeColor="text1"/>
          <w:sz w:val="19"/>
          <w:szCs w:val="19"/>
        </w:rPr>
        <w:t>Jalayer</w:t>
      </w:r>
      <w:proofErr w:type="spellEnd"/>
      <w:r w:rsidRPr="0053697E">
        <w:rPr>
          <w:b/>
          <w:bCs/>
          <w:color w:val="000000" w:themeColor="text1"/>
          <w:sz w:val="19"/>
          <w:szCs w:val="19"/>
        </w:rPr>
        <w:t xml:space="preserve">, M., Ahang, M., </w:t>
      </w:r>
      <w:proofErr w:type="spellStart"/>
      <w:r w:rsidRPr="0053697E">
        <w:rPr>
          <w:b/>
          <w:bCs/>
          <w:color w:val="000000" w:themeColor="text1"/>
          <w:sz w:val="19"/>
          <w:szCs w:val="19"/>
        </w:rPr>
        <w:t>Shojaeinasab</w:t>
      </w:r>
      <w:proofErr w:type="spellEnd"/>
      <w:r w:rsidRPr="0053697E">
        <w:rPr>
          <w:b/>
          <w:bCs/>
          <w:color w:val="000000" w:themeColor="text1"/>
          <w:sz w:val="19"/>
          <w:szCs w:val="19"/>
        </w:rPr>
        <w:t xml:space="preserve">, A., y </w:t>
      </w:r>
      <w:proofErr w:type="spellStart"/>
      <w:r w:rsidRPr="0053697E">
        <w:rPr>
          <w:b/>
          <w:bCs/>
          <w:color w:val="000000" w:themeColor="text1"/>
          <w:sz w:val="19"/>
          <w:szCs w:val="19"/>
        </w:rPr>
        <w:t>Najjaran</w:t>
      </w:r>
      <w:proofErr w:type="spellEnd"/>
      <w:r w:rsidRPr="0053697E">
        <w:rPr>
          <w:b/>
          <w:bCs/>
          <w:color w:val="000000" w:themeColor="text1"/>
          <w:sz w:val="19"/>
          <w:szCs w:val="19"/>
        </w:rPr>
        <w:t xml:space="preserve">, H. (2025). Deep reinforcement learning for machine scheduling: Methodology, the state-of-the-art, and future directions. Computers &amp; Industrial Engineering, 200, </w:t>
      </w:r>
      <w:proofErr w:type="spellStart"/>
      <w:r w:rsidRPr="0053697E">
        <w:rPr>
          <w:b/>
          <w:bCs/>
          <w:color w:val="000000" w:themeColor="text1"/>
          <w:sz w:val="19"/>
          <w:szCs w:val="19"/>
        </w:rPr>
        <w:t>Artículo</w:t>
      </w:r>
      <w:proofErr w:type="spellEnd"/>
      <w:r w:rsidRPr="0053697E">
        <w:rPr>
          <w:b/>
          <w:bCs/>
          <w:color w:val="000000" w:themeColor="text1"/>
          <w:sz w:val="19"/>
          <w:szCs w:val="19"/>
        </w:rPr>
        <w:t xml:space="preserve"> 110856. https://doi.org/10.1016/j.cie.2025.110856</w:t>
      </w:r>
    </w:p>
    <w:p w14:paraId="291A8EE9" w14:textId="77777777" w:rsidR="00427B30" w:rsidRPr="0053697E" w:rsidRDefault="00000000">
      <w:pPr>
        <w:spacing w:after="105" w:line="264" w:lineRule="auto"/>
        <w:ind w:left="720" w:hanging="720"/>
        <w:rPr>
          <w:b/>
          <w:bCs/>
          <w:color w:val="000000" w:themeColor="text1"/>
        </w:rPr>
      </w:pPr>
      <w:proofErr w:type="spellStart"/>
      <w:r w:rsidRPr="0053697E">
        <w:rPr>
          <w:b/>
          <w:bCs/>
          <w:color w:val="000000" w:themeColor="text1"/>
          <w:sz w:val="19"/>
          <w:szCs w:val="19"/>
        </w:rPr>
        <w:t>Klaessens</w:t>
      </w:r>
      <w:proofErr w:type="spellEnd"/>
      <w:r w:rsidRPr="0053697E">
        <w:rPr>
          <w:b/>
          <w:bCs/>
          <w:color w:val="000000" w:themeColor="text1"/>
          <w:sz w:val="19"/>
          <w:szCs w:val="19"/>
        </w:rPr>
        <w:t xml:space="preserve">, J., Saris, T., </w:t>
      </w:r>
      <w:proofErr w:type="spellStart"/>
      <w:r w:rsidRPr="0053697E">
        <w:rPr>
          <w:b/>
          <w:bCs/>
          <w:color w:val="000000" w:themeColor="text1"/>
          <w:sz w:val="19"/>
          <w:szCs w:val="19"/>
        </w:rPr>
        <w:t>Vandeginste</w:t>
      </w:r>
      <w:proofErr w:type="spellEnd"/>
      <w:r w:rsidRPr="0053697E">
        <w:rPr>
          <w:b/>
          <w:bCs/>
          <w:color w:val="000000" w:themeColor="text1"/>
          <w:sz w:val="19"/>
          <w:szCs w:val="19"/>
        </w:rPr>
        <w:t xml:space="preserve">, B. G. M., y </w:t>
      </w:r>
      <w:proofErr w:type="spellStart"/>
      <w:r w:rsidRPr="0053697E">
        <w:rPr>
          <w:b/>
          <w:bCs/>
          <w:color w:val="000000" w:themeColor="text1"/>
          <w:sz w:val="19"/>
          <w:szCs w:val="19"/>
        </w:rPr>
        <w:t>Kateman</w:t>
      </w:r>
      <w:proofErr w:type="spellEnd"/>
      <w:r w:rsidRPr="0053697E">
        <w:rPr>
          <w:b/>
          <w:bCs/>
          <w:color w:val="000000" w:themeColor="text1"/>
          <w:sz w:val="19"/>
          <w:szCs w:val="19"/>
        </w:rPr>
        <w:t>, G. (1988). Expert system for knowledge-based modelling of analytical laboratories as a tool for laboratory management. Journal of Chemometrics, 2(1), 49–65. https://doi.org/10.1002/cem.1180020107</w:t>
      </w:r>
    </w:p>
    <w:p w14:paraId="7AE94773" w14:textId="77777777" w:rsidR="00427B30" w:rsidRPr="00974DA2" w:rsidRDefault="00000000">
      <w:pPr>
        <w:spacing w:after="105" w:line="264" w:lineRule="auto"/>
        <w:ind w:left="720" w:hanging="720"/>
        <w:rPr>
          <w:color w:val="000000" w:themeColor="text1"/>
          <w:lang w:val="es-US"/>
        </w:rPr>
      </w:pPr>
      <w:proofErr w:type="spellStart"/>
      <w:r w:rsidRPr="00974DA2">
        <w:rPr>
          <w:color w:val="000000" w:themeColor="text1"/>
          <w:sz w:val="19"/>
          <w:szCs w:val="19"/>
        </w:rPr>
        <w:t>Kodumuru</w:t>
      </w:r>
      <w:proofErr w:type="spellEnd"/>
      <w:r w:rsidRPr="00974DA2">
        <w:rPr>
          <w:color w:val="000000" w:themeColor="text1"/>
          <w:sz w:val="19"/>
          <w:szCs w:val="19"/>
        </w:rPr>
        <w:t xml:space="preserve">, R., Sarkar, S., </w:t>
      </w:r>
      <w:proofErr w:type="spellStart"/>
      <w:r w:rsidRPr="00974DA2">
        <w:rPr>
          <w:color w:val="000000" w:themeColor="text1"/>
          <w:sz w:val="19"/>
          <w:szCs w:val="19"/>
        </w:rPr>
        <w:t>Parepally</w:t>
      </w:r>
      <w:proofErr w:type="spellEnd"/>
      <w:r w:rsidRPr="00974DA2">
        <w:rPr>
          <w:color w:val="000000" w:themeColor="text1"/>
          <w:sz w:val="19"/>
          <w:szCs w:val="19"/>
        </w:rPr>
        <w:t xml:space="preserve">, V., y Chandarana, J. (2025). Artificial intelligence and Internet of Things integration in pharmaceutical manufacturing: A smart synergy. </w:t>
      </w:r>
      <w:proofErr w:type="spellStart"/>
      <w:r w:rsidRPr="00974DA2">
        <w:rPr>
          <w:color w:val="000000" w:themeColor="text1"/>
          <w:sz w:val="19"/>
          <w:szCs w:val="19"/>
          <w:lang w:val="es-US"/>
        </w:rPr>
        <w:t>Pharmaceutics</w:t>
      </w:r>
      <w:proofErr w:type="spellEnd"/>
      <w:r w:rsidRPr="00974DA2">
        <w:rPr>
          <w:color w:val="000000" w:themeColor="text1"/>
          <w:sz w:val="19"/>
          <w:szCs w:val="19"/>
          <w:lang w:val="es-US"/>
        </w:rPr>
        <w:t>, 17(3), Artículo 290. https://doi.org/10.3390/pharmaceutics17030290</w:t>
      </w:r>
    </w:p>
    <w:p w14:paraId="6266F991" w14:textId="77777777" w:rsidR="00427B30" w:rsidRPr="0053697E" w:rsidRDefault="00000000">
      <w:pPr>
        <w:spacing w:after="105" w:line="264" w:lineRule="auto"/>
        <w:ind w:left="720" w:hanging="720"/>
        <w:rPr>
          <w:b/>
          <w:bCs/>
          <w:color w:val="000000" w:themeColor="text1"/>
        </w:rPr>
      </w:pPr>
      <w:proofErr w:type="spellStart"/>
      <w:r w:rsidRPr="0053697E">
        <w:rPr>
          <w:b/>
          <w:bCs/>
          <w:color w:val="000000" w:themeColor="text1"/>
          <w:sz w:val="19"/>
          <w:szCs w:val="19"/>
          <w:lang w:val="es-US"/>
        </w:rPr>
        <w:t>Lopes</w:t>
      </w:r>
      <w:proofErr w:type="spellEnd"/>
      <w:r w:rsidRPr="0053697E">
        <w:rPr>
          <w:b/>
          <w:bCs/>
          <w:color w:val="000000" w:themeColor="text1"/>
          <w:sz w:val="19"/>
          <w:szCs w:val="19"/>
          <w:lang w:val="es-US"/>
        </w:rPr>
        <w:t xml:space="preserve">, M. R., Costigliola, A., Pinto, R., Vieira, S., y Sousa, J. M. C. (2020). </w:t>
      </w:r>
      <w:r w:rsidRPr="0053697E">
        <w:rPr>
          <w:b/>
          <w:bCs/>
          <w:color w:val="000000" w:themeColor="text1"/>
          <w:sz w:val="19"/>
          <w:szCs w:val="19"/>
        </w:rPr>
        <w:t>Pharmaceutical quality control laboratory digital twin – A novel governance model for resource planning and scheduling. International Journal of Production Research, 58(21), 6553–6567. https://doi.org/10.1080/00207543.2019.1683250</w:t>
      </w:r>
    </w:p>
    <w:p w14:paraId="23811402" w14:textId="77777777" w:rsidR="00427B30" w:rsidRPr="0053697E" w:rsidRDefault="00000000">
      <w:pPr>
        <w:spacing w:after="105" w:line="264" w:lineRule="auto"/>
        <w:ind w:left="720" w:hanging="720"/>
        <w:rPr>
          <w:b/>
          <w:bCs/>
          <w:color w:val="000000" w:themeColor="text1"/>
        </w:rPr>
      </w:pPr>
      <w:r w:rsidRPr="0026418E">
        <w:rPr>
          <w:b/>
          <w:bCs/>
          <w:color w:val="000000" w:themeColor="text1"/>
          <w:sz w:val="19"/>
          <w:szCs w:val="19"/>
        </w:rPr>
        <w:t>Lopes, P. V., Silveira, L., Aquino, R. D. G., Ribeiro, C. H., Skoogh, A., y Verri, F. A. N. (2024). Synthetic data generation for digital twins: Enabling production systems analysis in the absence of data. International Journal of Computer Integrated Manufacturing, 37(10–11), 1252–1269. https://doi.org/10.1080/0951192X.2024.2322981</w:t>
      </w:r>
    </w:p>
    <w:p w14:paraId="29E94C85" w14:textId="77777777" w:rsidR="00427B30" w:rsidRPr="0053697E" w:rsidRDefault="00000000">
      <w:pPr>
        <w:spacing w:after="105" w:line="264" w:lineRule="auto"/>
        <w:ind w:left="720" w:hanging="720"/>
        <w:rPr>
          <w:b/>
          <w:bCs/>
          <w:color w:val="000000" w:themeColor="text1"/>
        </w:rPr>
      </w:pPr>
      <w:proofErr w:type="spellStart"/>
      <w:r w:rsidRPr="0026418E">
        <w:rPr>
          <w:b/>
          <w:bCs/>
          <w:color w:val="000000" w:themeColor="text1"/>
          <w:sz w:val="19"/>
          <w:szCs w:val="19"/>
          <w:lang w:val="es-US"/>
        </w:rPr>
        <w:t>Martins</w:t>
      </w:r>
      <w:proofErr w:type="spellEnd"/>
      <w:r w:rsidRPr="0026418E">
        <w:rPr>
          <w:b/>
          <w:bCs/>
          <w:color w:val="000000" w:themeColor="text1"/>
          <w:sz w:val="19"/>
          <w:szCs w:val="19"/>
          <w:lang w:val="es-US"/>
        </w:rPr>
        <w:t xml:space="preserve">, M. S. E., Viegas, J. L., Coito, T., Firme, B., Costigliola, A., Figueiredo, J., Vieira, S. M., y Sousa, J. M. C. (2023). </w:t>
      </w:r>
      <w:r w:rsidRPr="0053697E">
        <w:rPr>
          <w:b/>
          <w:bCs/>
          <w:color w:val="000000" w:themeColor="text1"/>
          <w:sz w:val="19"/>
          <w:szCs w:val="19"/>
        </w:rPr>
        <w:t>Minimizing total completion time in large-sized pharmaceutical quality control scheduling. Journal of Heuristics, 29(1), 177–206. https://doi.org/10.1007/s10732-023-09509-8</w:t>
      </w:r>
    </w:p>
    <w:p w14:paraId="76296234" w14:textId="77777777" w:rsidR="00427B30" w:rsidRPr="0026418E" w:rsidRDefault="00000000">
      <w:pPr>
        <w:spacing w:after="105" w:line="264" w:lineRule="auto"/>
        <w:ind w:left="720" w:hanging="720"/>
        <w:rPr>
          <w:b/>
          <w:bCs/>
          <w:color w:val="000000" w:themeColor="text1"/>
          <w:lang w:val="es-US"/>
        </w:rPr>
      </w:pPr>
      <w:r w:rsidRPr="0053697E">
        <w:rPr>
          <w:b/>
          <w:bCs/>
          <w:color w:val="000000" w:themeColor="text1"/>
          <w:sz w:val="19"/>
          <w:szCs w:val="19"/>
        </w:rPr>
        <w:t xml:space="preserve">Maslaton, R. (2012). Resource scheduling in QC laboratories. </w:t>
      </w:r>
      <w:proofErr w:type="spellStart"/>
      <w:r w:rsidRPr="0026418E">
        <w:rPr>
          <w:b/>
          <w:bCs/>
          <w:color w:val="000000" w:themeColor="text1"/>
          <w:sz w:val="19"/>
          <w:szCs w:val="19"/>
          <w:lang w:val="es-US"/>
        </w:rPr>
        <w:t>Pharmaceutical</w:t>
      </w:r>
      <w:proofErr w:type="spellEnd"/>
      <w:r w:rsidRPr="0026418E">
        <w:rPr>
          <w:b/>
          <w:bCs/>
          <w:color w:val="000000" w:themeColor="text1"/>
          <w:sz w:val="19"/>
          <w:szCs w:val="19"/>
          <w:lang w:val="es-US"/>
        </w:rPr>
        <w:t xml:space="preserve"> </w:t>
      </w:r>
      <w:proofErr w:type="spellStart"/>
      <w:r w:rsidRPr="0026418E">
        <w:rPr>
          <w:b/>
          <w:bCs/>
          <w:color w:val="000000" w:themeColor="text1"/>
          <w:sz w:val="19"/>
          <w:szCs w:val="19"/>
          <w:lang w:val="es-US"/>
        </w:rPr>
        <w:t>Engineering</w:t>
      </w:r>
      <w:proofErr w:type="spellEnd"/>
      <w:r w:rsidRPr="0026418E">
        <w:rPr>
          <w:b/>
          <w:bCs/>
          <w:color w:val="000000" w:themeColor="text1"/>
          <w:sz w:val="19"/>
          <w:szCs w:val="19"/>
          <w:lang w:val="es-US"/>
        </w:rPr>
        <w:t>, 32(6).</w:t>
      </w:r>
    </w:p>
    <w:p w14:paraId="2CA96791" w14:textId="77777777" w:rsidR="00427B30" w:rsidRPr="0026418E" w:rsidRDefault="00000000">
      <w:pPr>
        <w:spacing w:after="105" w:line="264" w:lineRule="auto"/>
        <w:ind w:left="720" w:hanging="720"/>
        <w:rPr>
          <w:b/>
          <w:bCs/>
          <w:color w:val="000000" w:themeColor="text1"/>
          <w:lang w:val="es-US"/>
        </w:rPr>
      </w:pPr>
      <w:r w:rsidRPr="0026418E">
        <w:rPr>
          <w:b/>
          <w:bCs/>
          <w:color w:val="000000" w:themeColor="text1"/>
          <w:sz w:val="19"/>
          <w:szCs w:val="19"/>
          <w:lang w:val="es-US"/>
        </w:rPr>
        <w:t>Ministerio de Salud y Protección Social. (2016). Resolución 1160 de 2016, por la cual se adoptan los manuales de Buenas Prácticas de Manufactura de medicamentos. Diario Oficial.</w:t>
      </w:r>
    </w:p>
    <w:p w14:paraId="79F6F71F" w14:textId="77777777" w:rsidR="00427B30" w:rsidRPr="0026418E" w:rsidRDefault="00000000">
      <w:pPr>
        <w:spacing w:after="105" w:line="264" w:lineRule="auto"/>
        <w:ind w:left="720" w:hanging="720"/>
        <w:rPr>
          <w:b/>
          <w:bCs/>
          <w:color w:val="000000" w:themeColor="text1"/>
          <w:lang w:val="es-US"/>
        </w:rPr>
      </w:pPr>
      <w:r w:rsidRPr="0026418E">
        <w:rPr>
          <w:b/>
          <w:bCs/>
          <w:color w:val="000000" w:themeColor="text1"/>
          <w:sz w:val="19"/>
          <w:szCs w:val="19"/>
          <w:lang w:val="es-US"/>
        </w:rPr>
        <w:t>Ministerio de Salud y Protección Social. (2022). Decreto 335 de 2022, por el cual se establece el procedimiento para la obtención de los certificados de Buenas Prácticas de Elaboración, Laboratorio y Manufactura. Diario Oficial.</w:t>
      </w:r>
    </w:p>
    <w:p w14:paraId="12734B1D" w14:textId="77777777" w:rsidR="00427B30" w:rsidRPr="0053697E" w:rsidRDefault="00000000">
      <w:pPr>
        <w:spacing w:after="105" w:line="264" w:lineRule="auto"/>
        <w:ind w:left="720" w:hanging="720"/>
        <w:rPr>
          <w:b/>
          <w:bCs/>
          <w:color w:val="000000" w:themeColor="text1"/>
        </w:rPr>
      </w:pPr>
      <w:r w:rsidRPr="0026418E">
        <w:rPr>
          <w:b/>
          <w:bCs/>
          <w:color w:val="000000" w:themeColor="text1"/>
          <w:sz w:val="19"/>
          <w:szCs w:val="19"/>
          <w:lang w:val="es-US"/>
        </w:rPr>
        <w:t xml:space="preserve">Ministerio de Salud y Protección Social. (2023). Informe de desabastecimiento de medicamentos en Colombia. </w:t>
      </w:r>
      <w:proofErr w:type="spellStart"/>
      <w:r>
        <w:rPr>
          <w:b/>
          <w:bCs/>
          <w:color w:val="000000" w:themeColor="text1"/>
          <w:sz w:val="19"/>
          <w:szCs w:val="19"/>
        </w:rPr>
        <w:t>MinSalud</w:t>
      </w:r>
      <w:proofErr w:type="spellEnd"/>
      <w:r>
        <w:rPr>
          <w:b/>
          <w:bCs/>
          <w:color w:val="000000" w:themeColor="text1"/>
          <w:sz w:val="19"/>
          <w:szCs w:val="19"/>
        </w:rPr>
        <w:t>.</w:t>
      </w:r>
    </w:p>
    <w:p w14:paraId="6C154BC2" w14:textId="77777777" w:rsidR="00427B30" w:rsidRPr="00974DA2" w:rsidRDefault="00000000">
      <w:pPr>
        <w:spacing w:after="105" w:line="264" w:lineRule="auto"/>
        <w:ind w:left="720" w:hanging="720"/>
        <w:rPr>
          <w:color w:val="000000" w:themeColor="text1"/>
        </w:rPr>
      </w:pPr>
      <w:proofErr w:type="spellStart"/>
      <w:r w:rsidRPr="00974DA2">
        <w:rPr>
          <w:color w:val="000000" w:themeColor="text1"/>
          <w:sz w:val="19"/>
          <w:szCs w:val="19"/>
        </w:rPr>
        <w:t>Mischek</w:t>
      </w:r>
      <w:proofErr w:type="spellEnd"/>
      <w:r w:rsidRPr="00974DA2">
        <w:rPr>
          <w:color w:val="000000" w:themeColor="text1"/>
          <w:sz w:val="19"/>
          <w:szCs w:val="19"/>
        </w:rPr>
        <w:t>, F., y Musliu, N. (2024). Preference explanation and decision support for multi-objective real-world test laboratory scheduling. Proceedings of the International Conference on Automated Planning and Scheduling, 34(1), 378–386. https://doi.org/10.1609/icaps.v34i1.31497</w:t>
      </w:r>
    </w:p>
    <w:p w14:paraId="08084279" w14:textId="77777777" w:rsidR="00427B30" w:rsidRPr="0026418E" w:rsidRDefault="00000000">
      <w:pPr>
        <w:spacing w:after="105" w:line="264" w:lineRule="auto"/>
        <w:ind w:left="720" w:hanging="720"/>
        <w:rPr>
          <w:color w:val="000000" w:themeColor="text1"/>
          <w:lang w:val="es-US"/>
        </w:rPr>
      </w:pPr>
      <w:r w:rsidRPr="0026418E">
        <w:rPr>
          <w:color w:val="000000" w:themeColor="text1"/>
          <w:sz w:val="19"/>
          <w:szCs w:val="19"/>
          <w:lang w:val="es-US"/>
        </w:rPr>
        <w:t xml:space="preserve">Muñoz-Pinzón, D. S., Valencia-Rivero, K. T., </w:t>
      </w:r>
      <w:proofErr w:type="spellStart"/>
      <w:r w:rsidRPr="0026418E">
        <w:rPr>
          <w:color w:val="000000" w:themeColor="text1"/>
          <w:sz w:val="19"/>
          <w:szCs w:val="19"/>
          <w:lang w:val="es-US"/>
        </w:rPr>
        <w:t>Caviativa</w:t>
      </w:r>
      <w:proofErr w:type="spellEnd"/>
      <w:r w:rsidRPr="0026418E">
        <w:rPr>
          <w:color w:val="000000" w:themeColor="text1"/>
          <w:sz w:val="19"/>
          <w:szCs w:val="19"/>
          <w:lang w:val="es-US"/>
        </w:rPr>
        <w:t>-Castro, Y. P., y Castillo-Bustos, J. S. (2024). Industria 4.0 en pymes colombianas. Revista Politécnica, 20(39), 99–118. https://doi.org/10.33571/rpolitec.v20n39a7</w:t>
      </w:r>
    </w:p>
    <w:p w14:paraId="3FEACC23" w14:textId="77777777" w:rsidR="00427B30" w:rsidRPr="00974DA2" w:rsidRDefault="00000000">
      <w:pPr>
        <w:spacing w:after="105" w:line="264" w:lineRule="auto"/>
        <w:ind w:left="720" w:hanging="720"/>
        <w:rPr>
          <w:color w:val="000000" w:themeColor="text1"/>
        </w:rPr>
      </w:pPr>
      <w:r w:rsidRPr="0026418E">
        <w:rPr>
          <w:color w:val="000000" w:themeColor="text1"/>
          <w:sz w:val="19"/>
          <w:szCs w:val="19"/>
          <w:lang w:val="es-US"/>
        </w:rPr>
        <w:t xml:space="preserve">Organización Panamericana de la Salud. (2020). Fortalecimiento de las autoridades reguladoras nacionales de medicamentos y productos biológicos (Documento CD58/INF/14). </w:t>
      </w:r>
      <w:r>
        <w:rPr>
          <w:color w:val="000000" w:themeColor="text1"/>
          <w:sz w:val="19"/>
          <w:szCs w:val="19"/>
        </w:rPr>
        <w:t>OPS.</w:t>
      </w:r>
    </w:p>
    <w:p w14:paraId="2DA62CB0" w14:textId="77777777" w:rsidR="00427B30" w:rsidRPr="0053697E" w:rsidRDefault="00000000">
      <w:pPr>
        <w:spacing w:after="105" w:line="264" w:lineRule="auto"/>
        <w:ind w:left="720" w:hanging="720"/>
        <w:rPr>
          <w:b/>
          <w:bCs/>
          <w:color w:val="000000" w:themeColor="text1"/>
        </w:rPr>
      </w:pPr>
      <w:r w:rsidRPr="0026418E">
        <w:rPr>
          <w:b/>
          <w:bCs/>
          <w:color w:val="000000" w:themeColor="text1"/>
          <w:sz w:val="19"/>
          <w:szCs w:val="19"/>
        </w:rPr>
        <w:lastRenderedPageBreak/>
        <w:t xml:space="preserve">Patki, N., Wedge, R., y Veeramachaneni, K. (2016). </w:t>
      </w:r>
      <w:r w:rsidRPr="0053697E">
        <w:rPr>
          <w:b/>
          <w:bCs/>
          <w:color w:val="000000" w:themeColor="text1"/>
          <w:sz w:val="19"/>
          <w:szCs w:val="19"/>
        </w:rPr>
        <w:t>The Synthetic Data Vault. En 2016 IEEE International Conference on Data Science and Advanced Analytics (DSAA) (pp. 399–410). IEEE. https://doi.org/10.1109/DSAA.2016.49</w:t>
      </w:r>
    </w:p>
    <w:p w14:paraId="5B0D2AD6" w14:textId="77777777" w:rsidR="00427B30" w:rsidRPr="00974DA2" w:rsidRDefault="00000000">
      <w:pPr>
        <w:spacing w:after="105" w:line="264" w:lineRule="auto"/>
        <w:ind w:left="720" w:hanging="720"/>
        <w:rPr>
          <w:color w:val="000000" w:themeColor="text1"/>
        </w:rPr>
      </w:pPr>
      <w:r w:rsidRPr="00974DA2">
        <w:rPr>
          <w:color w:val="000000" w:themeColor="text1"/>
          <w:sz w:val="19"/>
          <w:szCs w:val="19"/>
        </w:rPr>
        <w:t>Schäfer, R. (2004). Concepts for dynamic scheduling in the laboratory. JALA: Journal of the Association for Laboratory Automation, 9(6), 382–397. https://doi.org/10.1016/j.jala.2004.10.001</w:t>
      </w:r>
    </w:p>
    <w:p w14:paraId="233137D9" w14:textId="77777777" w:rsidR="00427B30" w:rsidRPr="00974DA2" w:rsidRDefault="00000000">
      <w:pPr>
        <w:spacing w:after="105" w:line="264" w:lineRule="auto"/>
        <w:ind w:left="720" w:hanging="720"/>
        <w:rPr>
          <w:color w:val="000000" w:themeColor="text1"/>
        </w:rPr>
      </w:pPr>
      <w:proofErr w:type="spellStart"/>
      <w:r w:rsidRPr="00974DA2">
        <w:rPr>
          <w:color w:val="000000" w:themeColor="text1"/>
          <w:sz w:val="19"/>
          <w:szCs w:val="19"/>
        </w:rPr>
        <w:t>Vallevik</w:t>
      </w:r>
      <w:proofErr w:type="spellEnd"/>
      <w:r w:rsidRPr="00974DA2">
        <w:rPr>
          <w:color w:val="000000" w:themeColor="text1"/>
          <w:sz w:val="19"/>
          <w:szCs w:val="19"/>
        </w:rPr>
        <w:t xml:space="preserve">, V. B., Babic, A., Marshall, S. E., </w:t>
      </w:r>
      <w:proofErr w:type="spellStart"/>
      <w:r w:rsidRPr="00974DA2">
        <w:rPr>
          <w:color w:val="000000" w:themeColor="text1"/>
          <w:sz w:val="19"/>
          <w:szCs w:val="19"/>
        </w:rPr>
        <w:t>Elvatun</w:t>
      </w:r>
      <w:proofErr w:type="spellEnd"/>
      <w:r w:rsidRPr="00974DA2">
        <w:rPr>
          <w:color w:val="000000" w:themeColor="text1"/>
          <w:sz w:val="19"/>
          <w:szCs w:val="19"/>
        </w:rPr>
        <w:t xml:space="preserve">, S., Brøgger, H. M. B., </w:t>
      </w:r>
      <w:proofErr w:type="spellStart"/>
      <w:r w:rsidRPr="00974DA2">
        <w:rPr>
          <w:color w:val="000000" w:themeColor="text1"/>
          <w:sz w:val="19"/>
          <w:szCs w:val="19"/>
        </w:rPr>
        <w:t>Alagaratnam</w:t>
      </w:r>
      <w:proofErr w:type="spellEnd"/>
      <w:r w:rsidRPr="00974DA2">
        <w:rPr>
          <w:color w:val="000000" w:themeColor="text1"/>
          <w:sz w:val="19"/>
          <w:szCs w:val="19"/>
        </w:rPr>
        <w:t xml:space="preserve">, S., Edwin, B., Veeraragavan, N. R., </w:t>
      </w:r>
      <w:proofErr w:type="spellStart"/>
      <w:r w:rsidRPr="00974DA2">
        <w:rPr>
          <w:color w:val="000000" w:themeColor="text1"/>
          <w:sz w:val="19"/>
          <w:szCs w:val="19"/>
        </w:rPr>
        <w:t>Befring</w:t>
      </w:r>
      <w:proofErr w:type="spellEnd"/>
      <w:r w:rsidRPr="00974DA2">
        <w:rPr>
          <w:color w:val="000000" w:themeColor="text1"/>
          <w:sz w:val="19"/>
          <w:szCs w:val="19"/>
        </w:rPr>
        <w:t xml:space="preserve">, A. K., y Nygård, J. F. (2024). Can I trust my fake data – A comprehensive quality assessment framework for synthetic tabular data in healthcare. International Journal of Medical Informatics, 185, </w:t>
      </w:r>
      <w:proofErr w:type="spellStart"/>
      <w:r w:rsidRPr="00974DA2">
        <w:rPr>
          <w:color w:val="000000" w:themeColor="text1"/>
          <w:sz w:val="19"/>
          <w:szCs w:val="19"/>
        </w:rPr>
        <w:t>Artículo</w:t>
      </w:r>
      <w:proofErr w:type="spellEnd"/>
      <w:r w:rsidRPr="00974DA2">
        <w:rPr>
          <w:color w:val="000000" w:themeColor="text1"/>
          <w:sz w:val="19"/>
          <w:szCs w:val="19"/>
        </w:rPr>
        <w:t xml:space="preserve"> 105413. https://doi.org/10.1016/j.ijmedinf.2024.105413</w:t>
      </w:r>
    </w:p>
    <w:p w14:paraId="32384D16" w14:textId="77777777" w:rsidR="00427B30" w:rsidRPr="00974DA2" w:rsidRDefault="00000000">
      <w:pPr>
        <w:spacing w:after="105" w:line="264" w:lineRule="auto"/>
        <w:ind w:left="720" w:hanging="720"/>
        <w:rPr>
          <w:color w:val="000000" w:themeColor="text1"/>
        </w:rPr>
      </w:pPr>
      <w:proofErr w:type="spellStart"/>
      <w:r w:rsidRPr="00974DA2">
        <w:rPr>
          <w:color w:val="000000" w:themeColor="text1"/>
          <w:sz w:val="19"/>
          <w:szCs w:val="19"/>
          <w:lang w:val="es-US"/>
        </w:rPr>
        <w:t>Xu</w:t>
      </w:r>
      <w:proofErr w:type="spellEnd"/>
      <w:r w:rsidRPr="00974DA2">
        <w:rPr>
          <w:color w:val="000000" w:themeColor="text1"/>
          <w:sz w:val="19"/>
          <w:szCs w:val="19"/>
          <w:lang w:val="es-US"/>
        </w:rPr>
        <w:t xml:space="preserve">, L., </w:t>
      </w:r>
      <w:proofErr w:type="spellStart"/>
      <w:r w:rsidRPr="00974DA2">
        <w:rPr>
          <w:color w:val="000000" w:themeColor="text1"/>
          <w:sz w:val="19"/>
          <w:szCs w:val="19"/>
          <w:lang w:val="es-US"/>
        </w:rPr>
        <w:t>Skoularidou</w:t>
      </w:r>
      <w:proofErr w:type="spellEnd"/>
      <w:r w:rsidRPr="00974DA2">
        <w:rPr>
          <w:color w:val="000000" w:themeColor="text1"/>
          <w:sz w:val="19"/>
          <w:szCs w:val="19"/>
          <w:lang w:val="es-US"/>
        </w:rPr>
        <w:t xml:space="preserve">, M., Cuesta-Infante, A., y Veeramachaneni, K. (2019). </w:t>
      </w:r>
      <w:r w:rsidRPr="00974DA2">
        <w:rPr>
          <w:color w:val="000000" w:themeColor="text1"/>
          <w:sz w:val="19"/>
          <w:szCs w:val="19"/>
        </w:rPr>
        <w:t>Modeling tabular data using conditional GAN. En Advances in Neural Information Processing Systems 32 (</w:t>
      </w:r>
      <w:proofErr w:type="spellStart"/>
      <w:r w:rsidRPr="00974DA2">
        <w:rPr>
          <w:color w:val="000000" w:themeColor="text1"/>
          <w:sz w:val="19"/>
          <w:szCs w:val="19"/>
        </w:rPr>
        <w:t>NeurIPS</w:t>
      </w:r>
      <w:proofErr w:type="spellEnd"/>
      <w:r w:rsidRPr="00974DA2">
        <w:rPr>
          <w:color w:val="000000" w:themeColor="text1"/>
          <w:sz w:val="19"/>
          <w:szCs w:val="19"/>
        </w:rPr>
        <w:t xml:space="preserve"> 2019). </w:t>
      </w:r>
      <w:bookmarkStart w:id="0" w:name="OLE_LINK1"/>
      <w:r w:rsidRPr="00974DA2">
        <w:rPr>
          <w:color w:val="000000" w:themeColor="text1"/>
          <w:sz w:val="19"/>
          <w:szCs w:val="19"/>
        </w:rPr>
        <w:t>https://arxiv.org/abs/1907.00503</w:t>
      </w:r>
      <w:bookmarkEnd w:id="0"/>
    </w:p>
    <w:p w14:paraId="34F202E2" w14:textId="77777777" w:rsidR="00716D32" w:rsidRPr="0026418E" w:rsidRDefault="00000000">
      <w:pPr>
        <w:pStyle w:val="Heading1"/>
        <w:spacing w:before="340" w:after="150"/>
        <w:rPr>
          <w:color w:val="000000" w:themeColor="text1"/>
          <w:lang w:val="es-US"/>
        </w:rPr>
      </w:pPr>
      <w:r w:rsidRPr="0026418E">
        <w:rPr>
          <w:b/>
          <w:bCs/>
          <w:color w:val="000000" w:themeColor="text1"/>
          <w:sz w:val="24"/>
          <w:szCs w:val="24"/>
          <w:lang w:val="es-US"/>
        </w:rPr>
        <w:t>Anexo. Enlaces de verificación y recursos públicos</w:t>
      </w:r>
    </w:p>
    <w:p w14:paraId="4365734A" w14:textId="77777777" w:rsidR="00427B30" w:rsidRPr="00974DA2" w:rsidRDefault="00000000">
      <w:pPr>
        <w:spacing w:after="120" w:line="288" w:lineRule="auto"/>
        <w:jc w:val="both"/>
        <w:rPr>
          <w:color w:val="000000" w:themeColor="text1"/>
          <w:lang w:val="es-US"/>
        </w:rPr>
      </w:pPr>
      <w:r>
        <w:rPr>
          <w:i/>
          <w:iCs/>
          <w:color w:val="000000" w:themeColor="text1"/>
          <w:sz w:val="19"/>
          <w:szCs w:val="19"/>
          <w:lang w:val="es-US"/>
        </w:rPr>
        <w:t>Toda referencia académica puede verificarse en el enlace indicado. Se marca (AA) el acceso abierto, donde el texto completo puede leerse sin suscripción. Las fuentes normativas y estadísticas colombianas —DANE, INVIMA, Ministerio de Salud y Protección Social, OPS y CINTEL— se consultan en los portales oficiales de cada entidad.</w:t>
      </w:r>
    </w:p>
    <w:tbl>
      <w:tblPr>
        <w:tblW w:w="900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093"/>
        <w:gridCol w:w="6907"/>
      </w:tblGrid>
      <w:tr w:rsidR="00427B30" w:rsidRPr="00974DA2" w14:paraId="592D60F5" w14:textId="77777777">
        <w:tc>
          <w:tcPr>
            <w:tcW w:w="3300" w:type="dxa"/>
            <w:shd w:val="clear" w:color="auto" w:fill="ECEEF1"/>
            <w:tcMar>
              <w:top w:w="80" w:type="dxa"/>
              <w:left w:w="100" w:type="dxa"/>
              <w:bottom w:w="80" w:type="dxa"/>
              <w:right w:w="100" w:type="dxa"/>
            </w:tcMar>
          </w:tcPr>
          <w:p w14:paraId="2604B9E6" w14:textId="77777777" w:rsidR="00427B30" w:rsidRPr="00974DA2" w:rsidRDefault="00000000">
            <w:pPr>
              <w:spacing w:after="40" w:line="256" w:lineRule="auto"/>
              <w:rPr>
                <w:color w:val="000000" w:themeColor="text1"/>
              </w:rPr>
            </w:pPr>
            <w:proofErr w:type="spellStart"/>
            <w:r w:rsidRPr="00974DA2">
              <w:rPr>
                <w:b/>
                <w:bCs/>
                <w:color w:val="000000" w:themeColor="text1"/>
                <w:sz w:val="16"/>
                <w:szCs w:val="16"/>
              </w:rPr>
              <w:t>Referencia</w:t>
            </w:r>
            <w:proofErr w:type="spellEnd"/>
          </w:p>
        </w:tc>
        <w:tc>
          <w:tcPr>
            <w:tcW w:w="5700" w:type="dxa"/>
            <w:shd w:val="clear" w:color="auto" w:fill="ECEEF1"/>
            <w:tcMar>
              <w:top w:w="80" w:type="dxa"/>
              <w:left w:w="100" w:type="dxa"/>
              <w:bottom w:w="80" w:type="dxa"/>
              <w:right w:w="100" w:type="dxa"/>
            </w:tcMar>
          </w:tcPr>
          <w:p w14:paraId="1E5C6221" w14:textId="77777777" w:rsidR="00427B30" w:rsidRPr="00974DA2" w:rsidRDefault="00000000">
            <w:pPr>
              <w:spacing w:after="40" w:line="256" w:lineRule="auto"/>
              <w:rPr>
                <w:color w:val="000000" w:themeColor="text1"/>
              </w:rPr>
            </w:pPr>
            <w:r w:rsidRPr="00974DA2">
              <w:rPr>
                <w:b/>
                <w:bCs/>
                <w:color w:val="000000" w:themeColor="text1"/>
                <w:sz w:val="16"/>
                <w:szCs w:val="16"/>
              </w:rPr>
              <w:t xml:space="preserve">Enlace de </w:t>
            </w:r>
            <w:proofErr w:type="spellStart"/>
            <w:r w:rsidRPr="00974DA2">
              <w:rPr>
                <w:b/>
                <w:bCs/>
                <w:color w:val="000000" w:themeColor="text1"/>
                <w:sz w:val="16"/>
                <w:szCs w:val="16"/>
              </w:rPr>
              <w:t>verificación</w:t>
            </w:r>
            <w:proofErr w:type="spellEnd"/>
          </w:p>
        </w:tc>
      </w:tr>
      <w:tr w:rsidR="00427B30" w:rsidRPr="00974DA2" w14:paraId="12F97B90" w14:textId="77777777">
        <w:tc>
          <w:tcPr>
            <w:tcW w:w="3300" w:type="dxa"/>
            <w:tcMar>
              <w:top w:w="80" w:type="dxa"/>
              <w:left w:w="100" w:type="dxa"/>
              <w:bottom w:w="80" w:type="dxa"/>
              <w:right w:w="100" w:type="dxa"/>
            </w:tcMar>
          </w:tcPr>
          <w:p w14:paraId="3CED7018" w14:textId="77777777" w:rsidR="00427B30" w:rsidRPr="00974DA2" w:rsidRDefault="00000000">
            <w:pPr>
              <w:spacing w:after="40" w:line="256" w:lineRule="auto"/>
              <w:rPr>
                <w:color w:val="000000" w:themeColor="text1"/>
              </w:rPr>
            </w:pPr>
            <w:proofErr w:type="spellStart"/>
            <w:r w:rsidRPr="00974DA2">
              <w:rPr>
                <w:color w:val="000000" w:themeColor="text1"/>
                <w:sz w:val="16"/>
                <w:szCs w:val="16"/>
              </w:rPr>
              <w:t>Abdulhussain</w:t>
            </w:r>
            <w:proofErr w:type="spellEnd"/>
            <w:r w:rsidRPr="00974DA2">
              <w:rPr>
                <w:color w:val="000000" w:themeColor="text1"/>
                <w:sz w:val="16"/>
                <w:szCs w:val="16"/>
              </w:rPr>
              <w:t xml:space="preserve"> et al. (2026)</w:t>
            </w:r>
          </w:p>
        </w:tc>
        <w:tc>
          <w:tcPr>
            <w:tcW w:w="5700" w:type="dxa"/>
            <w:tcMar>
              <w:top w:w="80" w:type="dxa"/>
              <w:left w:w="100" w:type="dxa"/>
              <w:bottom w:w="80" w:type="dxa"/>
              <w:right w:w="100" w:type="dxa"/>
            </w:tcMar>
          </w:tcPr>
          <w:p w14:paraId="7BF2216E" w14:textId="77777777" w:rsidR="00427B30" w:rsidRPr="00974DA2" w:rsidRDefault="00000000">
            <w:pPr>
              <w:spacing w:after="40" w:line="256" w:lineRule="auto"/>
              <w:rPr>
                <w:color w:val="000000" w:themeColor="text1"/>
              </w:rPr>
            </w:pPr>
            <w:r w:rsidRPr="00974DA2">
              <w:rPr>
                <w:color w:val="000000" w:themeColor="text1"/>
                <w:sz w:val="16"/>
                <w:szCs w:val="16"/>
              </w:rPr>
              <w:t>https://doi.org/10.1016/j.ijpharm.2026.126682</w:t>
            </w:r>
          </w:p>
        </w:tc>
      </w:tr>
      <w:tr w:rsidR="00427B30" w:rsidRPr="00974DA2" w14:paraId="4923D9CD" w14:textId="77777777">
        <w:tc>
          <w:tcPr>
            <w:tcW w:w="3300" w:type="dxa"/>
            <w:tcMar>
              <w:top w:w="80" w:type="dxa"/>
              <w:left w:w="100" w:type="dxa"/>
              <w:bottom w:w="80" w:type="dxa"/>
              <w:right w:w="100" w:type="dxa"/>
            </w:tcMar>
          </w:tcPr>
          <w:p w14:paraId="08060DDF" w14:textId="77777777" w:rsidR="00427B30" w:rsidRPr="00974DA2" w:rsidRDefault="00000000">
            <w:pPr>
              <w:spacing w:after="40" w:line="256" w:lineRule="auto"/>
              <w:rPr>
                <w:color w:val="000000" w:themeColor="text1"/>
              </w:rPr>
            </w:pPr>
            <w:r w:rsidRPr="00974DA2">
              <w:rPr>
                <w:color w:val="000000" w:themeColor="text1"/>
                <w:sz w:val="16"/>
                <w:szCs w:val="16"/>
              </w:rPr>
              <w:t>Boyd y Savory (2001)</w:t>
            </w:r>
          </w:p>
        </w:tc>
        <w:tc>
          <w:tcPr>
            <w:tcW w:w="5700" w:type="dxa"/>
            <w:tcMar>
              <w:top w:w="80" w:type="dxa"/>
              <w:left w:w="100" w:type="dxa"/>
              <w:bottom w:w="80" w:type="dxa"/>
              <w:right w:w="100" w:type="dxa"/>
            </w:tcMar>
          </w:tcPr>
          <w:p w14:paraId="6B4ECD38" w14:textId="77777777" w:rsidR="00427B30" w:rsidRPr="00974DA2" w:rsidRDefault="00000000">
            <w:pPr>
              <w:spacing w:after="40" w:line="256" w:lineRule="auto"/>
              <w:rPr>
                <w:color w:val="000000" w:themeColor="text1"/>
              </w:rPr>
            </w:pPr>
            <w:r w:rsidRPr="00974DA2">
              <w:rPr>
                <w:color w:val="000000" w:themeColor="text1"/>
                <w:sz w:val="16"/>
                <w:szCs w:val="16"/>
              </w:rPr>
              <w:t>https://doi.org/10.1093/clinchem/47.1.118</w:t>
            </w:r>
          </w:p>
        </w:tc>
      </w:tr>
      <w:tr w:rsidR="00427B30" w:rsidRPr="00974DA2" w14:paraId="3CB8AF16" w14:textId="77777777">
        <w:tc>
          <w:tcPr>
            <w:tcW w:w="3300" w:type="dxa"/>
            <w:tcMar>
              <w:top w:w="80" w:type="dxa"/>
              <w:left w:w="100" w:type="dxa"/>
              <w:bottom w:w="80" w:type="dxa"/>
              <w:right w:w="100" w:type="dxa"/>
            </w:tcMar>
          </w:tcPr>
          <w:p w14:paraId="7F675C12" w14:textId="77777777" w:rsidR="00427B30" w:rsidRPr="00974DA2" w:rsidRDefault="00000000">
            <w:pPr>
              <w:spacing w:after="40" w:line="256" w:lineRule="auto"/>
              <w:rPr>
                <w:color w:val="000000" w:themeColor="text1"/>
              </w:rPr>
            </w:pPr>
            <w:r>
              <w:rPr>
                <w:color w:val="000000" w:themeColor="text1"/>
                <w:sz w:val="16"/>
                <w:szCs w:val="16"/>
              </w:rPr>
              <w:t>Chan et al. (2022) (AA)</w:t>
            </w:r>
          </w:p>
        </w:tc>
        <w:tc>
          <w:tcPr>
            <w:tcW w:w="5700" w:type="dxa"/>
            <w:tcMar>
              <w:top w:w="80" w:type="dxa"/>
              <w:left w:w="100" w:type="dxa"/>
              <w:bottom w:w="80" w:type="dxa"/>
              <w:right w:w="100" w:type="dxa"/>
            </w:tcMar>
          </w:tcPr>
          <w:p w14:paraId="3B440D22" w14:textId="77777777" w:rsidR="00427B30" w:rsidRPr="00974DA2" w:rsidRDefault="00000000">
            <w:pPr>
              <w:spacing w:after="40" w:line="256" w:lineRule="auto"/>
              <w:rPr>
                <w:color w:val="000000" w:themeColor="text1"/>
              </w:rPr>
            </w:pPr>
            <w:r>
              <w:rPr>
                <w:color w:val="000000" w:themeColor="text1"/>
                <w:sz w:val="16"/>
                <w:szCs w:val="16"/>
              </w:rPr>
              <w:t>https://doi.org/10.1080/21693277.2022.2086642</w:t>
            </w:r>
          </w:p>
        </w:tc>
      </w:tr>
      <w:tr w:rsidR="00427B30" w:rsidRPr="00974DA2" w14:paraId="5C6A261A" w14:textId="77777777">
        <w:tc>
          <w:tcPr>
            <w:tcW w:w="3300" w:type="dxa"/>
            <w:tcMar>
              <w:top w:w="80" w:type="dxa"/>
              <w:left w:w="100" w:type="dxa"/>
              <w:bottom w:w="80" w:type="dxa"/>
              <w:right w:w="100" w:type="dxa"/>
            </w:tcMar>
          </w:tcPr>
          <w:p w14:paraId="1421C1C0" w14:textId="77777777" w:rsidR="00427B30" w:rsidRPr="00974DA2" w:rsidRDefault="00000000">
            <w:pPr>
              <w:spacing w:after="40" w:line="256" w:lineRule="auto"/>
              <w:rPr>
                <w:color w:val="000000" w:themeColor="text1"/>
              </w:rPr>
            </w:pPr>
            <w:r w:rsidRPr="00974DA2">
              <w:rPr>
                <w:color w:val="000000" w:themeColor="text1"/>
                <w:sz w:val="16"/>
                <w:szCs w:val="16"/>
              </w:rPr>
              <w:t>Coito et al. (2021) (AA)</w:t>
            </w:r>
          </w:p>
        </w:tc>
        <w:tc>
          <w:tcPr>
            <w:tcW w:w="5700" w:type="dxa"/>
            <w:tcMar>
              <w:top w:w="80" w:type="dxa"/>
              <w:left w:w="100" w:type="dxa"/>
              <w:bottom w:w="80" w:type="dxa"/>
              <w:right w:w="100" w:type="dxa"/>
            </w:tcMar>
          </w:tcPr>
          <w:p w14:paraId="6E12A5A9" w14:textId="77777777" w:rsidR="00427B30" w:rsidRPr="00974DA2" w:rsidRDefault="00000000">
            <w:pPr>
              <w:spacing w:after="40" w:line="256" w:lineRule="auto"/>
              <w:rPr>
                <w:color w:val="000000" w:themeColor="text1"/>
              </w:rPr>
            </w:pPr>
            <w:r w:rsidRPr="00974DA2">
              <w:rPr>
                <w:color w:val="000000" w:themeColor="text1"/>
                <w:sz w:val="16"/>
                <w:szCs w:val="16"/>
              </w:rPr>
              <w:t>https://www.mdpi.com/2673-4052/2/2/4</w:t>
            </w:r>
          </w:p>
        </w:tc>
      </w:tr>
      <w:tr w:rsidR="00427B30" w:rsidRPr="00974DA2" w14:paraId="219F9811" w14:textId="77777777">
        <w:tc>
          <w:tcPr>
            <w:tcW w:w="3300" w:type="dxa"/>
            <w:tcMar>
              <w:top w:w="80" w:type="dxa"/>
              <w:left w:w="100" w:type="dxa"/>
              <w:bottom w:w="80" w:type="dxa"/>
              <w:right w:w="100" w:type="dxa"/>
            </w:tcMar>
          </w:tcPr>
          <w:p w14:paraId="6F4487E3" w14:textId="77777777" w:rsidR="00427B30" w:rsidRPr="00974DA2" w:rsidRDefault="00000000">
            <w:pPr>
              <w:spacing w:after="40" w:line="256" w:lineRule="auto"/>
              <w:rPr>
                <w:color w:val="000000" w:themeColor="text1"/>
              </w:rPr>
            </w:pPr>
            <w:r w:rsidRPr="00974DA2">
              <w:rPr>
                <w:color w:val="000000" w:themeColor="text1"/>
                <w:sz w:val="16"/>
                <w:szCs w:val="16"/>
              </w:rPr>
              <w:t>Costigliola et al. (2017) (AA)</w:t>
            </w:r>
          </w:p>
        </w:tc>
        <w:tc>
          <w:tcPr>
            <w:tcW w:w="5700" w:type="dxa"/>
            <w:tcMar>
              <w:top w:w="80" w:type="dxa"/>
              <w:left w:w="100" w:type="dxa"/>
              <w:bottom w:w="80" w:type="dxa"/>
              <w:right w:w="100" w:type="dxa"/>
            </w:tcMar>
          </w:tcPr>
          <w:p w14:paraId="331E0481" w14:textId="77777777" w:rsidR="00427B30" w:rsidRPr="00974DA2" w:rsidRDefault="00000000">
            <w:pPr>
              <w:spacing w:after="40" w:line="256" w:lineRule="auto"/>
              <w:rPr>
                <w:color w:val="000000" w:themeColor="text1"/>
              </w:rPr>
            </w:pPr>
            <w:r w:rsidRPr="00974DA2">
              <w:rPr>
                <w:color w:val="000000" w:themeColor="text1"/>
                <w:sz w:val="16"/>
                <w:szCs w:val="16"/>
              </w:rPr>
              <w:t>https://doi.org/10.1016/j.ifacol.2017.08.1582</w:t>
            </w:r>
          </w:p>
        </w:tc>
      </w:tr>
      <w:tr w:rsidR="00427B30" w:rsidRPr="00974DA2" w14:paraId="6B6F8C53" w14:textId="77777777">
        <w:tc>
          <w:tcPr>
            <w:tcW w:w="3300" w:type="dxa"/>
            <w:tcMar>
              <w:top w:w="80" w:type="dxa"/>
              <w:left w:w="100" w:type="dxa"/>
              <w:bottom w:w="80" w:type="dxa"/>
              <w:right w:w="100" w:type="dxa"/>
            </w:tcMar>
          </w:tcPr>
          <w:p w14:paraId="0299776E" w14:textId="77777777" w:rsidR="00427B30" w:rsidRPr="00974DA2" w:rsidRDefault="00000000">
            <w:pPr>
              <w:spacing w:after="40" w:line="256" w:lineRule="auto"/>
              <w:rPr>
                <w:color w:val="000000" w:themeColor="text1"/>
              </w:rPr>
            </w:pPr>
            <w:r w:rsidRPr="00974DA2">
              <w:rPr>
                <w:color w:val="000000" w:themeColor="text1"/>
                <w:sz w:val="16"/>
                <w:szCs w:val="16"/>
              </w:rPr>
              <w:t>Danzinger et al. (2025)</w:t>
            </w:r>
          </w:p>
        </w:tc>
        <w:tc>
          <w:tcPr>
            <w:tcW w:w="5700" w:type="dxa"/>
            <w:tcMar>
              <w:top w:w="80" w:type="dxa"/>
              <w:left w:w="100" w:type="dxa"/>
              <w:bottom w:w="80" w:type="dxa"/>
              <w:right w:w="100" w:type="dxa"/>
            </w:tcMar>
          </w:tcPr>
          <w:p w14:paraId="548773BA" w14:textId="77777777" w:rsidR="00427B30" w:rsidRPr="00974DA2" w:rsidRDefault="00000000">
            <w:pPr>
              <w:spacing w:after="40" w:line="256" w:lineRule="auto"/>
              <w:rPr>
                <w:color w:val="000000" w:themeColor="text1"/>
              </w:rPr>
            </w:pPr>
            <w:r w:rsidRPr="00974DA2">
              <w:rPr>
                <w:color w:val="000000" w:themeColor="text1"/>
                <w:sz w:val="16"/>
                <w:szCs w:val="16"/>
              </w:rPr>
              <w:t>https://doi.org/10.1007/978-3-031-95973-8_12</w:t>
            </w:r>
          </w:p>
        </w:tc>
      </w:tr>
      <w:tr w:rsidR="00427B30" w:rsidRPr="00974DA2" w14:paraId="190E9254" w14:textId="77777777">
        <w:tc>
          <w:tcPr>
            <w:tcW w:w="3300" w:type="dxa"/>
            <w:tcMar>
              <w:top w:w="80" w:type="dxa"/>
              <w:left w:w="100" w:type="dxa"/>
              <w:bottom w:w="80" w:type="dxa"/>
              <w:right w:w="100" w:type="dxa"/>
            </w:tcMar>
          </w:tcPr>
          <w:p w14:paraId="31673042" w14:textId="77777777" w:rsidR="00427B30" w:rsidRPr="00974DA2" w:rsidRDefault="00000000">
            <w:pPr>
              <w:spacing w:after="40" w:line="256" w:lineRule="auto"/>
              <w:rPr>
                <w:color w:val="000000" w:themeColor="text1"/>
              </w:rPr>
            </w:pPr>
            <w:r w:rsidRPr="00974DA2">
              <w:rPr>
                <w:color w:val="000000" w:themeColor="text1"/>
                <w:sz w:val="16"/>
                <w:szCs w:val="16"/>
              </w:rPr>
              <w:t>Dong et al. (2023) (AA)</w:t>
            </w:r>
          </w:p>
        </w:tc>
        <w:tc>
          <w:tcPr>
            <w:tcW w:w="5700" w:type="dxa"/>
            <w:tcMar>
              <w:top w:w="80" w:type="dxa"/>
              <w:left w:w="100" w:type="dxa"/>
              <w:bottom w:w="80" w:type="dxa"/>
              <w:right w:w="100" w:type="dxa"/>
            </w:tcMar>
          </w:tcPr>
          <w:p w14:paraId="5EB3213A" w14:textId="77777777" w:rsidR="00427B30" w:rsidRPr="00974DA2" w:rsidRDefault="00000000">
            <w:pPr>
              <w:spacing w:after="40" w:line="256" w:lineRule="auto"/>
              <w:rPr>
                <w:color w:val="000000" w:themeColor="text1"/>
              </w:rPr>
            </w:pPr>
            <w:r w:rsidRPr="00974DA2">
              <w:rPr>
                <w:color w:val="000000" w:themeColor="text1"/>
                <w:sz w:val="16"/>
                <w:szCs w:val="16"/>
              </w:rPr>
              <w:t>https://www.mdpi.com/2227-9717/11/7/2096</w:t>
            </w:r>
          </w:p>
        </w:tc>
      </w:tr>
      <w:tr w:rsidR="00427B30" w:rsidRPr="00974DA2" w14:paraId="691E7755" w14:textId="77777777">
        <w:tc>
          <w:tcPr>
            <w:tcW w:w="3300" w:type="dxa"/>
            <w:tcMar>
              <w:top w:w="80" w:type="dxa"/>
              <w:left w:w="100" w:type="dxa"/>
              <w:bottom w:w="80" w:type="dxa"/>
              <w:right w:w="100" w:type="dxa"/>
            </w:tcMar>
          </w:tcPr>
          <w:p w14:paraId="5F105557" w14:textId="77777777" w:rsidR="00427B30" w:rsidRPr="00974DA2" w:rsidRDefault="00000000">
            <w:pPr>
              <w:spacing w:after="40" w:line="256" w:lineRule="auto"/>
              <w:rPr>
                <w:color w:val="000000" w:themeColor="text1"/>
              </w:rPr>
            </w:pPr>
            <w:proofErr w:type="spellStart"/>
            <w:r w:rsidRPr="00974DA2">
              <w:rPr>
                <w:color w:val="000000" w:themeColor="text1"/>
                <w:sz w:val="16"/>
                <w:szCs w:val="16"/>
              </w:rPr>
              <w:t>Dudnikov</w:t>
            </w:r>
            <w:proofErr w:type="spellEnd"/>
            <w:r w:rsidRPr="00974DA2">
              <w:rPr>
                <w:color w:val="000000" w:themeColor="text1"/>
                <w:sz w:val="16"/>
                <w:szCs w:val="16"/>
              </w:rPr>
              <w:t xml:space="preserve"> et al. (2012)</w:t>
            </w:r>
          </w:p>
        </w:tc>
        <w:tc>
          <w:tcPr>
            <w:tcW w:w="5700" w:type="dxa"/>
            <w:tcMar>
              <w:top w:w="80" w:type="dxa"/>
              <w:left w:w="100" w:type="dxa"/>
              <w:bottom w:w="80" w:type="dxa"/>
              <w:right w:w="100" w:type="dxa"/>
            </w:tcMar>
          </w:tcPr>
          <w:p w14:paraId="10A6C69F" w14:textId="77777777" w:rsidR="00427B30" w:rsidRPr="00974DA2" w:rsidRDefault="00000000">
            <w:pPr>
              <w:spacing w:after="40" w:line="256" w:lineRule="auto"/>
              <w:rPr>
                <w:color w:val="000000" w:themeColor="text1"/>
              </w:rPr>
            </w:pPr>
            <w:r w:rsidRPr="00974DA2">
              <w:rPr>
                <w:color w:val="000000" w:themeColor="text1"/>
                <w:sz w:val="16"/>
                <w:szCs w:val="16"/>
              </w:rPr>
              <w:t>https://doi.org/10.1134/S0005117912110124</w:t>
            </w:r>
          </w:p>
        </w:tc>
      </w:tr>
      <w:tr w:rsidR="00427B30" w:rsidRPr="00974DA2" w14:paraId="08FCF379" w14:textId="77777777">
        <w:tc>
          <w:tcPr>
            <w:tcW w:w="3300" w:type="dxa"/>
            <w:tcMar>
              <w:top w:w="80" w:type="dxa"/>
              <w:left w:w="100" w:type="dxa"/>
              <w:bottom w:w="80" w:type="dxa"/>
              <w:right w:w="100" w:type="dxa"/>
            </w:tcMar>
          </w:tcPr>
          <w:p w14:paraId="50D4F336" w14:textId="77777777" w:rsidR="00427B30" w:rsidRPr="00974DA2" w:rsidRDefault="00000000">
            <w:pPr>
              <w:spacing w:after="40" w:line="256" w:lineRule="auto"/>
              <w:rPr>
                <w:color w:val="000000" w:themeColor="text1"/>
              </w:rPr>
            </w:pPr>
            <w:r>
              <w:rPr>
                <w:color w:val="000000" w:themeColor="text1"/>
                <w:sz w:val="16"/>
                <w:szCs w:val="16"/>
              </w:rPr>
              <w:t>Elbasheer et al. (2025) (AA)</w:t>
            </w:r>
          </w:p>
        </w:tc>
        <w:tc>
          <w:tcPr>
            <w:tcW w:w="5700" w:type="dxa"/>
            <w:tcMar>
              <w:top w:w="80" w:type="dxa"/>
              <w:left w:w="100" w:type="dxa"/>
              <w:bottom w:w="80" w:type="dxa"/>
              <w:right w:w="100" w:type="dxa"/>
            </w:tcMar>
          </w:tcPr>
          <w:p w14:paraId="148337B6" w14:textId="77777777" w:rsidR="00427B30" w:rsidRPr="00974DA2" w:rsidRDefault="00000000">
            <w:pPr>
              <w:spacing w:after="40" w:line="256" w:lineRule="auto"/>
              <w:rPr>
                <w:color w:val="000000" w:themeColor="text1"/>
              </w:rPr>
            </w:pPr>
            <w:r>
              <w:rPr>
                <w:color w:val="000000" w:themeColor="text1"/>
                <w:sz w:val="16"/>
                <w:szCs w:val="16"/>
              </w:rPr>
              <w:t>https://doi.org/10.1016/j.procs.2025.02.032</w:t>
            </w:r>
          </w:p>
        </w:tc>
      </w:tr>
      <w:tr w:rsidR="00427B30" w:rsidRPr="00974DA2" w14:paraId="2A040F87" w14:textId="77777777">
        <w:tc>
          <w:tcPr>
            <w:tcW w:w="3300" w:type="dxa"/>
            <w:tcMar>
              <w:top w:w="80" w:type="dxa"/>
              <w:left w:w="100" w:type="dxa"/>
              <w:bottom w:w="80" w:type="dxa"/>
              <w:right w:w="100" w:type="dxa"/>
            </w:tcMar>
          </w:tcPr>
          <w:p w14:paraId="6B151ED4" w14:textId="77777777" w:rsidR="00427B30" w:rsidRPr="00974DA2" w:rsidRDefault="00000000">
            <w:pPr>
              <w:spacing w:after="40" w:line="256" w:lineRule="auto"/>
              <w:rPr>
                <w:color w:val="000000" w:themeColor="text1"/>
                <w:lang w:val="es-US"/>
              </w:rPr>
            </w:pPr>
            <w:r w:rsidRPr="00974DA2">
              <w:rPr>
                <w:color w:val="000000" w:themeColor="text1"/>
                <w:sz w:val="16"/>
                <w:szCs w:val="16"/>
                <w:lang w:val="es-US"/>
              </w:rPr>
              <w:t xml:space="preserve">Esteban et al. (2017) (AA, </w:t>
            </w:r>
            <w:proofErr w:type="spellStart"/>
            <w:r w:rsidRPr="00974DA2">
              <w:rPr>
                <w:color w:val="000000" w:themeColor="text1"/>
                <w:sz w:val="16"/>
                <w:szCs w:val="16"/>
                <w:lang w:val="es-US"/>
              </w:rPr>
              <w:t>preprint</w:t>
            </w:r>
            <w:proofErr w:type="spellEnd"/>
            <w:r w:rsidRPr="00974DA2">
              <w:rPr>
                <w:color w:val="000000" w:themeColor="text1"/>
                <w:sz w:val="16"/>
                <w:szCs w:val="16"/>
                <w:lang w:val="es-US"/>
              </w:rPr>
              <w:t>)</w:t>
            </w:r>
          </w:p>
        </w:tc>
        <w:tc>
          <w:tcPr>
            <w:tcW w:w="5700" w:type="dxa"/>
            <w:tcMar>
              <w:top w:w="80" w:type="dxa"/>
              <w:left w:w="100" w:type="dxa"/>
              <w:bottom w:w="80" w:type="dxa"/>
              <w:right w:w="100" w:type="dxa"/>
            </w:tcMar>
          </w:tcPr>
          <w:p w14:paraId="244C9BDC" w14:textId="77777777" w:rsidR="00427B30" w:rsidRPr="00974DA2" w:rsidRDefault="00000000">
            <w:pPr>
              <w:spacing w:after="40" w:line="256" w:lineRule="auto"/>
              <w:rPr>
                <w:color w:val="000000" w:themeColor="text1"/>
              </w:rPr>
            </w:pPr>
            <w:r w:rsidRPr="00974DA2">
              <w:rPr>
                <w:color w:val="000000" w:themeColor="text1"/>
                <w:sz w:val="16"/>
                <w:szCs w:val="16"/>
              </w:rPr>
              <w:t>https://arxiv.org/abs/1706.02633</w:t>
            </w:r>
          </w:p>
        </w:tc>
      </w:tr>
      <w:tr w:rsidR="00427B30" w:rsidRPr="00974DA2" w14:paraId="100328DA" w14:textId="77777777">
        <w:tc>
          <w:tcPr>
            <w:tcW w:w="3300" w:type="dxa"/>
            <w:tcMar>
              <w:top w:w="80" w:type="dxa"/>
              <w:left w:w="100" w:type="dxa"/>
              <w:bottom w:w="80" w:type="dxa"/>
              <w:right w:w="100" w:type="dxa"/>
            </w:tcMar>
          </w:tcPr>
          <w:p w14:paraId="78D48841" w14:textId="77777777" w:rsidR="00427B30" w:rsidRPr="00974DA2" w:rsidRDefault="00000000">
            <w:pPr>
              <w:spacing w:after="40" w:line="256" w:lineRule="auto"/>
              <w:rPr>
                <w:color w:val="000000" w:themeColor="text1"/>
              </w:rPr>
            </w:pPr>
            <w:r w:rsidRPr="00974DA2">
              <w:rPr>
                <w:color w:val="000000" w:themeColor="text1"/>
                <w:sz w:val="16"/>
                <w:szCs w:val="16"/>
              </w:rPr>
              <w:t>Figueira y Vaz (2022) (AA)</w:t>
            </w:r>
          </w:p>
        </w:tc>
        <w:tc>
          <w:tcPr>
            <w:tcW w:w="5700" w:type="dxa"/>
            <w:tcMar>
              <w:top w:w="80" w:type="dxa"/>
              <w:left w:w="100" w:type="dxa"/>
              <w:bottom w:w="80" w:type="dxa"/>
              <w:right w:w="100" w:type="dxa"/>
            </w:tcMar>
          </w:tcPr>
          <w:p w14:paraId="0C7C1A21" w14:textId="77777777" w:rsidR="00427B30" w:rsidRPr="00974DA2" w:rsidRDefault="00000000">
            <w:pPr>
              <w:spacing w:after="40" w:line="256" w:lineRule="auto"/>
              <w:rPr>
                <w:color w:val="000000" w:themeColor="text1"/>
              </w:rPr>
            </w:pPr>
            <w:r w:rsidRPr="00974DA2">
              <w:rPr>
                <w:color w:val="000000" w:themeColor="text1"/>
                <w:sz w:val="16"/>
                <w:szCs w:val="16"/>
              </w:rPr>
              <w:t>https://www.mdpi.com/2227-7390/10/15/2733</w:t>
            </w:r>
          </w:p>
        </w:tc>
      </w:tr>
      <w:tr w:rsidR="00427B30" w:rsidRPr="00974DA2" w14:paraId="78CF57F7" w14:textId="77777777">
        <w:tc>
          <w:tcPr>
            <w:tcW w:w="3300" w:type="dxa"/>
            <w:tcMar>
              <w:top w:w="80" w:type="dxa"/>
              <w:left w:w="100" w:type="dxa"/>
              <w:bottom w:w="80" w:type="dxa"/>
              <w:right w:w="100" w:type="dxa"/>
            </w:tcMar>
          </w:tcPr>
          <w:p w14:paraId="6442E3E6" w14:textId="77777777" w:rsidR="00427B30" w:rsidRPr="00974DA2" w:rsidRDefault="00000000">
            <w:pPr>
              <w:spacing w:after="40" w:line="256" w:lineRule="auto"/>
              <w:rPr>
                <w:color w:val="000000" w:themeColor="text1"/>
              </w:rPr>
            </w:pPr>
            <w:r w:rsidRPr="00974DA2">
              <w:rPr>
                <w:color w:val="000000" w:themeColor="text1"/>
                <w:sz w:val="16"/>
                <w:szCs w:val="16"/>
              </w:rPr>
              <w:t>Goncalves et al. (2020) (AA)</w:t>
            </w:r>
          </w:p>
        </w:tc>
        <w:tc>
          <w:tcPr>
            <w:tcW w:w="5700" w:type="dxa"/>
            <w:tcMar>
              <w:top w:w="80" w:type="dxa"/>
              <w:left w:w="100" w:type="dxa"/>
              <w:bottom w:w="80" w:type="dxa"/>
              <w:right w:w="100" w:type="dxa"/>
            </w:tcMar>
          </w:tcPr>
          <w:p w14:paraId="752DCAF0" w14:textId="77777777" w:rsidR="00427B30" w:rsidRPr="00974DA2" w:rsidRDefault="00000000">
            <w:pPr>
              <w:spacing w:after="40" w:line="256" w:lineRule="auto"/>
              <w:rPr>
                <w:color w:val="000000" w:themeColor="text1"/>
              </w:rPr>
            </w:pPr>
            <w:r w:rsidRPr="00974DA2">
              <w:rPr>
                <w:color w:val="000000" w:themeColor="text1"/>
                <w:sz w:val="16"/>
                <w:szCs w:val="16"/>
              </w:rPr>
              <w:t>https://doi.org/10.1186/s12874-020-00977-1</w:t>
            </w:r>
          </w:p>
        </w:tc>
      </w:tr>
      <w:tr w:rsidR="00427B30" w:rsidRPr="00974DA2" w14:paraId="4ED50692" w14:textId="77777777">
        <w:tc>
          <w:tcPr>
            <w:tcW w:w="3300" w:type="dxa"/>
            <w:tcMar>
              <w:top w:w="80" w:type="dxa"/>
              <w:left w:w="100" w:type="dxa"/>
              <w:bottom w:w="80" w:type="dxa"/>
              <w:right w:w="100" w:type="dxa"/>
            </w:tcMar>
          </w:tcPr>
          <w:p w14:paraId="456E8575" w14:textId="77777777" w:rsidR="00427B30" w:rsidRPr="00974DA2" w:rsidRDefault="00000000">
            <w:pPr>
              <w:spacing w:after="40" w:line="256" w:lineRule="auto"/>
              <w:rPr>
                <w:color w:val="000000" w:themeColor="text1"/>
              </w:rPr>
            </w:pPr>
            <w:r w:rsidRPr="00974DA2">
              <w:rPr>
                <w:color w:val="000000" w:themeColor="text1"/>
                <w:sz w:val="16"/>
                <w:szCs w:val="16"/>
              </w:rPr>
              <w:t>Hassi et al. (2025) (AA)</w:t>
            </w:r>
          </w:p>
        </w:tc>
        <w:tc>
          <w:tcPr>
            <w:tcW w:w="5700" w:type="dxa"/>
            <w:tcMar>
              <w:top w:w="80" w:type="dxa"/>
              <w:left w:w="100" w:type="dxa"/>
              <w:bottom w:w="80" w:type="dxa"/>
              <w:right w:w="100" w:type="dxa"/>
            </w:tcMar>
          </w:tcPr>
          <w:p w14:paraId="3C02B48B" w14:textId="77777777" w:rsidR="00427B30" w:rsidRPr="00974DA2" w:rsidRDefault="00000000">
            <w:pPr>
              <w:spacing w:after="40" w:line="256" w:lineRule="auto"/>
              <w:rPr>
                <w:color w:val="000000" w:themeColor="text1"/>
              </w:rPr>
            </w:pPr>
            <w:r w:rsidRPr="00974DA2">
              <w:rPr>
                <w:color w:val="000000" w:themeColor="text1"/>
                <w:sz w:val="16"/>
                <w:szCs w:val="16"/>
              </w:rPr>
              <w:t>https://doi.org/10.14445/22315381/IJETT-V73I6P128</w:t>
            </w:r>
          </w:p>
        </w:tc>
      </w:tr>
      <w:tr w:rsidR="00427B30" w:rsidRPr="00974DA2" w14:paraId="75BE9771" w14:textId="77777777">
        <w:tc>
          <w:tcPr>
            <w:tcW w:w="3300" w:type="dxa"/>
            <w:tcMar>
              <w:top w:w="80" w:type="dxa"/>
              <w:left w:w="100" w:type="dxa"/>
              <w:bottom w:w="80" w:type="dxa"/>
              <w:right w:w="100" w:type="dxa"/>
            </w:tcMar>
          </w:tcPr>
          <w:p w14:paraId="5D69F337" w14:textId="77777777" w:rsidR="00427B30" w:rsidRPr="00974DA2" w:rsidRDefault="00000000">
            <w:pPr>
              <w:spacing w:after="40" w:line="256" w:lineRule="auto"/>
              <w:rPr>
                <w:color w:val="000000" w:themeColor="text1"/>
              </w:rPr>
            </w:pPr>
            <w:r w:rsidRPr="00974DA2">
              <w:rPr>
                <w:color w:val="000000" w:themeColor="text1"/>
                <w:sz w:val="16"/>
                <w:szCs w:val="16"/>
              </w:rPr>
              <w:t>Hernandez et al. (2025) (AA)</w:t>
            </w:r>
          </w:p>
        </w:tc>
        <w:tc>
          <w:tcPr>
            <w:tcW w:w="5700" w:type="dxa"/>
            <w:tcMar>
              <w:top w:w="80" w:type="dxa"/>
              <w:left w:w="100" w:type="dxa"/>
              <w:bottom w:w="80" w:type="dxa"/>
              <w:right w:w="100" w:type="dxa"/>
            </w:tcMar>
          </w:tcPr>
          <w:p w14:paraId="44A47F90" w14:textId="77777777" w:rsidR="00427B30" w:rsidRPr="00974DA2" w:rsidRDefault="00000000">
            <w:pPr>
              <w:spacing w:after="40" w:line="256" w:lineRule="auto"/>
              <w:rPr>
                <w:color w:val="000000" w:themeColor="text1"/>
              </w:rPr>
            </w:pPr>
            <w:r w:rsidRPr="00974DA2">
              <w:rPr>
                <w:color w:val="000000" w:themeColor="text1"/>
                <w:sz w:val="16"/>
                <w:szCs w:val="16"/>
              </w:rPr>
              <w:t>https://doi.org/10.3389/fdgth.2025.1576290</w:t>
            </w:r>
          </w:p>
        </w:tc>
      </w:tr>
      <w:tr w:rsidR="00427B30" w:rsidRPr="00974DA2" w14:paraId="107BDA66" w14:textId="77777777">
        <w:tc>
          <w:tcPr>
            <w:tcW w:w="3300" w:type="dxa"/>
            <w:tcMar>
              <w:top w:w="80" w:type="dxa"/>
              <w:left w:w="100" w:type="dxa"/>
              <w:bottom w:w="80" w:type="dxa"/>
              <w:right w:w="100" w:type="dxa"/>
            </w:tcMar>
          </w:tcPr>
          <w:p w14:paraId="2BC4CBFA" w14:textId="77777777" w:rsidR="00427B30" w:rsidRPr="00974DA2" w:rsidRDefault="00000000">
            <w:pPr>
              <w:spacing w:after="40" w:line="256" w:lineRule="auto"/>
              <w:rPr>
                <w:color w:val="000000" w:themeColor="text1"/>
                <w:lang w:val="es-US"/>
              </w:rPr>
            </w:pPr>
            <w:r w:rsidRPr="00974DA2">
              <w:rPr>
                <w:color w:val="000000" w:themeColor="text1"/>
                <w:sz w:val="16"/>
                <w:szCs w:val="16"/>
                <w:lang w:val="es-US"/>
              </w:rPr>
              <w:t>Jordon et al. (2022) (AA, informe)</w:t>
            </w:r>
          </w:p>
        </w:tc>
        <w:tc>
          <w:tcPr>
            <w:tcW w:w="5700" w:type="dxa"/>
            <w:tcMar>
              <w:top w:w="80" w:type="dxa"/>
              <w:left w:w="100" w:type="dxa"/>
              <w:bottom w:w="80" w:type="dxa"/>
              <w:right w:w="100" w:type="dxa"/>
            </w:tcMar>
          </w:tcPr>
          <w:p w14:paraId="37D20E50" w14:textId="77777777" w:rsidR="00427B30" w:rsidRPr="00974DA2" w:rsidRDefault="00000000">
            <w:pPr>
              <w:spacing w:after="40" w:line="256" w:lineRule="auto"/>
              <w:rPr>
                <w:color w:val="000000" w:themeColor="text1"/>
              </w:rPr>
            </w:pPr>
            <w:r w:rsidRPr="00974DA2">
              <w:rPr>
                <w:color w:val="000000" w:themeColor="text1"/>
                <w:sz w:val="16"/>
                <w:szCs w:val="16"/>
              </w:rPr>
              <w:t>https://arxiv.org/abs/2205.03257</w:t>
            </w:r>
          </w:p>
        </w:tc>
      </w:tr>
      <w:tr w:rsidR="00427B30" w:rsidRPr="00974DA2" w14:paraId="6170F207" w14:textId="77777777">
        <w:tc>
          <w:tcPr>
            <w:tcW w:w="3300" w:type="dxa"/>
            <w:tcMar>
              <w:top w:w="80" w:type="dxa"/>
              <w:left w:w="100" w:type="dxa"/>
              <w:bottom w:w="80" w:type="dxa"/>
              <w:right w:w="100" w:type="dxa"/>
            </w:tcMar>
          </w:tcPr>
          <w:p w14:paraId="7A762B88" w14:textId="77777777" w:rsidR="00427B30" w:rsidRPr="00974DA2" w:rsidRDefault="00000000">
            <w:pPr>
              <w:spacing w:after="40" w:line="256" w:lineRule="auto"/>
              <w:rPr>
                <w:color w:val="000000" w:themeColor="text1"/>
              </w:rPr>
            </w:pPr>
            <w:proofErr w:type="spellStart"/>
            <w:r w:rsidRPr="00974DA2">
              <w:rPr>
                <w:color w:val="000000" w:themeColor="text1"/>
                <w:sz w:val="16"/>
                <w:szCs w:val="16"/>
              </w:rPr>
              <w:t>Khadivi</w:t>
            </w:r>
            <w:proofErr w:type="spellEnd"/>
            <w:r w:rsidRPr="00974DA2">
              <w:rPr>
                <w:color w:val="000000" w:themeColor="text1"/>
                <w:sz w:val="16"/>
                <w:szCs w:val="16"/>
              </w:rPr>
              <w:t xml:space="preserve"> et al. (2025)</w:t>
            </w:r>
          </w:p>
        </w:tc>
        <w:tc>
          <w:tcPr>
            <w:tcW w:w="5700" w:type="dxa"/>
            <w:tcMar>
              <w:top w:w="80" w:type="dxa"/>
              <w:left w:w="100" w:type="dxa"/>
              <w:bottom w:w="80" w:type="dxa"/>
              <w:right w:w="100" w:type="dxa"/>
            </w:tcMar>
          </w:tcPr>
          <w:p w14:paraId="2270EE41" w14:textId="77777777" w:rsidR="00427B30" w:rsidRPr="00974DA2" w:rsidRDefault="00000000">
            <w:pPr>
              <w:spacing w:after="40" w:line="256" w:lineRule="auto"/>
              <w:rPr>
                <w:color w:val="000000" w:themeColor="text1"/>
              </w:rPr>
            </w:pPr>
            <w:r w:rsidRPr="00974DA2">
              <w:rPr>
                <w:color w:val="000000" w:themeColor="text1"/>
                <w:sz w:val="16"/>
                <w:szCs w:val="16"/>
              </w:rPr>
              <w:t>https://doi.org/10.1016/j.cie.2025.110856</w:t>
            </w:r>
          </w:p>
        </w:tc>
      </w:tr>
      <w:tr w:rsidR="00427B30" w:rsidRPr="00974DA2" w14:paraId="5F6674A7" w14:textId="77777777">
        <w:tc>
          <w:tcPr>
            <w:tcW w:w="3300" w:type="dxa"/>
            <w:tcMar>
              <w:top w:w="80" w:type="dxa"/>
              <w:left w:w="100" w:type="dxa"/>
              <w:bottom w:w="80" w:type="dxa"/>
              <w:right w:w="100" w:type="dxa"/>
            </w:tcMar>
          </w:tcPr>
          <w:p w14:paraId="4501DC25" w14:textId="77777777" w:rsidR="00427B30" w:rsidRPr="00974DA2" w:rsidRDefault="00000000">
            <w:pPr>
              <w:spacing w:after="40" w:line="256" w:lineRule="auto"/>
              <w:rPr>
                <w:color w:val="000000" w:themeColor="text1"/>
              </w:rPr>
            </w:pPr>
            <w:proofErr w:type="spellStart"/>
            <w:r w:rsidRPr="00974DA2">
              <w:rPr>
                <w:color w:val="000000" w:themeColor="text1"/>
                <w:sz w:val="16"/>
                <w:szCs w:val="16"/>
              </w:rPr>
              <w:t>Klaessens</w:t>
            </w:r>
            <w:proofErr w:type="spellEnd"/>
            <w:r w:rsidRPr="00974DA2">
              <w:rPr>
                <w:color w:val="000000" w:themeColor="text1"/>
                <w:sz w:val="16"/>
                <w:szCs w:val="16"/>
              </w:rPr>
              <w:t xml:space="preserve"> et al. (1988)</w:t>
            </w:r>
          </w:p>
        </w:tc>
        <w:tc>
          <w:tcPr>
            <w:tcW w:w="5700" w:type="dxa"/>
            <w:tcMar>
              <w:top w:w="80" w:type="dxa"/>
              <w:left w:w="100" w:type="dxa"/>
              <w:bottom w:w="80" w:type="dxa"/>
              <w:right w:w="100" w:type="dxa"/>
            </w:tcMar>
          </w:tcPr>
          <w:p w14:paraId="73675CF7" w14:textId="77777777" w:rsidR="00427B30" w:rsidRPr="00974DA2" w:rsidRDefault="00000000">
            <w:pPr>
              <w:spacing w:after="40" w:line="256" w:lineRule="auto"/>
              <w:rPr>
                <w:color w:val="000000" w:themeColor="text1"/>
              </w:rPr>
            </w:pPr>
            <w:r w:rsidRPr="00974DA2">
              <w:rPr>
                <w:color w:val="000000" w:themeColor="text1"/>
                <w:sz w:val="16"/>
                <w:szCs w:val="16"/>
              </w:rPr>
              <w:t>https://doi.org/10.1002/cem.1180020107</w:t>
            </w:r>
          </w:p>
        </w:tc>
      </w:tr>
      <w:tr w:rsidR="00427B30" w:rsidRPr="00974DA2" w14:paraId="0064E00C" w14:textId="77777777">
        <w:tc>
          <w:tcPr>
            <w:tcW w:w="3300" w:type="dxa"/>
            <w:tcMar>
              <w:top w:w="80" w:type="dxa"/>
              <w:left w:w="100" w:type="dxa"/>
              <w:bottom w:w="80" w:type="dxa"/>
              <w:right w:w="100" w:type="dxa"/>
            </w:tcMar>
          </w:tcPr>
          <w:p w14:paraId="78960D58" w14:textId="77777777" w:rsidR="00427B30" w:rsidRPr="00974DA2" w:rsidRDefault="00000000">
            <w:pPr>
              <w:spacing w:after="40" w:line="256" w:lineRule="auto"/>
              <w:rPr>
                <w:color w:val="000000" w:themeColor="text1"/>
              </w:rPr>
            </w:pPr>
            <w:proofErr w:type="spellStart"/>
            <w:r w:rsidRPr="00974DA2">
              <w:rPr>
                <w:color w:val="000000" w:themeColor="text1"/>
                <w:sz w:val="16"/>
                <w:szCs w:val="16"/>
              </w:rPr>
              <w:t>Kodumuru</w:t>
            </w:r>
            <w:proofErr w:type="spellEnd"/>
            <w:r w:rsidRPr="00974DA2">
              <w:rPr>
                <w:color w:val="000000" w:themeColor="text1"/>
                <w:sz w:val="16"/>
                <w:szCs w:val="16"/>
              </w:rPr>
              <w:t xml:space="preserve"> et al. (2025) (AA)</w:t>
            </w:r>
          </w:p>
        </w:tc>
        <w:tc>
          <w:tcPr>
            <w:tcW w:w="5700" w:type="dxa"/>
            <w:tcMar>
              <w:top w:w="80" w:type="dxa"/>
              <w:left w:w="100" w:type="dxa"/>
              <w:bottom w:w="80" w:type="dxa"/>
              <w:right w:w="100" w:type="dxa"/>
            </w:tcMar>
          </w:tcPr>
          <w:p w14:paraId="2F8AF1A4" w14:textId="77777777" w:rsidR="00427B30" w:rsidRPr="00974DA2" w:rsidRDefault="00000000">
            <w:pPr>
              <w:spacing w:after="40" w:line="256" w:lineRule="auto"/>
              <w:rPr>
                <w:color w:val="000000" w:themeColor="text1"/>
              </w:rPr>
            </w:pPr>
            <w:r w:rsidRPr="00974DA2">
              <w:rPr>
                <w:color w:val="000000" w:themeColor="text1"/>
                <w:sz w:val="16"/>
                <w:szCs w:val="16"/>
              </w:rPr>
              <w:t>https://www.mdpi.com/1999-4923/17/3/290</w:t>
            </w:r>
          </w:p>
        </w:tc>
      </w:tr>
      <w:tr w:rsidR="00427B30" w:rsidRPr="00974DA2" w14:paraId="1D0C7EB4" w14:textId="77777777">
        <w:tc>
          <w:tcPr>
            <w:tcW w:w="3300" w:type="dxa"/>
            <w:tcMar>
              <w:top w:w="80" w:type="dxa"/>
              <w:left w:w="100" w:type="dxa"/>
              <w:bottom w:w="80" w:type="dxa"/>
              <w:right w:w="100" w:type="dxa"/>
            </w:tcMar>
          </w:tcPr>
          <w:p w14:paraId="38F3DA11" w14:textId="77777777" w:rsidR="00427B30" w:rsidRPr="00974DA2" w:rsidRDefault="00000000">
            <w:pPr>
              <w:spacing w:after="40" w:line="256" w:lineRule="auto"/>
              <w:rPr>
                <w:color w:val="000000" w:themeColor="text1"/>
              </w:rPr>
            </w:pPr>
            <w:r w:rsidRPr="00974DA2">
              <w:rPr>
                <w:color w:val="000000" w:themeColor="text1"/>
                <w:sz w:val="16"/>
                <w:szCs w:val="16"/>
              </w:rPr>
              <w:lastRenderedPageBreak/>
              <w:t xml:space="preserve">Lopes et al. (2020) — </w:t>
            </w:r>
            <w:proofErr w:type="spellStart"/>
            <w:r w:rsidRPr="00974DA2">
              <w:rPr>
                <w:color w:val="000000" w:themeColor="text1"/>
                <w:sz w:val="16"/>
                <w:szCs w:val="16"/>
              </w:rPr>
              <w:t>resumen</w:t>
            </w:r>
            <w:proofErr w:type="spellEnd"/>
          </w:p>
        </w:tc>
        <w:tc>
          <w:tcPr>
            <w:tcW w:w="5700" w:type="dxa"/>
            <w:tcMar>
              <w:top w:w="80" w:type="dxa"/>
              <w:left w:w="100" w:type="dxa"/>
              <w:bottom w:w="80" w:type="dxa"/>
              <w:right w:w="100" w:type="dxa"/>
            </w:tcMar>
          </w:tcPr>
          <w:p w14:paraId="7E01905F" w14:textId="77777777" w:rsidR="00427B30" w:rsidRPr="00974DA2" w:rsidRDefault="00000000">
            <w:pPr>
              <w:spacing w:after="40" w:line="256" w:lineRule="auto"/>
              <w:rPr>
                <w:color w:val="000000" w:themeColor="text1"/>
              </w:rPr>
            </w:pPr>
            <w:r w:rsidRPr="00974DA2">
              <w:rPr>
                <w:color w:val="000000" w:themeColor="text1"/>
                <w:sz w:val="16"/>
                <w:szCs w:val="16"/>
              </w:rPr>
              <w:t>https://doi.org/10.1080/00207543.2019.1683250</w:t>
            </w:r>
          </w:p>
        </w:tc>
      </w:tr>
      <w:tr w:rsidR="00427B30" w:rsidRPr="00974DA2" w14:paraId="5B715D41" w14:textId="77777777">
        <w:tc>
          <w:tcPr>
            <w:tcW w:w="3300" w:type="dxa"/>
            <w:tcMar>
              <w:top w:w="80" w:type="dxa"/>
              <w:left w:w="100" w:type="dxa"/>
              <w:bottom w:w="80" w:type="dxa"/>
              <w:right w:w="100" w:type="dxa"/>
            </w:tcMar>
          </w:tcPr>
          <w:p w14:paraId="03659257" w14:textId="77777777" w:rsidR="00427B30" w:rsidRPr="00974DA2" w:rsidRDefault="00000000">
            <w:pPr>
              <w:spacing w:after="40" w:line="256" w:lineRule="auto"/>
              <w:rPr>
                <w:color w:val="000000" w:themeColor="text1"/>
              </w:rPr>
            </w:pPr>
            <w:r>
              <w:rPr>
                <w:color w:val="000000" w:themeColor="text1"/>
                <w:sz w:val="16"/>
                <w:szCs w:val="16"/>
              </w:rPr>
              <w:t>Lopes, P. V., et al. (2024) (AA)</w:t>
            </w:r>
          </w:p>
        </w:tc>
        <w:tc>
          <w:tcPr>
            <w:tcW w:w="5700" w:type="dxa"/>
            <w:tcMar>
              <w:top w:w="80" w:type="dxa"/>
              <w:left w:w="100" w:type="dxa"/>
              <w:bottom w:w="80" w:type="dxa"/>
              <w:right w:w="100" w:type="dxa"/>
            </w:tcMar>
          </w:tcPr>
          <w:p w14:paraId="6AABCA00" w14:textId="77777777" w:rsidR="00427B30" w:rsidRPr="00974DA2" w:rsidRDefault="00000000">
            <w:pPr>
              <w:spacing w:after="40" w:line="256" w:lineRule="auto"/>
              <w:rPr>
                <w:color w:val="000000" w:themeColor="text1"/>
              </w:rPr>
            </w:pPr>
            <w:r>
              <w:rPr>
                <w:color w:val="000000" w:themeColor="text1"/>
                <w:sz w:val="16"/>
                <w:szCs w:val="16"/>
              </w:rPr>
              <w:t>https://doi.org/10.1080/0951192X.2024.2322981</w:t>
            </w:r>
          </w:p>
        </w:tc>
      </w:tr>
      <w:tr w:rsidR="00427B30" w:rsidRPr="00974DA2" w14:paraId="3B4C193C" w14:textId="77777777">
        <w:tc>
          <w:tcPr>
            <w:tcW w:w="3300" w:type="dxa"/>
            <w:tcMar>
              <w:top w:w="80" w:type="dxa"/>
              <w:left w:w="100" w:type="dxa"/>
              <w:bottom w:w="80" w:type="dxa"/>
              <w:right w:w="100" w:type="dxa"/>
            </w:tcMar>
          </w:tcPr>
          <w:p w14:paraId="27137F1A" w14:textId="77777777" w:rsidR="00427B30" w:rsidRPr="00974DA2" w:rsidRDefault="00000000">
            <w:pPr>
              <w:spacing w:after="40" w:line="256" w:lineRule="auto"/>
              <w:rPr>
                <w:color w:val="000000" w:themeColor="text1"/>
              </w:rPr>
            </w:pPr>
            <w:r w:rsidRPr="00974DA2">
              <w:rPr>
                <w:color w:val="000000" w:themeColor="text1"/>
                <w:sz w:val="16"/>
                <w:szCs w:val="16"/>
              </w:rPr>
              <w:t>Martins et al. (2023)</w:t>
            </w:r>
          </w:p>
        </w:tc>
        <w:tc>
          <w:tcPr>
            <w:tcW w:w="5700" w:type="dxa"/>
            <w:tcMar>
              <w:top w:w="80" w:type="dxa"/>
              <w:left w:w="100" w:type="dxa"/>
              <w:bottom w:w="80" w:type="dxa"/>
              <w:right w:w="100" w:type="dxa"/>
            </w:tcMar>
          </w:tcPr>
          <w:p w14:paraId="31FFBEEB" w14:textId="77777777" w:rsidR="00427B30" w:rsidRPr="00974DA2" w:rsidRDefault="00000000">
            <w:pPr>
              <w:spacing w:after="40" w:line="256" w:lineRule="auto"/>
              <w:rPr>
                <w:color w:val="000000" w:themeColor="text1"/>
              </w:rPr>
            </w:pPr>
            <w:r w:rsidRPr="00974DA2">
              <w:rPr>
                <w:color w:val="000000" w:themeColor="text1"/>
                <w:sz w:val="16"/>
                <w:szCs w:val="16"/>
              </w:rPr>
              <w:t>https://doi.org/10.1007/s10732-023-09509-8</w:t>
            </w:r>
          </w:p>
        </w:tc>
      </w:tr>
      <w:tr w:rsidR="00427B30" w:rsidRPr="00974DA2" w14:paraId="735A5520" w14:textId="77777777">
        <w:tc>
          <w:tcPr>
            <w:tcW w:w="3300" w:type="dxa"/>
            <w:tcMar>
              <w:top w:w="80" w:type="dxa"/>
              <w:left w:w="100" w:type="dxa"/>
              <w:bottom w:w="80" w:type="dxa"/>
              <w:right w:w="100" w:type="dxa"/>
            </w:tcMar>
          </w:tcPr>
          <w:p w14:paraId="7170E0CB" w14:textId="77777777" w:rsidR="00427B30" w:rsidRPr="00974DA2" w:rsidRDefault="00000000">
            <w:pPr>
              <w:spacing w:after="40" w:line="256" w:lineRule="auto"/>
              <w:rPr>
                <w:color w:val="000000" w:themeColor="text1"/>
              </w:rPr>
            </w:pPr>
            <w:r w:rsidRPr="00974DA2">
              <w:rPr>
                <w:color w:val="000000" w:themeColor="text1"/>
                <w:sz w:val="16"/>
                <w:szCs w:val="16"/>
              </w:rPr>
              <w:t xml:space="preserve">Maslaton (2012) — </w:t>
            </w:r>
            <w:proofErr w:type="spellStart"/>
            <w:r w:rsidRPr="00974DA2">
              <w:rPr>
                <w:color w:val="000000" w:themeColor="text1"/>
                <w:sz w:val="16"/>
                <w:szCs w:val="16"/>
              </w:rPr>
              <w:t>índice</w:t>
            </w:r>
            <w:proofErr w:type="spellEnd"/>
            <w:r w:rsidRPr="00974DA2">
              <w:rPr>
                <w:color w:val="000000" w:themeColor="text1"/>
                <w:sz w:val="16"/>
                <w:szCs w:val="16"/>
              </w:rPr>
              <w:t xml:space="preserve"> ISPE</w:t>
            </w:r>
          </w:p>
        </w:tc>
        <w:tc>
          <w:tcPr>
            <w:tcW w:w="5700" w:type="dxa"/>
            <w:tcMar>
              <w:top w:w="80" w:type="dxa"/>
              <w:left w:w="100" w:type="dxa"/>
              <w:bottom w:w="80" w:type="dxa"/>
              <w:right w:w="100" w:type="dxa"/>
            </w:tcMar>
          </w:tcPr>
          <w:p w14:paraId="126CCF53" w14:textId="77777777" w:rsidR="00427B30" w:rsidRPr="00974DA2" w:rsidRDefault="00000000">
            <w:pPr>
              <w:spacing w:after="40" w:line="256" w:lineRule="auto"/>
              <w:rPr>
                <w:color w:val="000000" w:themeColor="text1"/>
              </w:rPr>
            </w:pPr>
            <w:r w:rsidRPr="00974DA2">
              <w:rPr>
                <w:color w:val="000000" w:themeColor="text1"/>
                <w:sz w:val="16"/>
                <w:szCs w:val="16"/>
              </w:rPr>
              <w:t>https://ispe.org/pharmaceutical-engineering/november-december-2012</w:t>
            </w:r>
          </w:p>
        </w:tc>
      </w:tr>
      <w:tr w:rsidR="00427B30" w:rsidRPr="00974DA2" w14:paraId="5B5B70C3" w14:textId="77777777">
        <w:tc>
          <w:tcPr>
            <w:tcW w:w="3300" w:type="dxa"/>
            <w:tcMar>
              <w:top w:w="80" w:type="dxa"/>
              <w:left w:w="100" w:type="dxa"/>
              <w:bottom w:w="80" w:type="dxa"/>
              <w:right w:w="100" w:type="dxa"/>
            </w:tcMar>
          </w:tcPr>
          <w:p w14:paraId="6B80B2BF" w14:textId="77777777" w:rsidR="00427B30" w:rsidRPr="00974DA2" w:rsidRDefault="00000000">
            <w:pPr>
              <w:spacing w:after="40" w:line="256" w:lineRule="auto"/>
              <w:rPr>
                <w:color w:val="000000" w:themeColor="text1"/>
              </w:rPr>
            </w:pPr>
            <w:proofErr w:type="spellStart"/>
            <w:r w:rsidRPr="00974DA2">
              <w:rPr>
                <w:color w:val="000000" w:themeColor="text1"/>
                <w:sz w:val="16"/>
                <w:szCs w:val="16"/>
              </w:rPr>
              <w:t>Mischek</w:t>
            </w:r>
            <w:proofErr w:type="spellEnd"/>
            <w:r w:rsidRPr="00974DA2">
              <w:rPr>
                <w:color w:val="000000" w:themeColor="text1"/>
                <w:sz w:val="16"/>
                <w:szCs w:val="16"/>
              </w:rPr>
              <w:t xml:space="preserve"> y Musliu (2024) (AA)</w:t>
            </w:r>
          </w:p>
        </w:tc>
        <w:tc>
          <w:tcPr>
            <w:tcW w:w="5700" w:type="dxa"/>
            <w:tcMar>
              <w:top w:w="80" w:type="dxa"/>
              <w:left w:w="100" w:type="dxa"/>
              <w:bottom w:w="80" w:type="dxa"/>
              <w:right w:w="100" w:type="dxa"/>
            </w:tcMar>
          </w:tcPr>
          <w:p w14:paraId="43562879" w14:textId="77777777" w:rsidR="00427B30" w:rsidRPr="00974DA2" w:rsidRDefault="00000000">
            <w:pPr>
              <w:spacing w:after="40" w:line="256" w:lineRule="auto"/>
              <w:rPr>
                <w:color w:val="000000" w:themeColor="text1"/>
              </w:rPr>
            </w:pPr>
            <w:r w:rsidRPr="00974DA2">
              <w:rPr>
                <w:color w:val="000000" w:themeColor="text1"/>
                <w:sz w:val="16"/>
                <w:szCs w:val="16"/>
              </w:rPr>
              <w:t>https://doi.org/10.1609/icaps.v34i1.31497</w:t>
            </w:r>
          </w:p>
        </w:tc>
      </w:tr>
      <w:tr w:rsidR="00427B30" w:rsidRPr="0026418E" w14:paraId="095A9B16" w14:textId="77777777">
        <w:tc>
          <w:tcPr>
            <w:tcW w:w="3300" w:type="dxa"/>
            <w:tcMar>
              <w:top w:w="80" w:type="dxa"/>
              <w:left w:w="100" w:type="dxa"/>
              <w:bottom w:w="80" w:type="dxa"/>
              <w:right w:w="100" w:type="dxa"/>
            </w:tcMar>
          </w:tcPr>
          <w:p w14:paraId="5E01DBA1" w14:textId="77777777" w:rsidR="00427B30" w:rsidRPr="0026418E" w:rsidRDefault="00000000">
            <w:pPr>
              <w:spacing w:after="40" w:line="256" w:lineRule="auto"/>
              <w:rPr>
                <w:color w:val="000000" w:themeColor="text1"/>
                <w:lang w:val="es-US"/>
              </w:rPr>
            </w:pPr>
            <w:r w:rsidRPr="0026418E">
              <w:rPr>
                <w:color w:val="000000" w:themeColor="text1"/>
                <w:sz w:val="16"/>
                <w:szCs w:val="16"/>
                <w:lang w:val="es-US"/>
              </w:rPr>
              <w:t>Muñoz-Pinzón et al. (2024) (AA)</w:t>
            </w:r>
          </w:p>
        </w:tc>
        <w:tc>
          <w:tcPr>
            <w:tcW w:w="5700" w:type="dxa"/>
            <w:tcMar>
              <w:top w:w="80" w:type="dxa"/>
              <w:left w:w="100" w:type="dxa"/>
              <w:bottom w:w="80" w:type="dxa"/>
              <w:right w:w="100" w:type="dxa"/>
            </w:tcMar>
          </w:tcPr>
          <w:p w14:paraId="085393D2" w14:textId="77777777" w:rsidR="00427B30" w:rsidRPr="0026418E" w:rsidRDefault="00000000">
            <w:pPr>
              <w:spacing w:after="40" w:line="256" w:lineRule="auto"/>
              <w:rPr>
                <w:color w:val="000000" w:themeColor="text1"/>
                <w:lang w:val="es-US"/>
              </w:rPr>
            </w:pPr>
            <w:r w:rsidRPr="0026418E">
              <w:rPr>
                <w:color w:val="000000" w:themeColor="text1"/>
                <w:sz w:val="16"/>
                <w:szCs w:val="16"/>
                <w:lang w:val="es-US"/>
              </w:rPr>
              <w:t>https://doi.org/10.33571/rpolitec.v20n39a7</w:t>
            </w:r>
          </w:p>
        </w:tc>
      </w:tr>
      <w:tr w:rsidR="00427B30" w:rsidRPr="00974DA2" w14:paraId="5D3DFFEF" w14:textId="77777777">
        <w:tc>
          <w:tcPr>
            <w:tcW w:w="3300" w:type="dxa"/>
            <w:tcMar>
              <w:top w:w="80" w:type="dxa"/>
              <w:left w:w="100" w:type="dxa"/>
              <w:bottom w:w="80" w:type="dxa"/>
              <w:right w:w="100" w:type="dxa"/>
            </w:tcMar>
          </w:tcPr>
          <w:p w14:paraId="73FC4C84" w14:textId="77777777" w:rsidR="00427B30" w:rsidRPr="00974DA2" w:rsidRDefault="00000000">
            <w:pPr>
              <w:spacing w:after="40" w:line="256" w:lineRule="auto"/>
              <w:rPr>
                <w:color w:val="000000" w:themeColor="text1"/>
              </w:rPr>
            </w:pPr>
            <w:r w:rsidRPr="00974DA2">
              <w:rPr>
                <w:color w:val="000000" w:themeColor="text1"/>
                <w:sz w:val="16"/>
                <w:szCs w:val="16"/>
              </w:rPr>
              <w:t>Patki et al. (2016)</w:t>
            </w:r>
          </w:p>
        </w:tc>
        <w:tc>
          <w:tcPr>
            <w:tcW w:w="5700" w:type="dxa"/>
            <w:tcMar>
              <w:top w:w="80" w:type="dxa"/>
              <w:left w:w="100" w:type="dxa"/>
              <w:bottom w:w="80" w:type="dxa"/>
              <w:right w:w="100" w:type="dxa"/>
            </w:tcMar>
          </w:tcPr>
          <w:p w14:paraId="311066A1" w14:textId="77777777" w:rsidR="00427B30" w:rsidRPr="00974DA2" w:rsidRDefault="00000000">
            <w:pPr>
              <w:spacing w:after="40" w:line="256" w:lineRule="auto"/>
              <w:rPr>
                <w:color w:val="000000" w:themeColor="text1"/>
              </w:rPr>
            </w:pPr>
            <w:r w:rsidRPr="00974DA2">
              <w:rPr>
                <w:color w:val="000000" w:themeColor="text1"/>
                <w:sz w:val="16"/>
                <w:szCs w:val="16"/>
              </w:rPr>
              <w:t>https://doi.org/10.1109/DSAA.2016.49</w:t>
            </w:r>
          </w:p>
        </w:tc>
      </w:tr>
      <w:tr w:rsidR="00427B30" w:rsidRPr="00974DA2" w14:paraId="7ABDEE87" w14:textId="77777777">
        <w:tc>
          <w:tcPr>
            <w:tcW w:w="3300" w:type="dxa"/>
            <w:tcMar>
              <w:top w:w="80" w:type="dxa"/>
              <w:left w:w="100" w:type="dxa"/>
              <w:bottom w:w="80" w:type="dxa"/>
              <w:right w:w="100" w:type="dxa"/>
            </w:tcMar>
          </w:tcPr>
          <w:p w14:paraId="2E905EAC" w14:textId="77777777" w:rsidR="00427B30" w:rsidRPr="00974DA2" w:rsidRDefault="00000000">
            <w:pPr>
              <w:spacing w:after="40" w:line="256" w:lineRule="auto"/>
              <w:rPr>
                <w:color w:val="000000" w:themeColor="text1"/>
              </w:rPr>
            </w:pPr>
            <w:r w:rsidRPr="00974DA2">
              <w:rPr>
                <w:color w:val="000000" w:themeColor="text1"/>
                <w:sz w:val="16"/>
                <w:szCs w:val="16"/>
              </w:rPr>
              <w:t>Schäfer (2004)</w:t>
            </w:r>
          </w:p>
        </w:tc>
        <w:tc>
          <w:tcPr>
            <w:tcW w:w="5700" w:type="dxa"/>
            <w:tcMar>
              <w:top w:w="80" w:type="dxa"/>
              <w:left w:w="100" w:type="dxa"/>
              <w:bottom w:w="80" w:type="dxa"/>
              <w:right w:w="100" w:type="dxa"/>
            </w:tcMar>
          </w:tcPr>
          <w:p w14:paraId="738CC712" w14:textId="77777777" w:rsidR="00427B30" w:rsidRPr="00974DA2" w:rsidRDefault="00000000">
            <w:pPr>
              <w:spacing w:after="40" w:line="256" w:lineRule="auto"/>
              <w:rPr>
                <w:color w:val="000000" w:themeColor="text1"/>
              </w:rPr>
            </w:pPr>
            <w:r w:rsidRPr="00974DA2">
              <w:rPr>
                <w:color w:val="000000" w:themeColor="text1"/>
                <w:sz w:val="16"/>
                <w:szCs w:val="16"/>
              </w:rPr>
              <w:t>https://doi.org/10.1016/j.jala.2004.10.001</w:t>
            </w:r>
          </w:p>
        </w:tc>
      </w:tr>
      <w:tr w:rsidR="00427B30" w:rsidRPr="00974DA2" w14:paraId="1838E706" w14:textId="77777777">
        <w:tc>
          <w:tcPr>
            <w:tcW w:w="3300" w:type="dxa"/>
            <w:tcMar>
              <w:top w:w="80" w:type="dxa"/>
              <w:left w:w="100" w:type="dxa"/>
              <w:bottom w:w="80" w:type="dxa"/>
              <w:right w:w="100" w:type="dxa"/>
            </w:tcMar>
          </w:tcPr>
          <w:p w14:paraId="6374ADF2" w14:textId="77777777" w:rsidR="00427B30" w:rsidRPr="00974DA2" w:rsidRDefault="00000000">
            <w:pPr>
              <w:spacing w:after="40" w:line="256" w:lineRule="auto"/>
              <w:rPr>
                <w:color w:val="000000" w:themeColor="text1"/>
              </w:rPr>
            </w:pPr>
            <w:proofErr w:type="spellStart"/>
            <w:r w:rsidRPr="00974DA2">
              <w:rPr>
                <w:color w:val="000000" w:themeColor="text1"/>
                <w:sz w:val="16"/>
                <w:szCs w:val="16"/>
              </w:rPr>
              <w:t>Vallevik</w:t>
            </w:r>
            <w:proofErr w:type="spellEnd"/>
            <w:r w:rsidRPr="00974DA2">
              <w:rPr>
                <w:color w:val="000000" w:themeColor="text1"/>
                <w:sz w:val="16"/>
                <w:szCs w:val="16"/>
              </w:rPr>
              <w:t xml:space="preserve"> et al. (2024)</w:t>
            </w:r>
          </w:p>
        </w:tc>
        <w:tc>
          <w:tcPr>
            <w:tcW w:w="5700" w:type="dxa"/>
            <w:tcMar>
              <w:top w:w="80" w:type="dxa"/>
              <w:left w:w="100" w:type="dxa"/>
              <w:bottom w:w="80" w:type="dxa"/>
              <w:right w:w="100" w:type="dxa"/>
            </w:tcMar>
          </w:tcPr>
          <w:p w14:paraId="0E421554" w14:textId="77777777" w:rsidR="00427B30" w:rsidRPr="00974DA2" w:rsidRDefault="00000000">
            <w:pPr>
              <w:spacing w:after="40" w:line="256" w:lineRule="auto"/>
              <w:rPr>
                <w:color w:val="000000" w:themeColor="text1"/>
              </w:rPr>
            </w:pPr>
            <w:r w:rsidRPr="00974DA2">
              <w:rPr>
                <w:color w:val="000000" w:themeColor="text1"/>
                <w:sz w:val="16"/>
                <w:szCs w:val="16"/>
              </w:rPr>
              <w:t>https://doi.org/10.1016/j.ijmedinf.2024.105413</w:t>
            </w:r>
          </w:p>
        </w:tc>
      </w:tr>
      <w:tr w:rsidR="00427B30" w:rsidRPr="00974DA2" w14:paraId="2F6DA7D1" w14:textId="77777777">
        <w:tc>
          <w:tcPr>
            <w:tcW w:w="3300" w:type="dxa"/>
            <w:tcMar>
              <w:top w:w="80" w:type="dxa"/>
              <w:left w:w="100" w:type="dxa"/>
              <w:bottom w:w="80" w:type="dxa"/>
              <w:right w:w="100" w:type="dxa"/>
            </w:tcMar>
          </w:tcPr>
          <w:p w14:paraId="5A038ACC" w14:textId="77777777" w:rsidR="00427B30" w:rsidRPr="00974DA2" w:rsidRDefault="00000000">
            <w:pPr>
              <w:spacing w:after="40" w:line="256" w:lineRule="auto"/>
              <w:rPr>
                <w:color w:val="000000" w:themeColor="text1"/>
              </w:rPr>
            </w:pPr>
            <w:r w:rsidRPr="00974DA2">
              <w:rPr>
                <w:color w:val="000000" w:themeColor="text1"/>
                <w:sz w:val="16"/>
                <w:szCs w:val="16"/>
              </w:rPr>
              <w:t>Xu et al. (2019) (AA)</w:t>
            </w:r>
          </w:p>
        </w:tc>
        <w:tc>
          <w:tcPr>
            <w:tcW w:w="5700" w:type="dxa"/>
            <w:tcMar>
              <w:top w:w="80" w:type="dxa"/>
              <w:left w:w="100" w:type="dxa"/>
              <w:bottom w:w="80" w:type="dxa"/>
              <w:right w:w="100" w:type="dxa"/>
            </w:tcMar>
          </w:tcPr>
          <w:p w14:paraId="54F0A819" w14:textId="77777777" w:rsidR="00427B30" w:rsidRPr="00974DA2" w:rsidRDefault="00000000">
            <w:pPr>
              <w:spacing w:after="40" w:line="256" w:lineRule="auto"/>
              <w:rPr>
                <w:color w:val="000000" w:themeColor="text1"/>
              </w:rPr>
            </w:pPr>
            <w:r w:rsidRPr="00974DA2">
              <w:rPr>
                <w:color w:val="000000" w:themeColor="text1"/>
                <w:sz w:val="16"/>
                <w:szCs w:val="16"/>
              </w:rPr>
              <w:t>https://proceedings.neurips.cc/paper_files/paper/2019/hash/254ed7d2de3b23ab10936522dd547b78-Abstract.html</w:t>
            </w:r>
          </w:p>
        </w:tc>
      </w:tr>
      <w:tr w:rsidR="00427B30" w:rsidRPr="0026418E" w14:paraId="4AFA92DD" w14:textId="77777777">
        <w:tc>
          <w:tcPr>
            <w:tcW w:w="3300" w:type="dxa"/>
            <w:tcMar>
              <w:top w:w="80" w:type="dxa"/>
              <w:left w:w="100" w:type="dxa"/>
              <w:bottom w:w="80" w:type="dxa"/>
              <w:right w:w="100" w:type="dxa"/>
            </w:tcMar>
          </w:tcPr>
          <w:p w14:paraId="1CCBC383" w14:textId="77777777" w:rsidR="00427B30" w:rsidRPr="00974DA2" w:rsidRDefault="00000000">
            <w:pPr>
              <w:spacing w:after="40" w:line="256" w:lineRule="auto"/>
              <w:rPr>
                <w:color w:val="000000" w:themeColor="text1"/>
                <w:lang w:val="es-US"/>
              </w:rPr>
            </w:pPr>
            <w:r w:rsidRPr="00974DA2">
              <w:rPr>
                <w:color w:val="000000" w:themeColor="text1"/>
                <w:sz w:val="16"/>
                <w:szCs w:val="16"/>
                <w:lang w:val="es-US"/>
              </w:rPr>
              <w:t>Instancias TLSP — TU Wien (recurso público)</w:t>
            </w:r>
          </w:p>
        </w:tc>
        <w:tc>
          <w:tcPr>
            <w:tcW w:w="5700" w:type="dxa"/>
            <w:tcMar>
              <w:top w:w="80" w:type="dxa"/>
              <w:left w:w="100" w:type="dxa"/>
              <w:bottom w:w="80" w:type="dxa"/>
              <w:right w:w="100" w:type="dxa"/>
            </w:tcMar>
          </w:tcPr>
          <w:p w14:paraId="5018301C" w14:textId="77777777" w:rsidR="00427B30" w:rsidRPr="00974DA2" w:rsidRDefault="00000000">
            <w:pPr>
              <w:spacing w:after="40" w:line="256" w:lineRule="auto"/>
              <w:rPr>
                <w:color w:val="000000" w:themeColor="text1"/>
                <w:lang w:val="es-US"/>
              </w:rPr>
            </w:pPr>
            <w:r w:rsidRPr="00974DA2">
              <w:rPr>
                <w:color w:val="000000" w:themeColor="text1"/>
                <w:sz w:val="16"/>
                <w:szCs w:val="16"/>
                <w:lang w:val="es-US"/>
              </w:rPr>
              <w:t>https://www.dbai.tuwien.ac.at/staff/fmischek/TLSP/</w:t>
            </w:r>
          </w:p>
        </w:tc>
      </w:tr>
      <w:tr w:rsidR="00427B30" w:rsidRPr="00974DA2" w14:paraId="46588D81" w14:textId="77777777">
        <w:tc>
          <w:tcPr>
            <w:tcW w:w="3300" w:type="dxa"/>
            <w:tcMar>
              <w:top w:w="80" w:type="dxa"/>
              <w:left w:w="100" w:type="dxa"/>
              <w:bottom w:w="80" w:type="dxa"/>
              <w:right w:w="100" w:type="dxa"/>
            </w:tcMar>
          </w:tcPr>
          <w:p w14:paraId="09E10952" w14:textId="77777777" w:rsidR="00427B30" w:rsidRPr="00974DA2" w:rsidRDefault="00000000">
            <w:pPr>
              <w:spacing w:after="40" w:line="256" w:lineRule="auto"/>
              <w:rPr>
                <w:color w:val="000000" w:themeColor="text1"/>
              </w:rPr>
            </w:pPr>
            <w:r w:rsidRPr="00974DA2">
              <w:rPr>
                <w:color w:val="000000" w:themeColor="text1"/>
                <w:sz w:val="16"/>
                <w:szCs w:val="16"/>
                <w:lang w:val="es-US"/>
              </w:rPr>
              <w:t xml:space="preserve">Instancias QC farmacéutico, licencia MIT — repositorio de </w:t>
            </w:r>
            <w:proofErr w:type="spellStart"/>
            <w:r w:rsidRPr="00974DA2">
              <w:rPr>
                <w:color w:val="000000" w:themeColor="text1"/>
                <w:sz w:val="16"/>
                <w:szCs w:val="16"/>
                <w:lang w:val="es-US"/>
              </w:rPr>
              <w:t>Martins</w:t>
            </w:r>
            <w:proofErr w:type="spellEnd"/>
            <w:r w:rsidRPr="00974DA2">
              <w:rPr>
                <w:color w:val="000000" w:themeColor="text1"/>
                <w:sz w:val="16"/>
                <w:szCs w:val="16"/>
                <w:lang w:val="es-US"/>
              </w:rPr>
              <w:t xml:space="preserve"> et al. </w:t>
            </w:r>
            <w:r w:rsidRPr="00974DA2">
              <w:rPr>
                <w:color w:val="000000" w:themeColor="text1"/>
                <w:sz w:val="16"/>
                <w:szCs w:val="16"/>
              </w:rPr>
              <w:t>(2023)</w:t>
            </w:r>
          </w:p>
        </w:tc>
        <w:tc>
          <w:tcPr>
            <w:tcW w:w="5700" w:type="dxa"/>
            <w:tcMar>
              <w:top w:w="80" w:type="dxa"/>
              <w:left w:w="100" w:type="dxa"/>
              <w:bottom w:w="80" w:type="dxa"/>
              <w:right w:w="100" w:type="dxa"/>
            </w:tcMar>
          </w:tcPr>
          <w:p w14:paraId="192F4AE2" w14:textId="77777777" w:rsidR="00427B30" w:rsidRPr="00974DA2" w:rsidRDefault="00000000">
            <w:pPr>
              <w:spacing w:after="40" w:line="256" w:lineRule="auto"/>
              <w:rPr>
                <w:color w:val="000000" w:themeColor="text1"/>
              </w:rPr>
            </w:pPr>
            <w:r w:rsidRPr="00974DA2">
              <w:rPr>
                <w:color w:val="000000" w:themeColor="text1"/>
                <w:sz w:val="16"/>
                <w:szCs w:val="16"/>
              </w:rPr>
              <w:t>https://github.com/miguelsem/Minimizing-total-completion-time-in-large-sized-pharmaceutical-quality-control-scheduling</w:t>
            </w:r>
          </w:p>
        </w:tc>
      </w:tr>
      <w:tr w:rsidR="00427B30" w:rsidRPr="00974DA2" w14:paraId="785383A5" w14:textId="77777777">
        <w:tc>
          <w:tcPr>
            <w:tcW w:w="3300" w:type="dxa"/>
            <w:tcMar>
              <w:top w:w="80" w:type="dxa"/>
              <w:left w:w="100" w:type="dxa"/>
              <w:bottom w:w="80" w:type="dxa"/>
              <w:right w:w="100" w:type="dxa"/>
            </w:tcMar>
          </w:tcPr>
          <w:p w14:paraId="4E3959B1" w14:textId="77777777" w:rsidR="00427B30" w:rsidRPr="00974DA2" w:rsidRDefault="00000000">
            <w:pPr>
              <w:spacing w:after="40" w:line="256" w:lineRule="auto"/>
              <w:rPr>
                <w:color w:val="000000" w:themeColor="text1"/>
              </w:rPr>
            </w:pPr>
            <w:r w:rsidRPr="00974DA2">
              <w:rPr>
                <w:color w:val="000000" w:themeColor="text1"/>
                <w:sz w:val="16"/>
                <w:szCs w:val="16"/>
              </w:rPr>
              <w:t>OR-Library (</w:t>
            </w:r>
            <w:proofErr w:type="spellStart"/>
            <w:r w:rsidRPr="00974DA2">
              <w:rPr>
                <w:color w:val="000000" w:themeColor="text1"/>
                <w:sz w:val="16"/>
                <w:szCs w:val="16"/>
              </w:rPr>
              <w:t>instancias</w:t>
            </w:r>
            <w:proofErr w:type="spellEnd"/>
            <w:r w:rsidRPr="00974DA2">
              <w:rPr>
                <w:color w:val="000000" w:themeColor="text1"/>
                <w:sz w:val="16"/>
                <w:szCs w:val="16"/>
              </w:rPr>
              <w:t xml:space="preserve"> </w:t>
            </w:r>
            <w:proofErr w:type="spellStart"/>
            <w:r w:rsidRPr="00974DA2">
              <w:rPr>
                <w:color w:val="000000" w:themeColor="text1"/>
                <w:sz w:val="16"/>
                <w:szCs w:val="16"/>
              </w:rPr>
              <w:t>clásicas</w:t>
            </w:r>
            <w:proofErr w:type="spellEnd"/>
            <w:r w:rsidRPr="00974DA2">
              <w:rPr>
                <w:color w:val="000000" w:themeColor="text1"/>
                <w:sz w:val="16"/>
                <w:szCs w:val="16"/>
              </w:rPr>
              <w:t xml:space="preserve"> de scheduling)</w:t>
            </w:r>
          </w:p>
        </w:tc>
        <w:tc>
          <w:tcPr>
            <w:tcW w:w="5700" w:type="dxa"/>
            <w:tcMar>
              <w:top w:w="80" w:type="dxa"/>
              <w:left w:w="100" w:type="dxa"/>
              <w:bottom w:w="80" w:type="dxa"/>
              <w:right w:w="100" w:type="dxa"/>
            </w:tcMar>
          </w:tcPr>
          <w:p w14:paraId="0932AE40" w14:textId="77777777" w:rsidR="00427B30" w:rsidRPr="00974DA2" w:rsidRDefault="00000000">
            <w:pPr>
              <w:spacing w:after="40" w:line="256" w:lineRule="auto"/>
              <w:rPr>
                <w:color w:val="000000" w:themeColor="text1"/>
              </w:rPr>
            </w:pPr>
            <w:r w:rsidRPr="00974DA2">
              <w:rPr>
                <w:color w:val="000000" w:themeColor="text1"/>
                <w:sz w:val="16"/>
                <w:szCs w:val="16"/>
              </w:rPr>
              <w:t>http://people.brunel.ac.uk/~mastjjb/jeb/info.html</w:t>
            </w:r>
          </w:p>
        </w:tc>
      </w:tr>
    </w:tbl>
    <w:p w14:paraId="36EE4C33" w14:textId="77777777" w:rsidR="00414CAE" w:rsidRDefault="00414CAE"/>
    <w:sectPr w:rsidR="00414CAE">
      <w:pgSz w:w="12240" w:h="15840"/>
      <w:pgMar w:top="1150" w:right="1300" w:bottom="115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4A79"/>
    <w:multiLevelType w:val="hybridMultilevel"/>
    <w:tmpl w:val="E9620C7A"/>
    <w:lvl w:ilvl="0" w:tplc="062876C6">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173A4"/>
    <w:multiLevelType w:val="hybridMultilevel"/>
    <w:tmpl w:val="CC705F46"/>
    <w:lvl w:ilvl="0" w:tplc="055AA68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4677B3"/>
    <w:multiLevelType w:val="hybridMultilevel"/>
    <w:tmpl w:val="64381ABC"/>
    <w:lvl w:ilvl="0" w:tplc="86D2A272">
      <w:numFmt w:val="bullet"/>
      <w:lvlText w:val=""/>
      <w:lvlJc w:val="left"/>
      <w:pPr>
        <w:ind w:left="720" w:hanging="360"/>
      </w:pPr>
      <w:rPr>
        <w:rFonts w:ascii="Symbol" w:eastAsia="Calibri" w:hAnsi="Symbol" w:cs="Calibri" w:hint="default"/>
        <w:i/>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C07A9E"/>
    <w:multiLevelType w:val="hybridMultilevel"/>
    <w:tmpl w:val="DF2AEB0E"/>
    <w:lvl w:ilvl="0" w:tplc="3E964C28">
      <w:start w:val="1"/>
      <w:numFmt w:val="bullet"/>
      <w:lvlText w:val="●"/>
      <w:lvlJc w:val="left"/>
      <w:pPr>
        <w:ind w:left="720" w:hanging="360"/>
      </w:pPr>
    </w:lvl>
    <w:lvl w:ilvl="1" w:tplc="0E842536">
      <w:start w:val="1"/>
      <w:numFmt w:val="bullet"/>
      <w:lvlText w:val="○"/>
      <w:lvlJc w:val="left"/>
      <w:pPr>
        <w:ind w:left="1440" w:hanging="360"/>
      </w:pPr>
    </w:lvl>
    <w:lvl w:ilvl="2" w:tplc="0AE6585C">
      <w:start w:val="1"/>
      <w:numFmt w:val="bullet"/>
      <w:lvlText w:val="■"/>
      <w:lvlJc w:val="left"/>
      <w:pPr>
        <w:ind w:left="2160" w:hanging="360"/>
      </w:pPr>
    </w:lvl>
    <w:lvl w:ilvl="3" w:tplc="1346BF56">
      <w:start w:val="1"/>
      <w:numFmt w:val="bullet"/>
      <w:lvlText w:val="●"/>
      <w:lvlJc w:val="left"/>
      <w:pPr>
        <w:ind w:left="2880" w:hanging="360"/>
      </w:pPr>
    </w:lvl>
    <w:lvl w:ilvl="4" w:tplc="C3447F46">
      <w:start w:val="1"/>
      <w:numFmt w:val="bullet"/>
      <w:lvlText w:val="○"/>
      <w:lvlJc w:val="left"/>
      <w:pPr>
        <w:ind w:left="3600" w:hanging="360"/>
      </w:pPr>
    </w:lvl>
    <w:lvl w:ilvl="5" w:tplc="31060E98">
      <w:start w:val="1"/>
      <w:numFmt w:val="bullet"/>
      <w:lvlText w:val="■"/>
      <w:lvlJc w:val="left"/>
      <w:pPr>
        <w:ind w:left="4320" w:hanging="360"/>
      </w:pPr>
    </w:lvl>
    <w:lvl w:ilvl="6" w:tplc="5BCAE116">
      <w:start w:val="1"/>
      <w:numFmt w:val="bullet"/>
      <w:lvlText w:val="●"/>
      <w:lvlJc w:val="left"/>
      <w:pPr>
        <w:ind w:left="5040" w:hanging="360"/>
      </w:pPr>
    </w:lvl>
    <w:lvl w:ilvl="7" w:tplc="AEE0326C">
      <w:start w:val="1"/>
      <w:numFmt w:val="bullet"/>
      <w:lvlText w:val="●"/>
      <w:lvlJc w:val="left"/>
      <w:pPr>
        <w:ind w:left="5760" w:hanging="360"/>
      </w:pPr>
    </w:lvl>
    <w:lvl w:ilvl="8" w:tplc="C9509728">
      <w:start w:val="1"/>
      <w:numFmt w:val="bullet"/>
      <w:lvlText w:val="●"/>
      <w:lvlJc w:val="left"/>
      <w:pPr>
        <w:ind w:left="6480" w:hanging="360"/>
      </w:pPr>
    </w:lvl>
  </w:abstractNum>
  <w:abstractNum w:abstractNumId="4" w15:restartNumberingAfterBreak="0">
    <w:nsid w:val="78517BB4"/>
    <w:multiLevelType w:val="hybridMultilevel"/>
    <w:tmpl w:val="1D3CF616"/>
    <w:lvl w:ilvl="0" w:tplc="4394D4E2">
      <w:start w:val="1"/>
      <w:numFmt w:val="bullet"/>
      <w:lvlText w:val="•"/>
      <w:lvlJc w:val="left"/>
      <w:pPr>
        <w:ind w:left="460" w:hanging="288"/>
      </w:pPr>
    </w:lvl>
    <w:lvl w:ilvl="1" w:tplc="6AEA243A">
      <w:numFmt w:val="decimal"/>
      <w:lvlText w:val=""/>
      <w:lvlJc w:val="left"/>
    </w:lvl>
    <w:lvl w:ilvl="2" w:tplc="4DB0ECDE">
      <w:numFmt w:val="decimal"/>
      <w:lvlText w:val=""/>
      <w:lvlJc w:val="left"/>
    </w:lvl>
    <w:lvl w:ilvl="3" w:tplc="C99E63A4">
      <w:numFmt w:val="decimal"/>
      <w:lvlText w:val=""/>
      <w:lvlJc w:val="left"/>
    </w:lvl>
    <w:lvl w:ilvl="4" w:tplc="0BFE946C">
      <w:numFmt w:val="decimal"/>
      <w:lvlText w:val=""/>
      <w:lvlJc w:val="left"/>
    </w:lvl>
    <w:lvl w:ilvl="5" w:tplc="7EDAF942">
      <w:numFmt w:val="decimal"/>
      <w:lvlText w:val=""/>
      <w:lvlJc w:val="left"/>
    </w:lvl>
    <w:lvl w:ilvl="6" w:tplc="0D9C576A">
      <w:numFmt w:val="decimal"/>
      <w:lvlText w:val=""/>
      <w:lvlJc w:val="left"/>
    </w:lvl>
    <w:lvl w:ilvl="7" w:tplc="E1504194">
      <w:numFmt w:val="decimal"/>
      <w:lvlText w:val=""/>
      <w:lvlJc w:val="left"/>
    </w:lvl>
    <w:lvl w:ilvl="8" w:tplc="40D47A90">
      <w:numFmt w:val="decimal"/>
      <w:lvlText w:val=""/>
      <w:lvlJc w:val="left"/>
    </w:lvl>
  </w:abstractNum>
  <w:num w:numId="1" w16cid:durableId="2107847916">
    <w:abstractNumId w:val="3"/>
    <w:lvlOverride w:ilvl="0">
      <w:startOverride w:val="1"/>
    </w:lvlOverride>
  </w:num>
  <w:num w:numId="2" w16cid:durableId="2008746428">
    <w:abstractNumId w:val="4"/>
    <w:lvlOverride w:ilvl="0">
      <w:startOverride w:val="1"/>
    </w:lvlOverride>
  </w:num>
  <w:num w:numId="3" w16cid:durableId="2068842435">
    <w:abstractNumId w:val="0"/>
  </w:num>
  <w:num w:numId="4" w16cid:durableId="2130659827">
    <w:abstractNumId w:val="2"/>
  </w:num>
  <w:num w:numId="5" w16cid:durableId="1020354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B30"/>
    <w:rsid w:val="0003284D"/>
    <w:rsid w:val="001778A9"/>
    <w:rsid w:val="001E2441"/>
    <w:rsid w:val="0026418E"/>
    <w:rsid w:val="00296F08"/>
    <w:rsid w:val="00414CAE"/>
    <w:rsid w:val="00427B30"/>
    <w:rsid w:val="004B5E20"/>
    <w:rsid w:val="0053697E"/>
    <w:rsid w:val="0057730E"/>
    <w:rsid w:val="00641C0F"/>
    <w:rsid w:val="00716D32"/>
    <w:rsid w:val="00753CF4"/>
    <w:rsid w:val="00797DF6"/>
    <w:rsid w:val="007C166A"/>
    <w:rsid w:val="008B5F52"/>
    <w:rsid w:val="00934AE5"/>
    <w:rsid w:val="00974DA2"/>
    <w:rsid w:val="00BA3EB9"/>
    <w:rsid w:val="00BF445C"/>
    <w:rsid w:val="00D50879"/>
    <w:rsid w:val="00F10FD7"/>
    <w:rsid w:val="00F22600"/>
    <w:rsid w:val="00F92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7F3AC1"/>
  <w15:docId w15:val="{46D1F736-19FB-F74F-B067-3451BF9BA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9</Pages>
  <Words>4657</Words>
  <Characters>26551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Descripción formal de la idea de investigación V8</vt:lpstr>
    </vt:vector>
  </TitlesOfParts>
  <Company/>
  <LinksUpToDate>false</LinksUpToDate>
  <CharactersWithSpaces>31146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Descripción formal de la idea de investigación V8</dc:title>
  <dc:creator>Cetares y Campo</dc:creator>
  <cp:lastModifiedBy>Carlos David Campo Urzola</cp:lastModifiedBy>
  <cp:revision>7</cp:revision>
  <dcterms:created xsi:type="dcterms:W3CDTF">2026-08-08T18:52:00Z</dcterms:created>
  <dcterms:modified xsi:type="dcterms:W3CDTF">2026-08-16T18:19:00Z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2026-08-09T14:58:32Z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d74bd5e5-7454-4eba-b1ca-a7bcf5e54feb</vt:lpwstr>
  </property>
  <property fmtid="{D5CDD505-2E9C-101B-9397-08002B2CF9AE}" pid="8" name="MSIP_Label_f535a957-b352-4c2d-aa57-80f72177303d_ContentBits">
    <vt:lpwstr>0</vt:lpwstr>
  </property>
  <property fmtid="{D5CDD505-2E9C-101B-9397-08002B2CF9AE}" pid="9" name="MSIP_Label_f535a957-b352-4c2d-aa57-80f72177303d_Tag">
    <vt:lpwstr>50, 3, 0, 1</vt:lpwstr>
  </property>
</Properties>
</file>