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80"/>
      </w:pPr>
      <w:r>
        <w:rPr>
          <w:rFonts w:ascii="Calibri" w:cs="Calibri" w:eastAsia="Calibri" w:hAnsi="Calibri"/>
          <w:b/>
          <w:bCs/>
          <w:color w:val="5A5A5A"/>
          <w:sz w:val="19"/>
          <w:szCs w:val="19"/>
        </w:rPr>
        <w:t xml:space="preserve">PLANTEAMIENTO DEL PROBLEMA</w:t>
      </w:r>
    </w:p>
    <w:p>
      <w:pPr>
        <w:spacing w:after="110"/>
      </w:pPr>
      <w:r>
        <w:rPr>
          <w:rFonts w:ascii="Calibri" w:cs="Calibri" w:eastAsia="Calibri" w:hAnsi="Calibri"/>
          <w:b/>
          <w:bCs/>
          <w:color w:val="1A4B8C"/>
          <w:sz w:val="30"/>
          <w:szCs w:val="30"/>
        </w:rPr>
        <w:t xml:space="preserve">Modelo predictivo con datos sintéticos para la estimación de tiempos y la asignación de recursos en laboratorios de control de calidad farmacéuticos</w:t>
      </w:r>
    </w:p>
    <w:p>
      <w:pPr>
        <w:pBdr>
          <w:bottom w:val="single" w:color="C9C9C9" w:sz="8" w:space="8"/>
        </w:pBdr>
        <w:spacing w:after="260"/>
      </w:pPr>
      <w:r>
        <w:rPr>
          <w:rFonts w:ascii="Calibri" w:cs="Calibri" w:eastAsia="Calibri" w:hAnsi="Calibri"/>
          <w:color w:val="5A5A5A"/>
          <w:sz w:val="21"/>
          <w:szCs w:val="21"/>
        </w:rPr>
        <w:t xml:space="preserve">Aldair Rafael Cetares Barrios  ·  Carlos David Campo Urzola</w:t>
      </w:r>
    </w:p>
    <w:p>
      <w:pPr>
        <w:pBdr>
          <w:top w:val="single" w:color="C9C9C9" w:sz="2" w:space="8"/>
          <w:bottom w:val="single" w:color="C9C9C9" w:sz="2" w:space="8"/>
          <w:left w:val="single" w:color="C9C9C9" w:sz="2" w:space="8"/>
          <w:right w:val="single" w:color="C9C9C9" w:sz="2" w:space="8"/>
        </w:pBdr>
        <w:shd w:fill="F6F7F9" w:color="auto" w:val="clear"/>
        <w:spacing w:after="150" w:before="100" w:line="264"/>
        <w:jc w:val="both"/>
      </w:pPr>
      <w:r>
        <w:rPr>
          <w:rFonts w:ascii="Calibri" w:cs="Calibri" w:eastAsia="Calibri" w:hAnsi="Calibri"/>
          <w:b/>
          <w:bCs/>
          <w:color w:val="1A1A1A"/>
          <w:sz w:val="19"/>
          <w:szCs w:val="19"/>
        </w:rPr>
        <w:t xml:space="preserve">Nota sobre las fuentes. </w:t>
      </w:r>
      <w:r>
        <w:rPr>
          <w:rFonts w:ascii="Calibri" w:cs="Calibri" w:eastAsia="Calibri" w:hAnsi="Calibri"/>
          <w:color w:val="5A5A5A"/>
          <w:sz w:val="19"/>
          <w:szCs w:val="19"/>
        </w:rPr>
        <w:t xml:space="preserve">Todas las afirmaciones empíricas de este documento provienen de fuentes verificadas contra Crossref, Scopus, PubMed o portales oficiales colombianos. Dos de los antecedentes recopilados previamente —atribuidos a Chowdary, Reddy y Chittineni (2025) y a Yang, Liu, Zhao y Zhang (2025)— no fueron localizables en ninguna base bibliográfica y han sido excluidos, junto con las cifras que se les atribuían. Sus contenidos fueron reemplazados por Kodumuru et al. (2025) y Khadivi et al. (2025), ambos indexados.</w:t>
      </w:r>
    </w:p>
    <w:p>
      <w:pPr>
        <w:pStyle w:val="Heading1"/>
        <w:pBdr>
          <w:bottom w:val="single" w:color="1A4B8C" w:sz="8" w:space="6"/>
        </w:pBdr>
        <w:spacing w:after="170" w:before="380"/>
      </w:pPr>
      <w:r>
        <w:rPr>
          <w:rFonts w:ascii="Calibri" w:cs="Calibri" w:eastAsia="Calibri" w:hAnsi="Calibri"/>
          <w:b/>
          <w:bCs/>
          <w:color w:val="1A4B8C"/>
          <w:sz w:val="27"/>
          <w:szCs w:val="27"/>
        </w:rPr>
        <w:t xml:space="preserve">1. Preámbulo</w:t>
      </w:r>
    </w:p>
    <w:p>
      <w:pPr>
        <w:pStyle w:val="Heading2"/>
        <w:spacing w:after="110" w:before="250"/>
      </w:pPr>
      <w:r>
        <w:rPr>
          <w:rFonts w:ascii="Calibri" w:cs="Calibri" w:eastAsia="Calibri" w:hAnsi="Calibri"/>
          <w:b/>
          <w:bCs/>
          <w:color w:val="1A1A1A"/>
          <w:sz w:val="22"/>
          <w:szCs w:val="22"/>
        </w:rPr>
        <w:t xml:space="preserve">1.1 Contextualización teórica</w:t>
      </w:r>
    </w:p>
    <w:p>
      <w:pPr>
        <w:spacing w:after="150" w:before="0" w:line="288"/>
        <w:jc w:val="both"/>
      </w:pPr>
      <w:r>
        <w:rPr>
          <w:rFonts w:ascii="Calibri" w:cs="Calibri" w:eastAsia="Calibri" w:hAnsi="Calibri"/>
          <w:color w:val="1A1A1A"/>
          <w:sz w:val="21"/>
          <w:szCs w:val="21"/>
        </w:rPr>
        <w:t xml:space="preserve">El control de calidad farmacéutico puede entenderse, siguiendo a Juran y Godfrey (1999), como un proceso recursivo articulado en tres ejes: planificación de la calidad, actividades de control y mejora continua. Trasladado al laboratorio, ese proceso se materializa en una secuencia de actividades analíticas —ensayos fisicoquímicos y microbiológicos— que compiten por un conjunto finito de recursos compartidos: analistas con calificaciones específicas, equipos instrumentales y ventanas de tiempo acotadas por plazos de liberación.</w:t>
      </w:r>
    </w:p>
    <w:p>
      <w:pPr>
        <w:spacing w:after="150" w:before="0" w:line="288"/>
        <w:jc w:val="both"/>
      </w:pPr>
      <w:r>
        <w:rPr>
          <w:rFonts w:ascii="Calibri" w:cs="Calibri" w:eastAsia="Calibri" w:hAnsi="Calibri"/>
          <w:color w:val="1A1A1A"/>
          <w:sz w:val="21"/>
          <w:szCs w:val="21"/>
        </w:rPr>
        <w:t xml:space="preserve">Formalmente, esa competencia por recursos corresponde al </w:t>
      </w:r>
      <w:r>
        <w:rPr>
          <w:rFonts w:ascii="Calibri" w:cs="Calibri" w:eastAsia="Calibri" w:hAnsi="Calibri"/>
          <w:i/>
          <w:iCs/>
          <w:color w:val="1A1A1A"/>
          <w:sz w:val="21"/>
          <w:szCs w:val="21"/>
        </w:rPr>
        <w:t xml:space="preserve">Test Laboratory Scheduling Problem</w:t>
      </w:r>
      <w:r>
        <w:rPr>
          <w:rFonts w:ascii="Calibri" w:cs="Calibri" w:eastAsia="Calibri" w:hAnsi="Calibri"/>
          <w:color w:val="1A1A1A"/>
          <w:sz w:val="21"/>
          <w:szCs w:val="21"/>
        </w:rPr>
        <w:t xml:space="preserve"> (TLSP). Danzinger et al. (2025) demostraron que su versión generalizada es un problema de optimización combinatoria NP-difícil, en el que agrupar tareas en trabajos y asignarles empleados, bancos de trabajo y equipos especializados no admite solución exacta en tiempo polinómico. Esta caracterización es relevante para el presente trabajo porque establece que la planificación de un laboratorio de ensayo no es un problema administrativo trivial, sino uno computacionalmente duro: la intuición del supervisor opera sobre un espacio de soluciones que crece de forma factorial.</w:t>
      </w:r>
    </w:p>
    <w:p>
      <w:pPr>
        <w:spacing w:after="150" w:before="0" w:line="288"/>
        <w:jc w:val="both"/>
      </w:pPr>
      <w:r>
        <w:rPr>
          <w:rFonts w:ascii="Calibri" w:cs="Calibri" w:eastAsia="Calibri" w:hAnsi="Calibri"/>
          <w:color w:val="1A1A1A"/>
          <w:sz w:val="21"/>
          <w:szCs w:val="21"/>
        </w:rPr>
        <w:t xml:space="preserve">Frente a esa dureza combinatoria se han consolidado dos familias de respuesta. La primera es la optimización explícita —programación con restricciones y búsqueda de vecindario muy grande (Danzinger et al., 2025); optimización multiobjetivo con explicabilidad mediante valores de Shapley (Mischek y Musliu, 2024)—. La segunda es el modelado basado en datos, que Dong et al. (2023) sistematizan para procesos farmacéuticos, documentando el desempeño de Random Forest para integrar múltiples variables sin sobreajuste y de las máquinas de vectores de soporte para datos multidimensionales. Khadivi et al. (2025), en una revisión reciente sobre aprendizaje por refuerzo profundo aplicado a programación de máquinas, muestran que las políticas aprendidas mediante Deep Q-Network superan de forma consistente a las reglas de despacho heurísticas en entornos dinámicos, aunque a costa de un entrenamiento intensivo y de una fuerte dependencia del entorno de simulación empleado.</w:t>
      </w:r>
    </w:p>
    <w:p>
      <w:pPr>
        <w:spacing w:after="150" w:before="0" w:line="288"/>
        <w:jc w:val="both"/>
      </w:pPr>
      <w:r>
        <w:rPr>
          <w:rFonts w:ascii="Calibri" w:cs="Calibri" w:eastAsia="Calibri" w:hAnsi="Calibri"/>
          <w:color w:val="1A1A1A"/>
          <w:sz w:val="21"/>
          <w:szCs w:val="21"/>
        </w:rPr>
        <w:t xml:space="preserve">En el plano de la generación de datos, Hassi et al. (2025) documentan el uso de simulación de Monte Carlo con estimaciones de tres puntos y factores de correlación entre variables para modelar cronogramas bajo incertidumbre, mostrando empíricamente que la elección de la distribución de probabilidad altera de forma significativa las estimaciones de duración y la ruta crítica. Finalmente, Abdulhussain et al. (2026) sitúan estas herramientas dentro del marco </w:t>
      </w:r>
      <w:r>
        <w:rPr>
          <w:rFonts w:ascii="Calibri" w:cs="Calibri" w:eastAsia="Calibri" w:hAnsi="Calibri"/>
          <w:i/>
          <w:iCs/>
          <w:color w:val="1A1A1A"/>
          <w:sz w:val="21"/>
          <w:szCs w:val="21"/>
        </w:rPr>
        <w:t xml:space="preserve">Quality by Digital Design</w:t>
      </w:r>
      <w:r>
        <w:rPr>
          <w:rFonts w:ascii="Calibri" w:cs="Calibri" w:eastAsia="Calibri" w:hAnsi="Calibri"/>
          <w:color w:val="1A1A1A"/>
          <w:sz w:val="21"/>
          <w:szCs w:val="21"/>
        </w:rPr>
        <w:t xml:space="preserve">, evolución digital del Quality by Design, e identifican como desafíos abiertos la integridad de los datos, la adaptación regulatoria y la disponibilidad de personal capacitado.</w:t>
      </w:r>
    </w:p>
    <w:p>
      <w:pPr>
        <w:pStyle w:val="Heading2"/>
        <w:spacing w:after="110" w:before="250"/>
      </w:pPr>
      <w:r>
        <w:rPr>
          <w:rFonts w:ascii="Calibri" w:cs="Calibri" w:eastAsia="Calibri" w:hAnsi="Calibri"/>
          <w:b/>
          <w:bCs/>
          <w:color w:val="1A1A1A"/>
          <w:sz w:val="22"/>
          <w:szCs w:val="22"/>
        </w:rPr>
        <w:t xml:space="preserve">1.2 Contextualización práctica</w:t>
      </w:r>
    </w:p>
    <w:p>
      <w:pPr>
        <w:spacing w:after="150" w:before="0" w:line="288"/>
        <w:jc w:val="both"/>
      </w:pPr>
      <w:r>
        <w:rPr>
          <w:rFonts w:ascii="Calibri" w:cs="Calibri" w:eastAsia="Calibri" w:hAnsi="Calibri"/>
          <w:color w:val="1A1A1A"/>
          <w:sz w:val="21"/>
          <w:szCs w:val="21"/>
        </w:rPr>
        <w:t xml:space="preserve">En la operación cotidiana, un laboratorio de control de calidad recibe muestras de materias primas, productos intermedios, producto a granel y producto terminado, y debe ejecutar sobre ellas un conjunto de ensayos definidos por especificación antes de que un lote pueda liberarse. La Resolución 1160 de 2016 del Ministerio de Salud y Protección Social, que adopta el Manual de Buenas Prácticas de Manufactura, exige de forma expresa que se lleven a cabo todos los controles necesarios sobre esos materiales y asigna al jefe de control de calidad la responsabilidad de aprobar o rechazar según especificaciones, evaluar los registros de lote y aprobar los métodos analíticos y los procedimientos de muestreo. El Decreto 335 de 2022 —que derogó el Decreto 549 de 2001— regula el procedimiento de certificación de Buenas Prácticas de Manufactura y de Laboratorio ante el INVIMA.</w:t>
      </w:r>
    </w:p>
    <w:p>
      <w:pPr>
        <w:spacing w:after="150" w:before="0" w:line="288"/>
        <w:jc w:val="both"/>
      </w:pPr>
      <w:r>
        <w:rPr>
          <w:rFonts w:ascii="Calibri" w:cs="Calibri" w:eastAsia="Calibri" w:hAnsi="Calibri"/>
          <w:color w:val="1A1A1A"/>
          <w:sz w:val="21"/>
          <w:szCs w:val="21"/>
        </w:rPr>
        <w:t xml:space="preserve">Dos rasgos de esta operación importan para el problema que se plantea. El primero es que los recursos son </w:t>
      </w:r>
      <w:r>
        <w:rPr>
          <w:rFonts w:ascii="Calibri" w:cs="Calibri" w:eastAsia="Calibri" w:hAnsi="Calibri"/>
          <w:i/>
          <w:iCs/>
          <w:color w:val="1A1A1A"/>
          <w:sz w:val="21"/>
          <w:szCs w:val="21"/>
        </w:rPr>
        <w:t xml:space="preserve">cruzadamente restringidos</w:t>
      </w:r>
      <w:r>
        <w:rPr>
          <w:rFonts w:ascii="Calibri" w:cs="Calibri" w:eastAsia="Calibri" w:hAnsi="Calibri"/>
          <w:color w:val="1A1A1A"/>
          <w:sz w:val="21"/>
          <w:szCs w:val="21"/>
        </w:rPr>
        <w:t xml:space="preserve">: un mismo cromatógrafo sirve a varios ensayos, un mismo analista está calificado solo para algunos métodos, y la disponibilidad de ambos debe coincidir en el tiempo. El segundo es que el proceso está sujeto a perturbaciones no planificadas —reanálisis por resultados fuera de especificación, ingreso de muestras urgentes, indisponibilidad de equipos— que invalidan la programación establecida al inicio del día.</w:t>
      </w:r>
    </w:p>
    <w:p>
      <w:pPr>
        <w:pStyle w:val="Heading2"/>
        <w:spacing w:after="110" w:before="250"/>
      </w:pPr>
      <w:r>
        <w:rPr>
          <w:rFonts w:ascii="Calibri" w:cs="Calibri" w:eastAsia="Calibri" w:hAnsi="Calibri"/>
          <w:b/>
          <w:bCs/>
          <w:color w:val="1A1A1A"/>
          <w:sz w:val="22"/>
          <w:szCs w:val="22"/>
        </w:rPr>
        <w:t xml:space="preserve">1.3 Contextualización espacial: Colombia</w:t>
      </w:r>
    </w:p>
    <w:p>
      <w:pPr>
        <w:spacing w:after="150" w:before="0" w:line="288"/>
        <w:jc w:val="both"/>
      </w:pPr>
      <w:r>
        <w:rPr>
          <w:rFonts w:ascii="Calibri" w:cs="Calibri" w:eastAsia="Calibri" w:hAnsi="Calibri"/>
          <w:color w:val="1A1A1A"/>
          <w:sz w:val="21"/>
          <w:szCs w:val="21"/>
        </w:rPr>
        <w:t xml:space="preserve">Según la Encuesta Anual Manufacturera del DANE (2025), la división CIIU 21 —productos farmacéuticos, sustancias químicas medicinales y productos botánicos— registró en 2024 una producción bruta de $11,15 billones de pesos, equivalente al 2,5 % de la producción bruta manufacturera nacional y al 5,0 % del valor agregado del sector, con una variación de −0,3 % frente a 2023. Es, por tanto, un sector de peso moderado en volumen pero de alta densidad de valor agregado: su coeficiente técnico (33,0 %) es el más bajo de la industria colombiana.</w:t>
      </w:r>
    </w:p>
    <w:p>
      <w:pPr>
        <w:spacing w:after="150" w:before="0" w:line="288"/>
        <w:jc w:val="both"/>
      </w:pPr>
      <w:r>
        <w:rPr>
          <w:rFonts w:ascii="Calibri" w:cs="Calibri" w:eastAsia="Calibri" w:hAnsi="Calibri"/>
          <w:color w:val="1A1A1A"/>
          <w:sz w:val="21"/>
          <w:szCs w:val="21"/>
        </w:rPr>
        <w:t xml:space="preserve">El país cuenta con el INVIMA como Autoridad Reguladora Nacional de Referencia Regional (Nivel IV) reconocida por la Organización Panamericana de la Salud, condición que comparte con otras siete agencias del continente (OPS, 2020). Ese estatus implica exigencias sostenidas de capacidad analítica y documental sobre los laboratorios certificados. Al mismo tiempo, el sistema regulatorio opera bajo una carga administrativa documentada: mediante la Resolución 2025010547 del 19 de marzo de 2025, el propio INVIMA adoptó un plan de contingencia para atender más de 14.000 trámites represados de registros sanitarios y procedimientos asociados a medicamentos, plan que fue prorrogado seis meses después.</w:t>
      </w:r>
    </w:p>
    <w:p>
      <w:pPr>
        <w:spacing w:after="150" w:before="0" w:line="288"/>
        <w:jc w:val="both"/>
      </w:pPr>
      <w:r>
        <w:rPr>
          <w:rFonts w:ascii="Calibri" w:cs="Calibri" w:eastAsia="Calibri" w:hAnsi="Calibri"/>
          <w:color w:val="1A1A1A"/>
          <w:sz w:val="21"/>
          <w:szCs w:val="21"/>
        </w:rPr>
        <w:t xml:space="preserve">En cuanto a capacidades analíticas avanzadas, la evidencia disponible indica una adopción incipiente. El estudio de CINTEL (2023), sobre 431 empresas entre las mayores del país, sitúa el índice global de madurez de transformación digital en 51,5 % y reporta que solo el 12 % implementa inteligencia artificial, con un 63 % de procesos aún manuales. Muñoz-Pinzón et al. (2024), sobre una muestra de 121 pymes colombianas, encuentran que el 40,5 % de las empresas manufactureras nunca utiliza inteligencia artificial para análisis y que el 31,4 % aprovecha menos del 20 % de los datos que recopila. Ambos estudios emplean muestras no censales, por lo que sus valores deben leerse como indicativos y no como parámetros poblacionales.</w:t>
      </w:r>
    </w:p>
    <w:p>
      <w:pPr>
        <w:pStyle w:val="Heading1"/>
        <w:pBdr>
          <w:bottom w:val="single" w:color="1A4B8C" w:sz="8" w:space="6"/>
        </w:pBdr>
        <w:spacing w:after="170" w:before="380"/>
      </w:pPr>
      <w:r>
        <w:rPr>
          <w:rFonts w:ascii="Calibri" w:cs="Calibri" w:eastAsia="Calibri" w:hAnsi="Calibri"/>
          <w:b/>
          <w:bCs/>
          <w:color w:val="1A4B8C"/>
          <w:sz w:val="27"/>
          <w:szCs w:val="27"/>
        </w:rPr>
        <w:t xml:space="preserve">2. Diseño del planteamiento: enfoque en el caso de estudio</w:t>
      </w:r>
    </w:p>
    <w:p>
      <w:pPr>
        <w:spacing w:after="150" w:before="0" w:line="288"/>
        <w:jc w:val="both"/>
      </w:pPr>
      <w:r>
        <w:rPr>
          <w:rFonts w:ascii="Calibri" w:cs="Calibri" w:eastAsia="Calibri" w:hAnsi="Calibri"/>
          <w:color w:val="1A1A1A"/>
          <w:sz w:val="21"/>
          <w:szCs w:val="21"/>
        </w:rPr>
        <w:t xml:space="preserve">Esta investigación no se desarrolla sobre un laboratorio empírico identificable. El caso de estudio es un </w:t>
      </w:r>
      <w:r>
        <w:rPr>
          <w:rFonts w:ascii="Calibri" w:cs="Calibri" w:eastAsia="Calibri" w:hAnsi="Calibri"/>
          <w:b/>
          <w:bCs/>
          <w:color w:val="1A1A1A"/>
          <w:sz w:val="21"/>
          <w:szCs w:val="21"/>
        </w:rPr>
        <w:t xml:space="preserve">laboratorio de control de calidad farmacéutico de referencia</w:t>
      </w:r>
      <w:r>
        <w:rPr>
          <w:rFonts w:ascii="Calibri" w:cs="Calibri" w:eastAsia="Calibri" w:hAnsi="Calibri"/>
          <w:color w:val="1A1A1A"/>
          <w:sz w:val="21"/>
          <w:szCs w:val="21"/>
        </w:rPr>
        <w:t xml:space="preserve">, construido computacionalmente a partir de parámetros operativos reportados en literatura arbitrada y de las exigencias normativas colombianas descritas en el apartado 1.2. Esta decisión se declara de forma explícita porque condiciona el alcance de todo lo que sigue.</w:t>
      </w:r>
    </w:p>
    <w:p>
      <w:pPr>
        <w:pStyle w:val="Heading2"/>
        <w:spacing w:after="110" w:before="250"/>
      </w:pPr>
      <w:r>
        <w:rPr>
          <w:rFonts w:ascii="Calibri" w:cs="Calibri" w:eastAsia="Calibri" w:hAnsi="Calibri"/>
          <w:b/>
          <w:bCs/>
          <w:color w:val="1A1A1A"/>
          <w:sz w:val="22"/>
          <w:szCs w:val="22"/>
        </w:rPr>
        <w:t xml:space="preserve">2.1 Por qué un caso de referencia y no un laboratorio empírico</w:t>
      </w:r>
    </w:p>
    <w:p>
      <w:pPr>
        <w:spacing w:after="150" w:before="0" w:line="288"/>
        <w:jc w:val="both"/>
      </w:pPr>
      <w:r>
        <w:rPr>
          <w:rFonts w:ascii="Calibri" w:cs="Calibri" w:eastAsia="Calibri" w:hAnsi="Calibri"/>
          <w:color w:val="1A1A1A"/>
          <w:sz w:val="21"/>
          <w:szCs w:val="21"/>
        </w:rPr>
        <w:t xml:space="preserve">La decisión responde a dos restricciones documentables y no a una preferencia metodológica. La primera es jurídica: los registros operativos de una planta farmacéutica —tiempos de ensayo, calificaciones del personal, capacidad instrumental— constituyen secreto empresarial bajo los artículos 260 a 265 de la Decisión 486 de 2000 de la Comunidad Andina, cuya divulgación o uso no autorizado está tipificado como acto de competencia desleal por la Ley 256 de 1996. La segunda es de disponibilidad: en la revisión efectuada no se identificó estadística pública colombiana sobre tiempos de liberación de lotes ni sobre capacidad analítica instalada por laboratorio, de modo que tampoco existe una fuente secundaria que sustituya al acceso directo.</w:t>
      </w:r>
    </w:p>
    <w:p>
      <w:pPr>
        <w:pBdr>
          <w:top w:val="single" w:color="C9C9C9" w:sz="2" w:space="8"/>
          <w:bottom w:val="single" w:color="C9C9C9" w:sz="2" w:space="8"/>
          <w:left w:val="single" w:color="C9C9C9" w:sz="2" w:space="8"/>
          <w:right w:val="single" w:color="C9C9C9" w:sz="2" w:space="8"/>
        </w:pBdr>
        <w:shd w:fill="F6F7F9" w:color="auto" w:val="clear"/>
        <w:spacing w:after="150" w:before="100" w:line="264"/>
        <w:jc w:val="both"/>
      </w:pPr>
      <w:r>
        <w:rPr>
          <w:rFonts w:ascii="Calibri" w:cs="Calibri" w:eastAsia="Calibri" w:hAnsi="Calibri"/>
          <w:b/>
          <w:bCs/>
          <w:color w:val="1A1A1A"/>
          <w:sz w:val="19"/>
          <w:szCs w:val="19"/>
        </w:rPr>
        <w:t xml:space="preserve">Precisión conceptual. </w:t>
      </w:r>
      <w:r>
        <w:rPr>
          <w:rFonts w:ascii="Calibri" w:cs="Calibri" w:eastAsia="Calibri" w:hAnsi="Calibri"/>
          <w:color w:val="5A5A5A"/>
          <w:sz w:val="19"/>
          <w:szCs w:val="19"/>
        </w:rPr>
        <w:t xml:space="preserve">Se emplea el término «datos sintéticos» en el sentido de datos generados por simulación estocástica a partir de parámetros calibrados con literatura, y no en el sentido de datos derivados de un conjunto real mediante modelos generativos. La distinción es relevante: en el segundo caso existiría un referente empírico contra el cual medir fidelidad; en el primero, la validez del conjunto depende enteramente de la trazabilidad de sus supuestos. Esta investigación adopta la primera acepción y asume las limitaciones que de ello se derivan (apartado 5.5).</w:t>
      </w:r>
    </w:p>
    <w:p>
      <w:pPr>
        <w:pStyle w:val="Heading2"/>
        <w:spacing w:after="110" w:before="250"/>
      </w:pPr>
      <w:r>
        <w:rPr>
          <w:rFonts w:ascii="Calibri" w:cs="Calibri" w:eastAsia="Calibri" w:hAnsi="Calibri"/>
          <w:b/>
          <w:bCs/>
          <w:color w:val="1A1A1A"/>
          <w:sz w:val="22"/>
          <w:szCs w:val="22"/>
        </w:rPr>
        <w:t xml:space="preserve">2.2 Unidad de análisis y arquitectura del caso</w:t>
      </w:r>
    </w:p>
    <w:p>
      <w:pPr>
        <w:spacing w:after="150" w:before="0" w:line="288"/>
        <w:jc w:val="both"/>
      </w:pPr>
      <w:r>
        <w:rPr>
          <w:rFonts w:ascii="Calibri" w:cs="Calibri" w:eastAsia="Calibri" w:hAnsi="Calibri"/>
          <w:color w:val="1A1A1A"/>
          <w:sz w:val="21"/>
          <w:szCs w:val="21"/>
        </w:rPr>
        <w:t xml:space="preserve">La unidad de análisis es </w:t>
      </w:r>
      <w:r>
        <w:rPr>
          <w:rFonts w:ascii="Calibri" w:cs="Calibri" w:eastAsia="Calibri" w:hAnsi="Calibri"/>
          <w:b/>
          <w:bCs/>
          <w:color w:val="1A1A1A"/>
          <w:sz w:val="21"/>
          <w:szCs w:val="21"/>
        </w:rPr>
        <w:t xml:space="preserve">la actividad analítica individual</w:t>
      </w:r>
      <w:r>
        <w:rPr>
          <w:rFonts w:ascii="Calibri" w:cs="Calibri" w:eastAsia="Calibri" w:hAnsi="Calibri"/>
          <w:color w:val="1A1A1A"/>
          <w:sz w:val="21"/>
          <w:szCs w:val="21"/>
        </w:rPr>
        <w:t xml:space="preserve"> —un ensayo específico sobre una muestra específica— caracterizada por su tipo de método, la complejidad asociada, el equipo requerido, la calificación exigida al analista y su plazo de entrega. Sobre esa unidad se articulan tres capas:</w:t>
      </w:r>
    </w:p>
    <w:tbl>
      <w:tblPr>
        <w:tblW w:type="dxa" w:w="9000"/>
        <w:tblBorders>
          <w:top w:val="single" w:color="C9C9C9" w:sz="4"/>
          <w:left w:val="single" w:color="C9C9C9" w:sz="4"/>
          <w:bottom w:val="single" w:color="C9C9C9" w:sz="4"/>
          <w:right w:val="single" w:color="C9C9C9" w:sz="4"/>
          <w:insideH w:val="single" w:color="C9C9C9" w:sz="4"/>
          <w:insideV w:val="single" w:color="C9C9C9" w:sz="4"/>
        </w:tblBorders>
      </w:tblPr>
      <w:tblGrid>
        <w:gridCol w:w="1400"/>
        <w:gridCol w:w="3100"/>
        <w:gridCol w:w="4500"/>
      </w:tblGrid>
      <w:tr>
        <w:tc>
          <w:tcPr>
            <w:tcW w:type="dxa" w:w="1400"/>
            <w:shd w:fill="ECEEF1" w:color="auto" w:val="clear"/>
            <w:tcMar>
              <w:top w:type="dxa" w:w="85"/>
              <w:left w:type="dxa" w:w="105"/>
              <w:bottom w:type="dxa" w:w="85"/>
              <w:right w:type="dxa" w:w="105"/>
            </w:tcMar>
          </w:tcPr>
          <w:p>
            <w:pPr>
              <w:spacing w:after="0" w:line="264"/>
              <w:jc w:val="left"/>
            </w:pPr>
            <w:r>
              <w:rPr>
                <w:rFonts w:ascii="Calibri" w:cs="Calibri" w:eastAsia="Calibri" w:hAnsi="Calibri"/>
                <w:b/>
                <w:bCs/>
                <w:color w:val="1A1A1A"/>
                <w:sz w:val="18"/>
                <w:szCs w:val="18"/>
              </w:rPr>
              <w:t xml:space="preserve">Capa</w:t>
            </w:r>
          </w:p>
        </w:tc>
        <w:tc>
          <w:tcPr>
            <w:tcW w:type="dxa" w:w="3100"/>
            <w:shd w:fill="ECEEF1" w:color="auto" w:val="clear"/>
            <w:tcMar>
              <w:top w:type="dxa" w:w="85"/>
              <w:left w:type="dxa" w:w="105"/>
              <w:bottom w:type="dxa" w:w="85"/>
              <w:right w:type="dxa" w:w="105"/>
            </w:tcMar>
          </w:tcPr>
          <w:p>
            <w:pPr>
              <w:spacing w:after="0" w:line="264"/>
              <w:jc w:val="left"/>
            </w:pPr>
            <w:r>
              <w:rPr>
                <w:rFonts w:ascii="Calibri" w:cs="Calibri" w:eastAsia="Calibri" w:hAnsi="Calibri"/>
                <w:b/>
                <w:bCs/>
                <w:color w:val="1A1A1A"/>
                <w:sz w:val="18"/>
                <w:szCs w:val="18"/>
              </w:rPr>
              <w:t xml:space="preserve">Función</w:t>
            </w:r>
          </w:p>
        </w:tc>
        <w:tc>
          <w:tcPr>
            <w:tcW w:type="dxa" w:w="4500"/>
            <w:shd w:fill="ECEEF1" w:color="auto" w:val="clear"/>
            <w:tcMar>
              <w:top w:type="dxa" w:w="85"/>
              <w:left w:type="dxa" w:w="105"/>
              <w:bottom w:type="dxa" w:w="85"/>
              <w:right w:type="dxa" w:w="105"/>
            </w:tcMar>
          </w:tcPr>
          <w:p>
            <w:pPr>
              <w:spacing w:after="0" w:line="264"/>
              <w:jc w:val="left"/>
            </w:pPr>
            <w:r>
              <w:rPr>
                <w:rFonts w:ascii="Calibri" w:cs="Calibri" w:eastAsia="Calibri" w:hAnsi="Calibri"/>
                <w:b/>
                <w:bCs/>
                <w:color w:val="1A1A1A"/>
                <w:sz w:val="18"/>
                <w:szCs w:val="18"/>
              </w:rPr>
              <w:t xml:space="preserve">Sustento en antecedentes verificados</w:t>
            </w:r>
          </w:p>
        </w:tc>
      </w:tr>
      <w:tr>
        <w:tc>
          <w:tcPr>
            <w:tcW w:type="dxa" w:w="1400"/>
            <w:tcMar>
              <w:top w:type="dxa" w:w="85"/>
              <w:left w:type="dxa" w:w="105"/>
              <w:bottom w:type="dxa" w:w="85"/>
              <w:right w:type="dxa" w:w="105"/>
            </w:tcMar>
          </w:tcPr>
          <w:p>
            <w:pPr>
              <w:spacing w:after="0" w:line="264"/>
              <w:jc w:val="left"/>
            </w:pPr>
            <w:r>
              <w:rPr>
                <w:rFonts w:ascii="Calibri" w:cs="Calibri" w:eastAsia="Calibri" w:hAnsi="Calibri"/>
                <w:b/>
                <w:bCs/>
                <w:color w:val="1A1A1A"/>
                <w:sz w:val="18"/>
                <w:szCs w:val="18"/>
              </w:rPr>
              <w:t xml:space="preserve">Generación</w:t>
            </w:r>
          </w:p>
        </w:tc>
        <w:tc>
          <w:tcPr>
            <w:tcW w:type="dxa" w:w="31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Simulación de Monte Carlo con estimaciones de tres puntos (BetaPERT) y factores de correlación entre recursos compartidos</w:t>
            </w:r>
          </w:p>
        </w:tc>
        <w:tc>
          <w:tcPr>
            <w:tcW w:type="dxa" w:w="45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Hassi et al. (2025) documentan que la elección de distribución altera de forma significativa las estimaciones de duración y la ruta crítica, lo que obliga a justificar la distribución elegida en lugar de asumirla</w:t>
            </w:r>
          </w:p>
        </w:tc>
      </w:tr>
      <w:tr>
        <w:tc>
          <w:tcPr>
            <w:tcW w:type="dxa" w:w="1400"/>
            <w:tcMar>
              <w:top w:type="dxa" w:w="85"/>
              <w:left w:type="dxa" w:w="105"/>
              <w:bottom w:type="dxa" w:w="85"/>
              <w:right w:type="dxa" w:w="105"/>
            </w:tcMar>
          </w:tcPr>
          <w:p>
            <w:pPr>
              <w:spacing w:after="0" w:line="264"/>
              <w:jc w:val="left"/>
            </w:pPr>
            <w:r>
              <w:rPr>
                <w:rFonts w:ascii="Calibri" w:cs="Calibri" w:eastAsia="Calibri" w:hAnsi="Calibri"/>
                <w:b/>
                <w:bCs/>
                <w:color w:val="1A1A1A"/>
                <w:sz w:val="18"/>
                <w:szCs w:val="18"/>
              </w:rPr>
              <w:t xml:space="preserve">Predicción</w:t>
            </w:r>
          </w:p>
        </w:tc>
        <w:tc>
          <w:tcPr>
            <w:tcW w:type="dxa" w:w="31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Estimación supervisada de la duración de cada actividad analítica</w:t>
            </w:r>
          </w:p>
        </w:tc>
        <w:tc>
          <w:tcPr>
            <w:tcW w:type="dxa" w:w="45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Dong et al. (2023) reportan el desempeño de Random Forest y de máquinas de vectores de soporte sobre datos multidimensionales en procesos farmacéuticos</w:t>
            </w:r>
          </w:p>
        </w:tc>
      </w:tr>
      <w:tr>
        <w:tc>
          <w:tcPr>
            <w:tcW w:type="dxa" w:w="1400"/>
            <w:tcMar>
              <w:top w:type="dxa" w:w="85"/>
              <w:left w:type="dxa" w:w="105"/>
              <w:bottom w:type="dxa" w:w="85"/>
              <w:right w:type="dxa" w:w="105"/>
            </w:tcMar>
          </w:tcPr>
          <w:p>
            <w:pPr>
              <w:spacing w:after="0" w:line="264"/>
              <w:jc w:val="left"/>
            </w:pPr>
            <w:r>
              <w:rPr>
                <w:rFonts w:ascii="Calibri" w:cs="Calibri" w:eastAsia="Calibri" w:hAnsi="Calibri"/>
                <w:b/>
                <w:bCs/>
                <w:color w:val="1A1A1A"/>
                <w:sz w:val="18"/>
                <w:szCs w:val="18"/>
              </w:rPr>
              <w:t xml:space="preserve">Asignación</w:t>
            </w:r>
          </w:p>
        </w:tc>
        <w:tc>
          <w:tcPr>
            <w:tcW w:type="dxa" w:w="31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Política de asignación de analistas y equipos aprendida mediante Deep Q-Network sobre un proceso de decisión de Markov</w:t>
            </w:r>
          </w:p>
        </w:tc>
        <w:tc>
          <w:tcPr>
            <w:tcW w:type="dxa" w:w="45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Khadivi et al. (2025) sistematizan el uso de aprendizaje por refuerzo profundo en programación de máquinas y su comparación contra reglas de despacho; Danzinger et al. (2025) y Mischek y Musliu (2024) aportan la formalización del problema de laboratorio y los criterios multiobjetivo</w:t>
            </w:r>
          </w:p>
        </w:tc>
      </w:tr>
    </w:tbl>
    <w:p>
      <w:pPr>
        <w:spacing w:after="150" w:before="100" w:line="288"/>
        <w:jc w:val="both"/>
      </w:pPr>
      <w:r>
        <w:rPr>
          <w:rFonts w:ascii="Calibri" w:cs="Calibri" w:eastAsia="Calibri" w:hAnsi="Calibri"/>
          <w:color w:val="1A1A1A"/>
          <w:sz w:val="21"/>
          <w:szCs w:val="21"/>
        </w:rPr>
        <w:t xml:space="preserve">La articulación entre capas es la siguiente: la duración estimada por la capa predictiva se incorpora como variable de estado del proceso de decisión de Markov sobre el cual opera el agente de aprendizaje por refuerzo. Es decir, el modelo supervisado no compite con el agente sino que lo alimenta, reduciendo la incertidumbre del estado sobre el que este decide.</w:t>
      </w:r>
    </w:p>
    <w:p>
      <w:pPr>
        <w:pStyle w:val="Heading1"/>
        <w:pBdr>
          <w:bottom w:val="single" w:color="1A4B8C" w:sz="8" w:space="6"/>
        </w:pBdr>
        <w:spacing w:after="170" w:before="380"/>
      </w:pPr>
      <w:r>
        <w:rPr>
          <w:rFonts w:ascii="Calibri" w:cs="Calibri" w:eastAsia="Calibri" w:hAnsi="Calibri"/>
          <w:b/>
          <w:bCs/>
          <w:color w:val="1A4B8C"/>
          <w:sz w:val="27"/>
          <w:szCs w:val="27"/>
        </w:rPr>
        <w:t xml:space="preserve">3. Fundamentación del problema en el contexto</w:t>
      </w:r>
    </w:p>
    <w:p>
      <w:pPr>
        <w:spacing w:after="150" w:before="0" w:line="288"/>
        <w:jc w:val="both"/>
      </w:pPr>
      <w:r>
        <w:rPr>
          <w:rFonts w:ascii="Calibri" w:cs="Calibri" w:eastAsia="Calibri" w:hAnsi="Calibri"/>
          <w:color w:val="1A1A1A"/>
          <w:sz w:val="21"/>
          <w:szCs w:val="21"/>
        </w:rPr>
        <w:t xml:space="preserve">Un planteamiento riguroso exige distinguir tres estatus epistémicos distintos que con frecuencia se presentan indiferenciados: lo que está </w:t>
      </w:r>
      <w:r>
        <w:rPr>
          <w:rFonts w:ascii="Calibri" w:cs="Calibri" w:eastAsia="Calibri" w:hAnsi="Calibri"/>
          <w:b/>
          <w:bCs/>
          <w:color w:val="1A1A1A"/>
          <w:sz w:val="21"/>
          <w:szCs w:val="21"/>
        </w:rPr>
        <w:t xml:space="preserve">documentado</w:t>
      </w:r>
      <w:r>
        <w:rPr>
          <w:rFonts w:ascii="Calibri" w:cs="Calibri" w:eastAsia="Calibri" w:hAnsi="Calibri"/>
          <w:color w:val="1A1A1A"/>
          <w:sz w:val="21"/>
          <w:szCs w:val="21"/>
        </w:rPr>
        <w:t xml:space="preserve"> por una fuente verificable, lo que se </w:t>
      </w:r>
      <w:r>
        <w:rPr>
          <w:rFonts w:ascii="Calibri" w:cs="Calibri" w:eastAsia="Calibri" w:hAnsi="Calibri"/>
          <w:b/>
          <w:bCs/>
          <w:color w:val="1A1A1A"/>
          <w:sz w:val="21"/>
          <w:szCs w:val="21"/>
        </w:rPr>
        <w:t xml:space="preserve">infiere</w:t>
      </w:r>
      <w:r>
        <w:rPr>
          <w:rFonts w:ascii="Calibri" w:cs="Calibri" w:eastAsia="Calibri" w:hAnsi="Calibri"/>
          <w:color w:val="1A1A1A"/>
          <w:sz w:val="21"/>
          <w:szCs w:val="21"/>
        </w:rPr>
        <w:t xml:space="preserve"> de forma razonada a partir de esa documentación, y lo que constituye un </w:t>
      </w:r>
      <w:r>
        <w:rPr>
          <w:rFonts w:ascii="Calibri" w:cs="Calibri" w:eastAsia="Calibri" w:hAnsi="Calibri"/>
          <w:b/>
          <w:bCs/>
          <w:color w:val="1A1A1A"/>
          <w:sz w:val="21"/>
          <w:szCs w:val="21"/>
        </w:rPr>
        <w:t xml:space="preserve">juicio de valor</w:t>
      </w:r>
      <w:r>
        <w:rPr>
          <w:rFonts w:ascii="Calibri" w:cs="Calibri" w:eastAsia="Calibri" w:hAnsi="Calibri"/>
          <w:color w:val="1A1A1A"/>
          <w:sz w:val="21"/>
          <w:szCs w:val="21"/>
        </w:rPr>
        <w:t xml:space="preserve"> sin respaldo empírico. A continuación se explicita esa clasificación para cada afirmación que sostiene el problema.</w:t>
      </w:r>
    </w:p>
    <w:p>
      <w:pPr>
        <w:pStyle w:val="Heading2"/>
        <w:spacing w:after="110" w:before="250"/>
      </w:pPr>
      <w:r>
        <w:rPr>
          <w:rFonts w:ascii="Calibri" w:cs="Calibri" w:eastAsia="Calibri" w:hAnsi="Calibri"/>
          <w:b/>
          <w:bCs/>
          <w:color w:val="1A1A1A"/>
          <w:sz w:val="22"/>
          <w:szCs w:val="22"/>
        </w:rPr>
        <w:t xml:space="preserve">3.1 Evidencias verificadas</w:t>
      </w:r>
    </w:p>
    <w:tbl>
      <w:tblPr>
        <w:tblW w:type="dxa" w:w="9000"/>
        <w:tblBorders>
          <w:top w:val="single" w:color="C9C9C9" w:sz="4"/>
          <w:left w:val="single" w:color="C9C9C9" w:sz="4"/>
          <w:bottom w:val="single" w:color="C9C9C9" w:sz="4"/>
          <w:right w:val="single" w:color="C9C9C9" w:sz="4"/>
          <w:insideH w:val="single" w:color="C9C9C9" w:sz="4"/>
          <w:insideV w:val="single" w:color="C9C9C9" w:sz="4"/>
        </w:tblBorders>
      </w:tblPr>
      <w:tblGrid>
        <w:gridCol w:w="600"/>
        <w:gridCol w:w="5100"/>
        <w:gridCol w:w="3300"/>
      </w:tblGrid>
      <w:tr>
        <w:tc>
          <w:tcPr>
            <w:tcW w:type="dxa" w:w="600"/>
            <w:shd w:fill="ECEEF1" w:color="auto" w:val="clear"/>
            <w:tcMar>
              <w:top w:type="dxa" w:w="85"/>
              <w:left w:type="dxa" w:w="105"/>
              <w:bottom w:type="dxa" w:w="85"/>
              <w:right w:type="dxa" w:w="105"/>
            </w:tcMar>
          </w:tcPr>
          <w:p>
            <w:pPr>
              <w:spacing w:after="0" w:line="264"/>
              <w:jc w:val="left"/>
            </w:pPr>
            <w:r>
              <w:rPr>
                <w:rFonts w:ascii="Calibri" w:cs="Calibri" w:eastAsia="Calibri" w:hAnsi="Calibri"/>
                <w:b/>
                <w:bCs/>
                <w:color w:val="1A1A1A"/>
                <w:sz w:val="18"/>
                <w:szCs w:val="18"/>
              </w:rPr>
              <w:t xml:space="preserve">#</w:t>
            </w:r>
          </w:p>
        </w:tc>
        <w:tc>
          <w:tcPr>
            <w:tcW w:type="dxa" w:w="5100"/>
            <w:shd w:fill="ECEEF1" w:color="auto" w:val="clear"/>
            <w:tcMar>
              <w:top w:type="dxa" w:w="85"/>
              <w:left w:type="dxa" w:w="105"/>
              <w:bottom w:type="dxa" w:w="85"/>
              <w:right w:type="dxa" w:w="105"/>
            </w:tcMar>
          </w:tcPr>
          <w:p>
            <w:pPr>
              <w:spacing w:after="0" w:line="264"/>
              <w:jc w:val="left"/>
            </w:pPr>
            <w:r>
              <w:rPr>
                <w:rFonts w:ascii="Calibri" w:cs="Calibri" w:eastAsia="Calibri" w:hAnsi="Calibri"/>
                <w:b/>
                <w:bCs/>
                <w:color w:val="1A1A1A"/>
                <w:sz w:val="18"/>
                <w:szCs w:val="18"/>
              </w:rPr>
              <w:t xml:space="preserve">Afirmación</w:t>
            </w:r>
          </w:p>
        </w:tc>
        <w:tc>
          <w:tcPr>
            <w:tcW w:type="dxa" w:w="3300"/>
            <w:shd w:fill="ECEEF1" w:color="auto" w:val="clear"/>
            <w:tcMar>
              <w:top w:type="dxa" w:w="85"/>
              <w:left w:type="dxa" w:w="105"/>
              <w:bottom w:type="dxa" w:w="85"/>
              <w:right w:type="dxa" w:w="105"/>
            </w:tcMar>
          </w:tcPr>
          <w:p>
            <w:pPr>
              <w:spacing w:after="0" w:line="264"/>
              <w:jc w:val="left"/>
            </w:pPr>
            <w:r>
              <w:rPr>
                <w:rFonts w:ascii="Calibri" w:cs="Calibri" w:eastAsia="Calibri" w:hAnsi="Calibri"/>
                <w:b/>
                <w:bCs/>
                <w:color w:val="1A1A1A"/>
                <w:sz w:val="18"/>
                <w:szCs w:val="18"/>
              </w:rPr>
              <w:t xml:space="preserve">Fuente</w:t>
            </w:r>
          </w:p>
        </w:tc>
      </w:tr>
      <w:tr>
        <w:tc>
          <w:tcPr>
            <w:tcW w:type="dxa" w:w="600"/>
            <w:shd w:fill="E8F3E9" w:color="auto" w:val="clear"/>
            <w:tcMar>
              <w:top w:type="dxa" w:w="85"/>
              <w:left w:type="dxa" w:w="105"/>
              <w:bottom w:type="dxa" w:w="85"/>
              <w:right w:type="dxa" w:w="105"/>
            </w:tcMar>
          </w:tcPr>
          <w:p>
            <w:pPr>
              <w:spacing w:after="0" w:line="264"/>
              <w:jc w:val="left"/>
            </w:pPr>
            <w:r>
              <w:rPr>
                <w:rFonts w:ascii="Calibri" w:cs="Calibri" w:eastAsia="Calibri" w:hAnsi="Calibri"/>
                <w:b/>
                <w:bCs/>
                <w:color w:val="1A1A1A"/>
                <w:sz w:val="18"/>
                <w:szCs w:val="18"/>
              </w:rPr>
              <w:t xml:space="preserve">E1</w:t>
            </w:r>
          </w:p>
        </w:tc>
        <w:tc>
          <w:tcPr>
            <w:tcW w:type="dxa" w:w="51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La industria farmacéutica colombiana genera $11,15 billones de producción bruta y el 5,0 % del valor agregado manufacturero (2024)</w:t>
            </w:r>
          </w:p>
        </w:tc>
        <w:tc>
          <w:tcPr>
            <w:tcW w:type="dxa" w:w="33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DANE, Encuesta Anual Manufacturera 2024</w:t>
            </w:r>
          </w:p>
        </w:tc>
      </w:tr>
      <w:tr>
        <w:tc>
          <w:tcPr>
            <w:tcW w:type="dxa" w:w="600"/>
            <w:shd w:fill="E8F3E9" w:color="auto" w:val="clear"/>
            <w:tcMar>
              <w:top w:type="dxa" w:w="85"/>
              <w:left w:type="dxa" w:w="105"/>
              <w:bottom w:type="dxa" w:w="85"/>
              <w:right w:type="dxa" w:w="105"/>
            </w:tcMar>
          </w:tcPr>
          <w:p>
            <w:pPr>
              <w:spacing w:after="0" w:line="264"/>
              <w:jc w:val="left"/>
            </w:pPr>
            <w:r>
              <w:rPr>
                <w:rFonts w:ascii="Calibri" w:cs="Calibri" w:eastAsia="Calibri" w:hAnsi="Calibri"/>
                <w:b/>
                <w:bCs/>
                <w:color w:val="1A1A1A"/>
                <w:sz w:val="18"/>
                <w:szCs w:val="18"/>
              </w:rPr>
              <w:t xml:space="preserve">E2</w:t>
            </w:r>
          </w:p>
        </w:tc>
        <w:tc>
          <w:tcPr>
            <w:tcW w:type="dxa" w:w="51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El sistema regulatorio farmacéutico colombiano opera con más de 14.000 trámites represados, al punto de requerir un plan de contingencia formal prorrogado</w:t>
            </w:r>
          </w:p>
        </w:tc>
        <w:tc>
          <w:tcPr>
            <w:tcW w:type="dxa" w:w="33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INVIMA, Resolución 2025010547 de 2025</w:t>
            </w:r>
          </w:p>
        </w:tc>
      </w:tr>
      <w:tr>
        <w:tc>
          <w:tcPr>
            <w:tcW w:type="dxa" w:w="600"/>
            <w:shd w:fill="E8F3E9" w:color="auto" w:val="clear"/>
            <w:tcMar>
              <w:top w:type="dxa" w:w="85"/>
              <w:left w:type="dxa" w:w="105"/>
              <w:bottom w:type="dxa" w:w="85"/>
              <w:right w:type="dxa" w:w="105"/>
            </w:tcMar>
          </w:tcPr>
          <w:p>
            <w:pPr>
              <w:spacing w:after="0" w:line="264"/>
              <w:jc w:val="left"/>
            </w:pPr>
            <w:r>
              <w:rPr>
                <w:rFonts w:ascii="Calibri" w:cs="Calibri" w:eastAsia="Calibri" w:hAnsi="Calibri"/>
                <w:b/>
                <w:bCs/>
                <w:color w:val="1A1A1A"/>
                <w:sz w:val="18"/>
                <w:szCs w:val="18"/>
              </w:rPr>
              <w:t xml:space="preserve">E3</w:t>
            </w:r>
          </w:p>
        </w:tc>
        <w:tc>
          <w:tcPr>
            <w:tcW w:type="dxa" w:w="51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Colombia registra episodios recurrentes de desabastecimiento de medicamentos, con causas identificadas oficialmente entre las que figuran los trámites regulatorios y el suministro de materias primas</w:t>
            </w:r>
          </w:p>
        </w:tc>
        <w:tc>
          <w:tcPr>
            <w:tcW w:type="dxa" w:w="33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Ministerio de Salud y Protección Social, informe de desabastecimiento (2023)</w:t>
            </w:r>
          </w:p>
        </w:tc>
      </w:tr>
      <w:tr>
        <w:tc>
          <w:tcPr>
            <w:tcW w:type="dxa" w:w="600"/>
            <w:shd w:fill="E8F3E9" w:color="auto" w:val="clear"/>
            <w:tcMar>
              <w:top w:type="dxa" w:w="85"/>
              <w:left w:type="dxa" w:w="105"/>
              <w:bottom w:type="dxa" w:w="85"/>
              <w:right w:type="dxa" w:w="105"/>
            </w:tcMar>
          </w:tcPr>
          <w:p>
            <w:pPr>
              <w:spacing w:after="0" w:line="264"/>
              <w:jc w:val="left"/>
            </w:pPr>
            <w:r>
              <w:rPr>
                <w:rFonts w:ascii="Calibri" w:cs="Calibri" w:eastAsia="Calibri" w:hAnsi="Calibri"/>
                <w:b/>
                <w:bCs/>
                <w:color w:val="1A1A1A"/>
                <w:sz w:val="18"/>
                <w:szCs w:val="18"/>
              </w:rPr>
              <w:t xml:space="preserve">E4</w:t>
            </w:r>
          </w:p>
        </w:tc>
        <w:tc>
          <w:tcPr>
            <w:tcW w:type="dxa" w:w="51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La adopción de analítica avanzada en la empresa colombiana es incipiente: 12 % implementa inteligencia artificial y 63 % de los procesos permanecen manuales</w:t>
            </w:r>
          </w:p>
        </w:tc>
        <w:tc>
          <w:tcPr>
            <w:tcW w:type="dxa" w:w="33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CINTEL (2023), n = 431; corroborado por Muñoz-Pinzón et al. (2024), n = 121</w:t>
            </w:r>
          </w:p>
        </w:tc>
      </w:tr>
      <w:tr>
        <w:tc>
          <w:tcPr>
            <w:tcW w:type="dxa" w:w="600"/>
            <w:shd w:fill="E8F3E9" w:color="auto" w:val="clear"/>
            <w:tcMar>
              <w:top w:type="dxa" w:w="85"/>
              <w:left w:type="dxa" w:w="105"/>
              <w:bottom w:type="dxa" w:w="85"/>
              <w:right w:type="dxa" w:w="105"/>
            </w:tcMar>
          </w:tcPr>
          <w:p>
            <w:pPr>
              <w:spacing w:after="0" w:line="264"/>
              <w:jc w:val="left"/>
            </w:pPr>
            <w:r>
              <w:rPr>
                <w:rFonts w:ascii="Calibri" w:cs="Calibri" w:eastAsia="Calibri" w:hAnsi="Calibri"/>
                <w:b/>
                <w:bCs/>
                <w:color w:val="1A1A1A"/>
                <w:sz w:val="18"/>
                <w:szCs w:val="18"/>
              </w:rPr>
              <w:t xml:space="preserve">E5</w:t>
            </w:r>
          </w:p>
        </w:tc>
        <w:tc>
          <w:tcPr>
            <w:tcW w:type="dxa" w:w="51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La programación de laboratorios de ensayo con recursos heterogéneos es un problema NP-difícil</w:t>
            </w:r>
          </w:p>
        </w:tc>
        <w:tc>
          <w:tcPr>
            <w:tcW w:type="dxa" w:w="33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Danzinger et al. (2025)</w:t>
            </w:r>
          </w:p>
        </w:tc>
      </w:tr>
      <w:tr>
        <w:tc>
          <w:tcPr>
            <w:tcW w:type="dxa" w:w="600"/>
            <w:shd w:fill="E8F3E9" w:color="auto" w:val="clear"/>
            <w:tcMar>
              <w:top w:type="dxa" w:w="85"/>
              <w:left w:type="dxa" w:w="105"/>
              <w:bottom w:type="dxa" w:w="85"/>
              <w:right w:type="dxa" w:w="105"/>
            </w:tcMar>
          </w:tcPr>
          <w:p>
            <w:pPr>
              <w:spacing w:after="0" w:line="264"/>
              <w:jc w:val="left"/>
            </w:pPr>
            <w:r>
              <w:rPr>
                <w:rFonts w:ascii="Calibri" w:cs="Calibri" w:eastAsia="Calibri" w:hAnsi="Calibri"/>
                <w:b/>
                <w:bCs/>
                <w:color w:val="1A1A1A"/>
                <w:sz w:val="18"/>
                <w:szCs w:val="18"/>
              </w:rPr>
              <w:t xml:space="preserve">E6</w:t>
            </w:r>
          </w:p>
        </w:tc>
        <w:tc>
          <w:tcPr>
            <w:tcW w:type="dxa" w:w="51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La gestión de laboratorios de control de calidad farmacéuticos se apoya predominantemente en la experiencia de supervisores más que en modelos validados basados en datos</w:t>
            </w:r>
          </w:p>
        </w:tc>
        <w:tc>
          <w:tcPr>
            <w:tcW w:type="dxa" w:w="33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Costigliola et al. (2017); contexto europeo</w:t>
            </w:r>
          </w:p>
        </w:tc>
      </w:tr>
      <w:tr>
        <w:tc>
          <w:tcPr>
            <w:tcW w:type="dxa" w:w="600"/>
            <w:shd w:fill="E8F3E9" w:color="auto" w:val="clear"/>
            <w:tcMar>
              <w:top w:type="dxa" w:w="85"/>
              <w:left w:type="dxa" w:w="105"/>
              <w:bottom w:type="dxa" w:w="85"/>
              <w:right w:type="dxa" w:w="105"/>
            </w:tcMar>
          </w:tcPr>
          <w:p>
            <w:pPr>
              <w:spacing w:after="0" w:line="264"/>
              <w:jc w:val="left"/>
            </w:pPr>
            <w:r>
              <w:rPr>
                <w:rFonts w:ascii="Calibri" w:cs="Calibri" w:eastAsia="Calibri" w:hAnsi="Calibri"/>
                <w:b/>
                <w:bCs/>
                <w:color w:val="1A1A1A"/>
                <w:sz w:val="18"/>
                <w:szCs w:val="18"/>
              </w:rPr>
              <w:t xml:space="preserve">E7</w:t>
            </w:r>
          </w:p>
        </w:tc>
        <w:tc>
          <w:tcPr>
            <w:tcW w:type="dxa" w:w="51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No existe estadística pública colombiana sobre tiempos de liberación de lotes ni sobre capacidad analítica instalada por laboratorio</w:t>
            </w:r>
          </w:p>
        </w:tc>
        <w:tc>
          <w:tcPr>
            <w:tcW w:type="dxa" w:w="33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Evidencia negativa: búsqueda sistemática en INVIMA, MinSalud, DANE y literatura indexada</w:t>
            </w:r>
          </w:p>
        </w:tc>
      </w:tr>
    </w:tbl>
    <w:p>
      <w:pPr>
        <w:pStyle w:val="Heading2"/>
        <w:spacing w:after="110" w:before="250"/>
      </w:pPr>
      <w:r>
        <w:rPr>
          <w:rFonts w:ascii="Calibri" w:cs="Calibri" w:eastAsia="Calibri" w:hAnsi="Calibri"/>
          <w:b/>
          <w:bCs/>
          <w:color w:val="1A1A1A"/>
          <w:sz w:val="22"/>
          <w:szCs w:val="22"/>
        </w:rPr>
        <w:t xml:space="preserve">3.2 Inferencias razonadas</w:t>
      </w:r>
    </w:p>
    <w:p>
      <w:pPr>
        <w:spacing w:after="150" w:before="0" w:line="288"/>
        <w:jc w:val="both"/>
      </w:pPr>
      <w:r>
        <w:rPr>
          <w:rFonts w:ascii="Calibri" w:cs="Calibri" w:eastAsia="Calibri" w:hAnsi="Calibri"/>
          <w:color w:val="1A1A1A"/>
          <w:sz w:val="21"/>
          <w:szCs w:val="21"/>
        </w:rPr>
        <w:t xml:space="preserve">Las siguientes proposiciones no están medidas y se enuncian como inferencias explícitas, sujetas a refutación:</w:t>
      </w:r>
    </w:p>
    <w:p>
      <w:pPr>
        <w:pStyle w:val="ListParagraph"/>
        <w:numPr>
          <w:ilvl w:val="0"/>
          <w:numId w:val="2"/>
        </w:numPr>
        <w:spacing w:after="80" w:line="288"/>
        <w:jc w:val="both"/>
      </w:pPr>
      <w:r>
        <w:rPr>
          <w:rFonts w:ascii="Calibri" w:cs="Calibri" w:eastAsia="Calibri" w:hAnsi="Calibri"/>
          <w:b/>
          <w:bCs/>
          <w:color w:val="1A1A1A"/>
          <w:sz w:val="21"/>
          <w:szCs w:val="21"/>
        </w:rPr>
        <w:t xml:space="preserve">I1. </w:t>
      </w:r>
      <w:r>
        <w:rPr>
          <w:rFonts w:ascii="Calibri" w:cs="Calibri" w:eastAsia="Calibri" w:hAnsi="Calibri"/>
          <w:color w:val="1A1A1A"/>
          <w:sz w:val="21"/>
          <w:szCs w:val="21"/>
        </w:rPr>
        <w:t xml:space="preserve">Si la planificación analítica se apoya en criterio experto (E6) y la adopción de analítica avanzada es incipiente en el contexto colombiano (E4), es plausible que exista margen de mejora en la asignación de recursos de estos laboratorios. </w:t>
      </w:r>
      <w:r>
        <w:rPr>
          <w:rFonts w:ascii="Calibri" w:cs="Calibri" w:eastAsia="Calibri" w:hAnsi="Calibri"/>
          <w:i/>
          <w:iCs/>
          <w:color w:val="1A1A1A"/>
          <w:sz w:val="21"/>
          <w:szCs w:val="21"/>
        </w:rPr>
        <w:t xml:space="preserve">Plausible, no demostrado</w:t>
      </w:r>
      <w:r>
        <w:rPr>
          <w:rFonts w:ascii="Calibri" w:cs="Calibri" w:eastAsia="Calibri" w:hAnsi="Calibri"/>
          <w:color w:val="1A1A1A"/>
          <w:sz w:val="21"/>
          <w:szCs w:val="21"/>
        </w:rPr>
        <w:t xml:space="preserve">: ninguna de las dos evidencias mide desempeño operativo colombiano.</w:t>
      </w:r>
    </w:p>
    <w:p>
      <w:pPr>
        <w:pStyle w:val="ListParagraph"/>
        <w:numPr>
          <w:ilvl w:val="0"/>
          <w:numId w:val="2"/>
        </w:numPr>
        <w:spacing w:after="80" w:line="288"/>
        <w:jc w:val="both"/>
      </w:pPr>
      <w:r>
        <w:rPr>
          <w:rFonts w:ascii="Calibri" w:cs="Calibri" w:eastAsia="Calibri" w:hAnsi="Calibri"/>
          <w:b/>
          <w:bCs/>
          <w:color w:val="1A1A1A"/>
          <w:sz w:val="21"/>
          <w:szCs w:val="21"/>
        </w:rPr>
        <w:t xml:space="preserve">I2. </w:t>
      </w:r>
      <w:r>
        <w:rPr>
          <w:rFonts w:ascii="Calibri" w:cs="Calibri" w:eastAsia="Calibri" w:hAnsi="Calibri"/>
          <w:color w:val="1A1A1A"/>
          <w:sz w:val="21"/>
          <w:szCs w:val="21"/>
        </w:rPr>
        <w:t xml:space="preserve">La ausencia de indicadores públicos (E7) limita tanto la gestión interna basada en evidencia como la investigación académica sobre el tema. Se trata de una consecuencia lógica de la ausencia documentada, no de un hallazgo empírico independiente.</w:t>
      </w:r>
    </w:p>
    <w:p>
      <w:pPr>
        <w:pStyle w:val="ListParagraph"/>
        <w:numPr>
          <w:ilvl w:val="0"/>
          <w:numId w:val="2"/>
        </w:numPr>
        <w:spacing w:after="80" w:line="288"/>
        <w:jc w:val="both"/>
      </w:pPr>
      <w:r>
        <w:rPr>
          <w:rFonts w:ascii="Calibri" w:cs="Calibri" w:eastAsia="Calibri" w:hAnsi="Calibri"/>
          <w:b/>
          <w:bCs/>
          <w:color w:val="1A1A1A"/>
          <w:sz w:val="21"/>
          <w:szCs w:val="21"/>
        </w:rPr>
        <w:t xml:space="preserve">I3. </w:t>
      </w:r>
      <w:r>
        <w:rPr>
          <w:rFonts w:ascii="Calibri" w:cs="Calibri" w:eastAsia="Calibri" w:hAnsi="Calibri"/>
          <w:color w:val="1A1A1A"/>
          <w:sz w:val="21"/>
          <w:szCs w:val="21"/>
        </w:rPr>
        <w:t xml:space="preserve">La dureza combinatoria del problema (E5) implica que, a partir de cierto número de muestras, analistas y equipos, la calidad de una programación construida manualmente se degrada respecto del óptimo alcanzable. Es una consecuencia matemática de la complejidad del problema, no una observación sobre laboratorios concretos.</w:t>
      </w:r>
    </w:p>
    <w:p>
      <w:pPr>
        <w:pStyle w:val="Heading2"/>
        <w:spacing w:after="110" w:before="250"/>
      </w:pPr>
      <w:r>
        <w:rPr>
          <w:rFonts w:ascii="Calibri" w:cs="Calibri" w:eastAsia="Calibri" w:hAnsi="Calibri"/>
          <w:b/>
          <w:bCs/>
          <w:color w:val="1A1A1A"/>
          <w:sz w:val="22"/>
          <w:szCs w:val="22"/>
        </w:rPr>
        <w:t xml:space="preserve">3.3 Juicios de valor excluidos deliberadamente</w:t>
      </w:r>
    </w:p>
    <w:p>
      <w:pPr>
        <w:spacing w:after="150" w:before="0" w:line="288"/>
        <w:jc w:val="both"/>
      </w:pPr>
      <w:r>
        <w:rPr>
          <w:rFonts w:ascii="Calibri" w:cs="Calibri" w:eastAsia="Calibri" w:hAnsi="Calibri"/>
          <w:color w:val="1A1A1A"/>
          <w:sz w:val="21"/>
          <w:szCs w:val="21"/>
        </w:rPr>
        <w:t xml:space="preserve">Las siguientes afirmaciones circulan con frecuencia en la literatura profesional sobre el tema y se excluyen de este planteamiento por carecer de respaldo empírico verificable:</w:t>
      </w:r>
    </w:p>
    <w:tbl>
      <w:tblPr>
        <w:tblW w:type="dxa" w:w="9000"/>
        <w:tblBorders>
          <w:top w:val="single" w:color="C9C9C9" w:sz="4"/>
          <w:left w:val="single" w:color="C9C9C9" w:sz="4"/>
          <w:bottom w:val="single" w:color="C9C9C9" w:sz="4"/>
          <w:right w:val="single" w:color="C9C9C9" w:sz="4"/>
          <w:insideH w:val="single" w:color="C9C9C9" w:sz="4"/>
          <w:insideV w:val="single" w:color="C9C9C9" w:sz="4"/>
        </w:tblBorders>
      </w:tblPr>
      <w:tblGrid>
        <w:gridCol w:w="4600"/>
        <w:gridCol w:w="4400"/>
      </w:tblGrid>
      <w:tr>
        <w:tc>
          <w:tcPr>
            <w:tcW w:type="dxa" w:w="4600"/>
            <w:shd w:fill="ECEEF1" w:color="auto" w:val="clear"/>
            <w:tcMar>
              <w:top w:type="dxa" w:w="85"/>
              <w:left w:type="dxa" w:w="105"/>
              <w:bottom w:type="dxa" w:w="85"/>
              <w:right w:type="dxa" w:w="105"/>
            </w:tcMar>
          </w:tcPr>
          <w:p>
            <w:pPr>
              <w:spacing w:after="0" w:line="264"/>
              <w:jc w:val="left"/>
            </w:pPr>
            <w:r>
              <w:rPr>
                <w:rFonts w:ascii="Calibri" w:cs="Calibri" w:eastAsia="Calibri" w:hAnsi="Calibri"/>
                <w:b/>
                <w:bCs/>
                <w:color w:val="1A1A1A"/>
                <w:sz w:val="18"/>
                <w:szCs w:val="18"/>
              </w:rPr>
              <w:t xml:space="preserve">Afirmación excluida</w:t>
            </w:r>
          </w:p>
        </w:tc>
        <w:tc>
          <w:tcPr>
            <w:tcW w:type="dxa" w:w="4400"/>
            <w:shd w:fill="ECEEF1" w:color="auto" w:val="clear"/>
            <w:tcMar>
              <w:top w:type="dxa" w:w="85"/>
              <w:left w:type="dxa" w:w="105"/>
              <w:bottom w:type="dxa" w:w="85"/>
              <w:right w:type="dxa" w:w="105"/>
            </w:tcMar>
          </w:tcPr>
          <w:p>
            <w:pPr>
              <w:spacing w:after="0" w:line="264"/>
              <w:jc w:val="left"/>
            </w:pPr>
            <w:r>
              <w:rPr>
                <w:rFonts w:ascii="Calibri" w:cs="Calibri" w:eastAsia="Calibri" w:hAnsi="Calibri"/>
                <w:b/>
                <w:bCs/>
                <w:color w:val="1A1A1A"/>
                <w:sz w:val="18"/>
                <w:szCs w:val="18"/>
              </w:rPr>
              <w:t xml:space="preserve">Razón de la exclusión</w:t>
            </w:r>
          </w:p>
        </w:tc>
      </w:tr>
      <w:tr>
        <w:tc>
          <w:tcPr>
            <w:tcW w:type="dxa" w:w="4600"/>
            <w:shd w:fill="FBE9E7" w:color="auto" w:val="clear"/>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«Los laboratorios de control de calidad colombianos son ineficientes»</w:t>
            </w:r>
          </w:p>
        </w:tc>
        <w:tc>
          <w:tcPr>
            <w:tcW w:type="dxa" w:w="44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No existe medición pública de su desempeño (E7). Afirmarlo sería atribuir un déficit no observado.</w:t>
            </w:r>
          </w:p>
        </w:tc>
      </w:tr>
      <w:tr>
        <w:tc>
          <w:tcPr>
            <w:tcW w:type="dxa" w:w="4600"/>
            <w:shd w:fill="FBE9E7" w:color="auto" w:val="clear"/>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«El represamiento de trámites del INVIMA se explica por la operación de los laboratorios»</w:t>
            </w:r>
          </w:p>
        </w:tc>
        <w:tc>
          <w:tcPr>
            <w:tcW w:type="dxa" w:w="44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Confunde el trámite regulatorio ante la autoridad sanitaria con la operación analítica interna de la planta. Son procesos distintos y la evidencia disponible no los vincula causalmente.</w:t>
            </w:r>
          </w:p>
        </w:tc>
      </w:tr>
      <w:tr>
        <w:tc>
          <w:tcPr>
            <w:tcW w:type="dxa" w:w="4600"/>
            <w:shd w:fill="FBE9E7" w:color="auto" w:val="clear"/>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«La inteligencia artificial resolverá el desabastecimiento de medicamentos»</w:t>
            </w:r>
          </w:p>
        </w:tc>
        <w:tc>
          <w:tcPr>
            <w:tcW w:type="dxa" w:w="44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Salto causal. Las causas documentadas del desabastecimiento (MinSalud, 2023) son múltiples y mayoritariamente ajenas a la planificación analítica.</w:t>
            </w:r>
          </w:p>
        </w:tc>
      </w:tr>
      <w:tr>
        <w:tc>
          <w:tcPr>
            <w:tcW w:type="dxa" w:w="4600"/>
            <w:shd w:fill="FBE9E7" w:color="auto" w:val="clear"/>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«La gestión basada en la experiencia del supervisor es deficiente»</w:t>
            </w:r>
          </w:p>
        </w:tc>
        <w:tc>
          <w:tcPr>
            <w:tcW w:type="dxa" w:w="44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El conocimiento experto acumulado es un activo operativo, no un defecto. Lo que la evidencia sugiere es que opera sin apoyo cuantitativo, que es un enunciado distinto.</w:t>
            </w:r>
          </w:p>
        </w:tc>
      </w:tr>
    </w:tbl>
    <w:p>
      <w:pPr>
        <w:pStyle w:val="Heading2"/>
        <w:spacing w:after="110" w:before="250"/>
      </w:pPr>
      <w:r>
        <w:rPr>
          <w:rFonts w:ascii="Calibri" w:cs="Calibri" w:eastAsia="Calibri" w:hAnsi="Calibri"/>
          <w:b/>
          <w:bCs/>
          <w:color w:val="1A1A1A"/>
          <w:sz w:val="22"/>
          <w:szCs w:val="22"/>
        </w:rPr>
        <w:t xml:space="preserve">3.4 Formulación del problema</w:t>
      </w:r>
    </w:p>
    <w:p>
      <w:pPr>
        <w:spacing w:after="150" w:before="0" w:line="288"/>
        <w:jc w:val="both"/>
      </w:pPr>
      <w:r>
        <w:rPr>
          <w:rFonts w:ascii="Calibri" w:cs="Calibri" w:eastAsia="Calibri" w:hAnsi="Calibri"/>
          <w:color w:val="1A1A1A"/>
          <w:sz w:val="21"/>
          <w:szCs w:val="21"/>
        </w:rPr>
        <w:t xml:space="preserve">De lo anterior se desprende un problema que no es de desempeño observado sino </w:t>
      </w:r>
      <w:r>
        <w:rPr>
          <w:rFonts w:ascii="Calibri" w:cs="Calibri" w:eastAsia="Calibri" w:hAnsi="Calibri"/>
          <w:b/>
          <w:bCs/>
          <w:color w:val="1A1A1A"/>
          <w:sz w:val="21"/>
          <w:szCs w:val="21"/>
        </w:rPr>
        <w:t xml:space="preserve">de capacidad instalada de decisión</w:t>
      </w:r>
      <w:r>
        <w:rPr>
          <w:rFonts w:ascii="Calibri" w:cs="Calibri" w:eastAsia="Calibri" w:hAnsi="Calibri"/>
          <w:color w:val="1A1A1A"/>
          <w:sz w:val="21"/>
          <w:szCs w:val="21"/>
        </w:rPr>
        <w:t xml:space="preserve">. Los laboratorios de control de calidad farmacéuticos operan sobre un problema de asignación computacionalmente duro (E5), lo hacen apoyados principalmente en criterio experto (E6), en un entorno nacional de baja incorporación de analítica avanzada (E4) y bajo presión regulatoria y de abastecimiento documentada (E2, E3). A la vez, el desarrollo académico de herramientas cuantitativas para ese contexto está bloqueado por la inaccesibilidad de datos operativos, que es a un tiempo jurídica y estadística (apartado 2.1, E7).</w:t>
      </w:r>
    </w:p>
    <w:p>
      <w:pPr>
        <w:spacing w:after="150" w:before="0" w:line="288"/>
        <w:jc w:val="both"/>
      </w:pPr>
      <w:r>
        <w:rPr>
          <w:rFonts w:ascii="Calibri" w:cs="Calibri" w:eastAsia="Calibri" w:hAnsi="Calibri"/>
          <w:color w:val="1A1A1A"/>
          <w:sz w:val="21"/>
          <w:szCs w:val="21"/>
        </w:rPr>
        <w:t xml:space="preserve">El problema de investigación, entonces, se sitúa en ese bloqueo: </w:t>
      </w:r>
      <w:r>
        <w:rPr>
          <w:rFonts w:ascii="Calibri" w:cs="Calibri" w:eastAsia="Calibri" w:hAnsi="Calibri"/>
          <w:b/>
          <w:bCs/>
          <w:color w:val="1A1A1A"/>
          <w:sz w:val="21"/>
          <w:szCs w:val="21"/>
        </w:rPr>
        <w:t xml:space="preserve">no es posible desarrollar ni evaluar modelos predictivos de apoyo a la planificación analítica farmacéutica mientras no se disponga de un sustituto metodológicamente defendible de los datos operativos reales</w:t>
      </w:r>
      <w:r>
        <w:rPr>
          <w:rFonts w:ascii="Calibri" w:cs="Calibri" w:eastAsia="Calibri" w:hAnsi="Calibri"/>
          <w:color w:val="1A1A1A"/>
          <w:sz w:val="21"/>
          <w:szCs w:val="21"/>
        </w:rPr>
        <w:t xml:space="preserve">. La presente investigación aborda ese bloqueo construyendo y evaluando dicho sustituto.</w:t>
      </w:r>
    </w:p>
    <w:p>
      <w:pPr>
        <w:pStyle w:val="Heading1"/>
        <w:pBdr>
          <w:bottom w:val="single" w:color="1A4B8C" w:sz="8" w:space="6"/>
        </w:pBdr>
        <w:spacing w:after="170" w:before="380"/>
      </w:pPr>
      <w:r>
        <w:rPr>
          <w:rFonts w:ascii="Calibri" w:cs="Calibri" w:eastAsia="Calibri" w:hAnsi="Calibri"/>
          <w:b/>
          <w:bCs/>
          <w:color w:val="1A4B8C"/>
          <w:sz w:val="27"/>
          <w:szCs w:val="27"/>
        </w:rPr>
        <w:t xml:space="preserve">4. Pronóstico del fenómeno</w:t>
      </w:r>
    </w:p>
    <w:p>
      <w:pPr>
        <w:spacing w:after="150" w:before="0" w:line="288"/>
        <w:jc w:val="both"/>
      </w:pPr>
      <w:r>
        <w:rPr>
          <w:rFonts w:ascii="Calibri" w:cs="Calibri" w:eastAsia="Calibri" w:hAnsi="Calibri"/>
          <w:color w:val="1A1A1A"/>
          <w:sz w:val="21"/>
          <w:szCs w:val="21"/>
        </w:rPr>
        <w:t xml:space="preserve">El pronóstico que sigue es un </w:t>
      </w:r>
      <w:r>
        <w:rPr>
          <w:rFonts w:ascii="Calibri" w:cs="Calibri" w:eastAsia="Calibri" w:hAnsi="Calibri"/>
          <w:i/>
          <w:iCs/>
          <w:color w:val="1A1A1A"/>
          <w:sz w:val="21"/>
          <w:szCs w:val="21"/>
        </w:rPr>
        <w:t xml:space="preserve">escenario prospectivo argumentado</w:t>
      </w:r>
      <w:r>
        <w:rPr>
          <w:rFonts w:ascii="Calibri" w:cs="Calibri" w:eastAsia="Calibri" w:hAnsi="Calibri"/>
          <w:color w:val="1A1A1A"/>
          <w:sz w:val="21"/>
          <w:szCs w:val="21"/>
        </w:rPr>
        <w:t xml:space="preserve">, construido por extrapolación de tendencias documentadas. No constituye una proyección estadística ni un pronóstico probabilístico, y así debe leerse.</w:t>
      </w:r>
    </w:p>
    <w:p>
      <w:pPr>
        <w:pStyle w:val="Heading2"/>
        <w:spacing w:after="110" w:before="250"/>
      </w:pPr>
      <w:r>
        <w:rPr>
          <w:rFonts w:ascii="Calibri" w:cs="Calibri" w:eastAsia="Calibri" w:hAnsi="Calibri"/>
          <w:b/>
          <w:bCs/>
          <w:color w:val="1A1A1A"/>
          <w:sz w:val="22"/>
          <w:szCs w:val="22"/>
        </w:rPr>
        <w:t xml:space="preserve">4.1 Tendencias documentadas que configuran el escenario</w:t>
      </w:r>
    </w:p>
    <w:p>
      <w:pPr>
        <w:pStyle w:val="ListParagraph"/>
        <w:numPr>
          <w:ilvl w:val="0"/>
          <w:numId w:val="2"/>
        </w:numPr>
        <w:spacing w:after="80" w:line="288"/>
        <w:jc w:val="both"/>
      </w:pPr>
      <w:r>
        <w:rPr>
          <w:rFonts w:ascii="Calibri" w:cs="Calibri" w:eastAsia="Calibri" w:hAnsi="Calibri"/>
          <w:b/>
          <w:bCs/>
          <w:color w:val="1A1A1A"/>
          <w:sz w:val="21"/>
          <w:szCs w:val="21"/>
        </w:rPr>
        <w:t xml:space="preserve">Presión de expansión de la capacidad productiva nacional. </w:t>
      </w:r>
      <w:r>
        <w:rPr>
          <w:rFonts w:ascii="Calibri" w:cs="Calibri" w:eastAsia="Calibri" w:hAnsi="Calibri"/>
          <w:color w:val="1A1A1A"/>
          <w:sz w:val="21"/>
          <w:szCs w:val="21"/>
        </w:rPr>
        <w:t xml:space="preserve">El CONPES 4170 declaró de importancia estratégica el fortalecimiento de la producción nacional de productos farmacéuticos, con un marco de inversión 2026–2035 orientado a reducir la dependencia externa. Un aumento de la producción nacional implica un aumento proporcional de la carga analítica, puesto que cada lote fabricado exige su correspondiente batería de ensayos antes de la liberación.</w:t>
      </w:r>
    </w:p>
    <w:p>
      <w:pPr>
        <w:pStyle w:val="ListParagraph"/>
        <w:numPr>
          <w:ilvl w:val="0"/>
          <w:numId w:val="2"/>
        </w:numPr>
        <w:spacing w:after="80" w:line="288"/>
        <w:jc w:val="both"/>
      </w:pPr>
      <w:r>
        <w:rPr>
          <w:rFonts w:ascii="Calibri" w:cs="Calibri" w:eastAsia="Calibri" w:hAnsi="Calibri"/>
          <w:b/>
          <w:bCs/>
          <w:color w:val="1A1A1A"/>
          <w:sz w:val="21"/>
          <w:szCs w:val="21"/>
        </w:rPr>
        <w:t xml:space="preserve">Persistencia de la carga administrativa regulatoria. </w:t>
      </w:r>
      <w:r>
        <w:rPr>
          <w:rFonts w:ascii="Calibri" w:cs="Calibri" w:eastAsia="Calibri" w:hAnsi="Calibri"/>
          <w:color w:val="1A1A1A"/>
          <w:sz w:val="21"/>
          <w:szCs w:val="21"/>
        </w:rPr>
        <w:t xml:space="preserve">La prórroga del plan de contingencia del INVIMA seis meses después de su adopción indica que el represamiento no se resolvió en el horizonte inicialmente previsto (E2).</w:t>
      </w:r>
    </w:p>
    <w:p>
      <w:pPr>
        <w:pStyle w:val="ListParagraph"/>
        <w:numPr>
          <w:ilvl w:val="0"/>
          <w:numId w:val="2"/>
        </w:numPr>
        <w:spacing w:after="80" w:line="288"/>
        <w:jc w:val="both"/>
      </w:pPr>
      <w:r>
        <w:rPr>
          <w:rFonts w:ascii="Calibri" w:cs="Calibri" w:eastAsia="Calibri" w:hAnsi="Calibri"/>
          <w:b/>
          <w:bCs/>
          <w:color w:val="1A1A1A"/>
          <w:sz w:val="21"/>
          <w:szCs w:val="21"/>
        </w:rPr>
        <w:t xml:space="preserve">Adopción analítica que avanza lentamente. </w:t>
      </w:r>
      <w:r>
        <w:rPr>
          <w:rFonts w:ascii="Calibri" w:cs="Calibri" w:eastAsia="Calibri" w:hAnsi="Calibri"/>
          <w:color w:val="1A1A1A"/>
          <w:sz w:val="21"/>
          <w:szCs w:val="21"/>
        </w:rPr>
        <w:t xml:space="preserve">Los indicadores de madurez digital disponibles (E4) no muestran una transición rápida hacia la toma de decisiones basada en datos en la manufactura colombiana.</w:t>
      </w:r>
    </w:p>
    <w:p>
      <w:pPr>
        <w:pStyle w:val="Heading2"/>
        <w:spacing w:after="110" w:before="250"/>
      </w:pPr>
      <w:r>
        <w:rPr>
          <w:rFonts w:ascii="Calibri" w:cs="Calibri" w:eastAsia="Calibri" w:hAnsi="Calibri"/>
          <w:b/>
          <w:bCs/>
          <w:color w:val="1A1A1A"/>
          <w:sz w:val="22"/>
          <w:szCs w:val="22"/>
        </w:rPr>
        <w:t xml:space="preserve">4.2 Escenario sin intervención</w:t>
      </w:r>
    </w:p>
    <w:p>
      <w:pPr>
        <w:spacing w:after="150" w:before="0" w:line="288"/>
        <w:jc w:val="both"/>
      </w:pPr>
      <w:r>
        <w:rPr>
          <w:rFonts w:ascii="Calibri" w:cs="Calibri" w:eastAsia="Calibri" w:hAnsi="Calibri"/>
          <w:color w:val="1A1A1A"/>
          <w:sz w:val="21"/>
          <w:szCs w:val="21"/>
        </w:rPr>
        <w:t xml:space="preserve">Si la capacidad analítica instalada crece por adición de recursos —más analistas, más equipos— sin incorporar mecanismos de planificación basados en datos, es razonable esperar que la brecha entre demanda de ensayos y capacidad efectiva de procesamiento se amplíe en lugar de cerrarse. La razón es estructural y se sigue de E5: en un problema NP-difícil, añadir recursos incrementa el espacio de soluciones posibles más rápido de lo que incrementa la capacidad de un planificador humano para explorarlo. El resultado previsible no es la ausencia de capacidad sino su </w:t>
      </w:r>
      <w:r>
        <w:rPr>
          <w:rFonts w:ascii="Calibri" w:cs="Calibri" w:eastAsia="Calibri" w:hAnsi="Calibri"/>
          <w:i/>
          <w:iCs/>
          <w:color w:val="1A1A1A"/>
          <w:sz w:val="21"/>
          <w:szCs w:val="21"/>
        </w:rPr>
        <w:t xml:space="preserve">subutilización</w:t>
      </w:r>
      <w:r>
        <w:rPr>
          <w:rFonts w:ascii="Calibri" w:cs="Calibri" w:eastAsia="Calibri" w:hAnsi="Calibri"/>
          <w:color w:val="1A1A1A"/>
          <w:sz w:val="21"/>
          <w:szCs w:val="21"/>
        </w:rPr>
        <w:t xml:space="preserve">: recursos disponibles que permanecen ociosos mientras otros se congestionan, con efectos sobre los tiempos de liberación y, por esa vía, sobre la disponibilidad de producto.</w:t>
      </w:r>
    </w:p>
    <w:p>
      <w:pPr>
        <w:spacing w:after="150" w:before="0" w:line="288"/>
        <w:jc w:val="both"/>
      </w:pPr>
      <w:r>
        <w:rPr>
          <w:rFonts w:ascii="Calibri" w:cs="Calibri" w:eastAsia="Calibri" w:hAnsi="Calibri"/>
          <w:color w:val="1A1A1A"/>
          <w:sz w:val="21"/>
          <w:szCs w:val="21"/>
        </w:rPr>
        <w:t xml:space="preserve">A ello se suma un efecto de segundo orden derivado de E7: mientras no existan indicadores de desempeño analítico, ni las plantas ni la autoridad sanitaria dispondrán de la información necesaria para identificar dónde se localiza la restricción. La ausencia de medición no solo impide corregir; impide saber que hay algo que corregir.</w:t>
      </w:r>
    </w:p>
    <w:p>
      <w:pPr>
        <w:pStyle w:val="Heading2"/>
        <w:spacing w:after="110" w:before="250"/>
      </w:pPr>
      <w:r>
        <w:rPr>
          <w:rFonts w:ascii="Calibri" w:cs="Calibri" w:eastAsia="Calibri" w:hAnsi="Calibri"/>
          <w:b/>
          <w:bCs/>
          <w:color w:val="1A1A1A"/>
          <w:sz w:val="22"/>
          <w:szCs w:val="22"/>
        </w:rPr>
        <w:t xml:space="preserve">4.3 Control del pronóstico</w:t>
      </w:r>
    </w:p>
    <w:p>
      <w:pPr>
        <w:spacing w:after="150" w:before="0" w:line="288"/>
        <w:jc w:val="both"/>
      </w:pPr>
      <w:r>
        <w:rPr>
          <w:rFonts w:ascii="Calibri" w:cs="Calibri" w:eastAsia="Calibri" w:hAnsi="Calibri"/>
          <w:color w:val="1A1A1A"/>
          <w:sz w:val="21"/>
          <w:szCs w:val="21"/>
        </w:rPr>
        <w:t xml:space="preserve">El escenario descrito es modificable. La disponibilidad de un modelo capaz de estimar con antelación la duración de las actividades analíticas y de recomendar asignaciones de personal y equipo permitiría a los responsables de laboratorio anticipar congestiones antes de que se materialicen y contrastar alternativas de programación antes de comprometer recursos. La presente investigación no interviene sobre ningún laboratorio real: aporta la evidencia de viabilidad técnica que una intervención de ese tipo requeriría como paso previo.</w:t>
      </w:r>
    </w:p>
    <w:p>
      <w:pPr>
        <w:pStyle w:val="Heading1"/>
        <w:pBdr>
          <w:bottom w:val="single" w:color="1A4B8C" w:sz="8" w:space="6"/>
        </w:pBdr>
        <w:spacing w:after="170" w:before="380"/>
      </w:pPr>
      <w:r>
        <w:rPr>
          <w:rFonts w:ascii="Calibri" w:cs="Calibri" w:eastAsia="Calibri" w:hAnsi="Calibri"/>
          <w:b/>
          <w:bCs/>
          <w:color w:val="1A4B8C"/>
          <w:sz w:val="27"/>
          <w:szCs w:val="27"/>
        </w:rPr>
        <w:t xml:space="preserve">5. Planteamiento de la propuesta investigativa</w:t>
      </w:r>
    </w:p>
    <w:p>
      <w:pPr>
        <w:pStyle w:val="Heading2"/>
        <w:spacing w:after="110" w:before="250"/>
      </w:pPr>
      <w:r>
        <w:rPr>
          <w:rFonts w:ascii="Calibri" w:cs="Calibri" w:eastAsia="Calibri" w:hAnsi="Calibri"/>
          <w:b/>
          <w:bCs/>
          <w:color w:val="1A1A1A"/>
          <w:sz w:val="22"/>
          <w:szCs w:val="22"/>
        </w:rPr>
        <w:t xml:space="preserve">5.1 Pregunta de investigación</w:t>
      </w:r>
    </w:p>
    <w:p>
      <w:pPr>
        <w:pBdr>
          <w:left w:val="single" w:color="1A4B8C" w:sz="12" w:space="10"/>
        </w:pBdr>
        <w:spacing w:after="150" w:before="100" w:line="276"/>
        <w:ind w:left="431"/>
        <w:jc w:val="both"/>
      </w:pPr>
      <w:r>
        <w:rPr>
          <w:rFonts w:ascii="Calibri" w:cs="Calibri" w:eastAsia="Calibri" w:hAnsi="Calibri"/>
          <w:i/>
          <w:iCs/>
          <w:color w:val="5A5A5A"/>
          <w:sz w:val="20"/>
          <w:szCs w:val="20"/>
        </w:rPr>
        <w:t xml:space="preserve">¿Qué nivel de precisión alcanzan distintos algoritmos de aprendizaje automático supervisado, entrenados con datos sintéticos calibrados con parámetros de la literatura arbitrada, en la estimación de la duración de actividades analíticas de un laboratorio de control de calidad farmacéutico de referencia; y en qué medida una política de asignación de recursos aprendida mediante Deep Q-Network sobre dichas estimaciones mejora los indicadores de utilización, makespan y cumplimiento de plazos frente a reglas de despacho de referencia en ese mismo entorno simulado?</w:t>
      </w:r>
    </w:p>
    <w:p>
      <w:pPr>
        <w:pStyle w:val="Heading2"/>
        <w:spacing w:after="110" w:before="250"/>
      </w:pPr>
      <w:r>
        <w:rPr>
          <w:rFonts w:ascii="Calibri" w:cs="Calibri" w:eastAsia="Calibri" w:hAnsi="Calibri"/>
          <w:b/>
          <w:bCs/>
          <w:color w:val="1A1A1A"/>
          <w:sz w:val="22"/>
          <w:szCs w:val="22"/>
        </w:rPr>
        <w:t xml:space="preserve">5.2 Objetivo general</w:t>
      </w:r>
    </w:p>
    <w:p>
      <w:pPr>
        <w:spacing w:after="150" w:before="0" w:line="288"/>
        <w:jc w:val="both"/>
      </w:pPr>
      <w:r>
        <w:rPr>
          <w:rFonts w:ascii="Calibri" w:cs="Calibri" w:eastAsia="Calibri" w:hAnsi="Calibri"/>
          <w:color w:val="1A1A1A"/>
          <w:sz w:val="21"/>
          <w:szCs w:val="21"/>
        </w:rPr>
        <w:t xml:space="preserve">Desarrollar y evaluar un prototipo de sistema predictivo, entrenado con datos sintéticos, que estime la duración de las actividades analíticas de un laboratorio de control de calidad farmacéutico de referencia y recomiende la asignación de personal calificado y equipos mediante aprendizaje por refuerzo profundo.</w:t>
      </w:r>
    </w:p>
    <w:p>
      <w:pPr>
        <w:pStyle w:val="Heading2"/>
        <w:spacing w:after="110" w:before="250"/>
      </w:pPr>
      <w:r>
        <w:rPr>
          <w:rFonts w:ascii="Calibri" w:cs="Calibri" w:eastAsia="Calibri" w:hAnsi="Calibri"/>
          <w:b/>
          <w:bCs/>
          <w:color w:val="1A1A1A"/>
          <w:sz w:val="22"/>
          <w:szCs w:val="22"/>
        </w:rPr>
        <w:t xml:space="preserve">5.3 Objetivos específicos</w:t>
      </w:r>
    </w:p>
    <w:tbl>
      <w:tblPr>
        <w:tblW w:type="dxa" w:w="9000"/>
        <w:tblBorders>
          <w:top w:val="single" w:color="C9C9C9" w:sz="4"/>
          <w:left w:val="single" w:color="C9C9C9" w:sz="4"/>
          <w:bottom w:val="single" w:color="C9C9C9" w:sz="4"/>
          <w:right w:val="single" w:color="C9C9C9" w:sz="4"/>
          <w:insideH w:val="single" w:color="C9C9C9" w:sz="4"/>
          <w:insideV w:val="single" w:color="C9C9C9" w:sz="4"/>
        </w:tblBorders>
      </w:tblPr>
      <w:tblGrid>
        <w:gridCol w:w="600"/>
        <w:gridCol w:w="4100"/>
        <w:gridCol w:w="4300"/>
      </w:tblGrid>
      <w:tr>
        <w:tc>
          <w:tcPr>
            <w:tcW w:type="dxa" w:w="600"/>
            <w:shd w:fill="ECEEF1" w:color="auto" w:val="clear"/>
            <w:tcMar>
              <w:top w:type="dxa" w:w="85"/>
              <w:left w:type="dxa" w:w="105"/>
              <w:bottom w:type="dxa" w:w="85"/>
              <w:right w:type="dxa" w:w="105"/>
            </w:tcMar>
          </w:tcPr>
          <w:p>
            <w:pPr>
              <w:spacing w:after="0" w:line="264"/>
              <w:jc w:val="left"/>
            </w:pPr>
            <w:r>
              <w:rPr>
                <w:rFonts w:ascii="Calibri" w:cs="Calibri" w:eastAsia="Calibri" w:hAnsi="Calibri"/>
                <w:b/>
                <w:bCs/>
                <w:color w:val="1A1A1A"/>
                <w:sz w:val="18"/>
                <w:szCs w:val="18"/>
              </w:rPr>
              <w:t xml:space="preserve">#</w:t>
            </w:r>
          </w:p>
        </w:tc>
        <w:tc>
          <w:tcPr>
            <w:tcW w:type="dxa" w:w="4100"/>
            <w:shd w:fill="ECEEF1" w:color="auto" w:val="clear"/>
            <w:tcMar>
              <w:top w:type="dxa" w:w="85"/>
              <w:left w:type="dxa" w:w="105"/>
              <w:bottom w:type="dxa" w:w="85"/>
              <w:right w:type="dxa" w:w="105"/>
            </w:tcMar>
          </w:tcPr>
          <w:p>
            <w:pPr>
              <w:spacing w:after="0" w:line="264"/>
              <w:jc w:val="left"/>
            </w:pPr>
            <w:r>
              <w:rPr>
                <w:rFonts w:ascii="Calibri" w:cs="Calibri" w:eastAsia="Calibri" w:hAnsi="Calibri"/>
                <w:b/>
                <w:bCs/>
                <w:color w:val="1A1A1A"/>
                <w:sz w:val="18"/>
                <w:szCs w:val="18"/>
              </w:rPr>
              <w:t xml:space="preserve">Objetivo</w:t>
            </w:r>
          </w:p>
        </w:tc>
        <w:tc>
          <w:tcPr>
            <w:tcW w:type="dxa" w:w="4300"/>
            <w:shd w:fill="ECEEF1" w:color="auto" w:val="clear"/>
            <w:tcMar>
              <w:top w:type="dxa" w:w="85"/>
              <w:left w:type="dxa" w:w="105"/>
              <w:bottom w:type="dxa" w:w="85"/>
              <w:right w:type="dxa" w:w="105"/>
            </w:tcMar>
          </w:tcPr>
          <w:p>
            <w:pPr>
              <w:spacing w:after="0" w:line="264"/>
              <w:jc w:val="left"/>
            </w:pPr>
            <w:r>
              <w:rPr>
                <w:rFonts w:ascii="Calibri" w:cs="Calibri" w:eastAsia="Calibri" w:hAnsi="Calibri"/>
                <w:b/>
                <w:bCs/>
                <w:color w:val="1A1A1A"/>
                <w:sz w:val="18"/>
                <w:szCs w:val="18"/>
              </w:rPr>
              <w:t xml:space="preserve">Criterio de verificación</w:t>
            </w:r>
          </w:p>
        </w:tc>
      </w:tr>
      <w:tr>
        <w:tc>
          <w:tcPr>
            <w:tcW w:type="dxa" w:w="600"/>
            <w:tcMar>
              <w:top w:type="dxa" w:w="85"/>
              <w:left w:type="dxa" w:w="105"/>
              <w:bottom w:type="dxa" w:w="85"/>
              <w:right w:type="dxa" w:w="105"/>
            </w:tcMar>
          </w:tcPr>
          <w:p>
            <w:pPr>
              <w:spacing w:after="0" w:line="264"/>
              <w:jc w:val="left"/>
            </w:pPr>
            <w:r>
              <w:rPr>
                <w:rFonts w:ascii="Calibri" w:cs="Calibri" w:eastAsia="Calibri" w:hAnsi="Calibri"/>
                <w:b/>
                <w:bCs/>
                <w:color w:val="1A1A1A"/>
                <w:sz w:val="18"/>
                <w:szCs w:val="18"/>
              </w:rPr>
              <w:t xml:space="preserve">1</w:t>
            </w:r>
          </w:p>
        </w:tc>
        <w:tc>
          <w:tcPr>
            <w:tcW w:type="dxa" w:w="41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Estructurar un conjunto de datos sintéticos que represente los tiempos de ejecución y la disponibilidad cruzada de recursos humanos y materiales, mediante simulación de Monte Carlo con estimaciones de tres puntos y factores de correlación, calibrado con parámetros operativos reportados en literatura arbitrada</w:t>
            </w:r>
          </w:p>
        </w:tc>
        <w:tc>
          <w:tcPr>
            <w:tcW w:type="dxa" w:w="43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Trazabilidad documentada de cada supuesto de generación a su fuente; análisis de sensibilidad frente a la distribución de probabilidad elegida, siguiendo el hallazgo de Hassi et al. (2025)</w:t>
            </w:r>
          </w:p>
        </w:tc>
      </w:tr>
      <w:tr>
        <w:tc>
          <w:tcPr>
            <w:tcW w:type="dxa" w:w="600"/>
            <w:tcMar>
              <w:top w:type="dxa" w:w="85"/>
              <w:left w:type="dxa" w:w="105"/>
              <w:bottom w:type="dxa" w:w="85"/>
              <w:right w:type="dxa" w:w="105"/>
            </w:tcMar>
          </w:tcPr>
          <w:p>
            <w:pPr>
              <w:spacing w:after="0" w:line="264"/>
              <w:jc w:val="left"/>
            </w:pPr>
            <w:r>
              <w:rPr>
                <w:rFonts w:ascii="Calibri" w:cs="Calibri" w:eastAsia="Calibri" w:hAnsi="Calibri"/>
                <w:b/>
                <w:bCs/>
                <w:color w:val="1A1A1A"/>
                <w:sz w:val="18"/>
                <w:szCs w:val="18"/>
              </w:rPr>
              <w:t xml:space="preserve">2</w:t>
            </w:r>
          </w:p>
        </w:tc>
        <w:tc>
          <w:tcPr>
            <w:tcW w:type="dxa" w:w="41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Comparar el desempeño de algoritmos de aprendizaje automático supervisado en la estimación de la duración de actividades analíticas y seleccionar el de mejor desempeño</w:t>
            </w:r>
          </w:p>
        </w:tc>
        <w:tc>
          <w:tcPr>
            <w:tcW w:type="dxa" w:w="43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MAE, RMSE, MAPE y R² bajo partición 80/20 y validación cruzada k-fold; comparación contra regresión lineal múltiple como línea base</w:t>
            </w:r>
          </w:p>
        </w:tc>
      </w:tr>
      <w:tr>
        <w:tc>
          <w:tcPr>
            <w:tcW w:type="dxa" w:w="600"/>
            <w:tcMar>
              <w:top w:type="dxa" w:w="85"/>
              <w:left w:type="dxa" w:w="105"/>
              <w:bottom w:type="dxa" w:w="85"/>
              <w:right w:type="dxa" w:w="105"/>
            </w:tcMar>
          </w:tcPr>
          <w:p>
            <w:pPr>
              <w:spacing w:after="0" w:line="264"/>
              <w:jc w:val="left"/>
            </w:pPr>
            <w:r>
              <w:rPr>
                <w:rFonts w:ascii="Calibri" w:cs="Calibri" w:eastAsia="Calibri" w:hAnsi="Calibri"/>
                <w:b/>
                <w:bCs/>
                <w:color w:val="1A1A1A"/>
                <w:sz w:val="18"/>
                <w:szCs w:val="18"/>
              </w:rPr>
              <w:t xml:space="preserve">3</w:t>
            </w:r>
          </w:p>
        </w:tc>
        <w:tc>
          <w:tcPr>
            <w:tcW w:type="dxa" w:w="41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Construir un prototipo funcional que integre el modelo seleccionado como variable de estado de un proceso de decisión de Markov y aprenda, mediante Deep Q-Network, una política de asignación de analistas y equipos</w:t>
            </w:r>
          </w:p>
        </w:tc>
        <w:tc>
          <w:tcPr>
            <w:tcW w:type="dxa" w:w="4300"/>
            <w:tcMar>
              <w:top w:type="dxa" w:w="85"/>
              <w:left w:type="dxa" w:w="105"/>
              <w:bottom w:type="dxa" w:w="85"/>
              <w:right w:type="dxa" w:w="105"/>
            </w:tcMar>
          </w:tcPr>
          <w:p>
            <w:pPr>
              <w:spacing w:after="0" w:line="264"/>
              <w:jc w:val="left"/>
            </w:pPr>
            <w:r>
              <w:rPr>
                <w:rFonts w:ascii="Calibri" w:cs="Calibri" w:eastAsia="Calibri" w:hAnsi="Calibri"/>
                <w:color w:val="1A1A1A"/>
                <w:sz w:val="18"/>
                <w:szCs w:val="18"/>
              </w:rPr>
              <w:t xml:space="preserve">Comparación contra reglas de despacho de referencia (FIFO, SPT, EDF y asignación aleatoria) sobre makespan, tasa de utilización, tardanza media y porcentaje de análisis fuera de plazo</w:t>
            </w:r>
          </w:p>
        </w:tc>
      </w:tr>
    </w:tbl>
    <w:p>
      <w:pPr>
        <w:pStyle w:val="Heading2"/>
        <w:spacing w:after="110" w:before="250"/>
      </w:pPr>
      <w:r>
        <w:rPr>
          <w:rFonts w:ascii="Calibri" w:cs="Calibri" w:eastAsia="Calibri" w:hAnsi="Calibri"/>
          <w:b/>
          <w:bCs/>
          <w:color w:val="1A1A1A"/>
          <w:sz w:val="22"/>
          <w:szCs w:val="22"/>
        </w:rPr>
        <w:t xml:space="preserve">5.4 Algoritmos y métricas</w:t>
      </w:r>
    </w:p>
    <w:p>
      <w:pPr>
        <w:spacing w:after="150" w:before="0" w:line="288"/>
        <w:jc w:val="both"/>
      </w:pPr>
      <w:r>
        <w:rPr>
          <w:rFonts w:ascii="Calibri" w:cs="Calibri" w:eastAsia="Calibri" w:hAnsi="Calibri"/>
          <w:b/>
          <w:bCs/>
          <w:color w:val="1A1A1A"/>
          <w:sz w:val="21"/>
          <w:szCs w:val="21"/>
        </w:rPr>
        <w:t xml:space="preserve">Capa predictiva: </w:t>
      </w:r>
      <w:r>
        <w:rPr>
          <w:rFonts w:ascii="Calibri" w:cs="Calibri" w:eastAsia="Calibri" w:hAnsi="Calibri"/>
          <w:color w:val="1A1A1A"/>
          <w:sz w:val="21"/>
          <w:szCs w:val="21"/>
        </w:rPr>
        <w:t xml:space="preserve">regresión lineal múltiple como línea base interpretable, Random Forest y máquinas de vectores de soporte —ambos justificados por el desempeño que Dong et al. (2023) documentan en procesos farmacéuticos— y un modelo de ensamble por potenciación de gradiente. Métricas: MAE, RMSE, MAPE y R². Se incorpora MAPE por su interpretabilidad porcentual ante un destinatario operativo.</w:t>
      </w:r>
    </w:p>
    <w:p>
      <w:pPr>
        <w:spacing w:after="150" w:before="0" w:line="288"/>
        <w:jc w:val="both"/>
      </w:pPr>
      <w:r>
        <w:rPr>
          <w:rFonts w:ascii="Calibri" w:cs="Calibri" w:eastAsia="Calibri" w:hAnsi="Calibri"/>
          <w:b/>
          <w:bCs/>
          <w:color w:val="1A1A1A"/>
          <w:sz w:val="21"/>
          <w:szCs w:val="21"/>
        </w:rPr>
        <w:t xml:space="preserve">Capa de asignación: </w:t>
      </w:r>
      <w:r>
        <w:rPr>
          <w:rFonts w:ascii="Calibri" w:cs="Calibri" w:eastAsia="Calibri" w:hAnsi="Calibri"/>
          <w:color w:val="1A1A1A"/>
          <w:sz w:val="21"/>
          <w:szCs w:val="21"/>
        </w:rPr>
        <w:t xml:space="preserve">formulación del problema como proceso de decisión de Markov cuyo estado incorpora la disponibilidad de analistas y equipos, la cola de muestras pendientes, sus plazos y la duración estimada por la capa predictiva; resolución mediante Deep Q-Network conforme a la metodología sistematizada por Khadivi et al. (2025). Métricas: makespan, tasa de utilización de analistas y de equipos, tardanza media y porcentaje de análisis entregados fuera de plazo.</w:t>
      </w:r>
    </w:p>
    <w:p>
      <w:pPr>
        <w:pStyle w:val="Heading2"/>
        <w:spacing w:after="110" w:before="250"/>
      </w:pPr>
      <w:r>
        <w:rPr>
          <w:rFonts w:ascii="Calibri" w:cs="Calibri" w:eastAsia="Calibri" w:hAnsi="Calibri"/>
          <w:b/>
          <w:bCs/>
          <w:color w:val="1A1A1A"/>
          <w:sz w:val="22"/>
          <w:szCs w:val="22"/>
        </w:rPr>
        <w:t xml:space="preserve">5.5 Alcance y limitaciones</w:t>
      </w:r>
    </w:p>
    <w:p>
      <w:pPr>
        <w:spacing w:after="150" w:before="0" w:line="288"/>
        <w:jc w:val="both"/>
      </w:pPr>
      <w:r>
        <w:rPr>
          <w:rFonts w:ascii="Calibri" w:cs="Calibri" w:eastAsia="Calibri" w:hAnsi="Calibri"/>
          <w:color w:val="1A1A1A"/>
          <w:sz w:val="21"/>
          <w:szCs w:val="21"/>
        </w:rPr>
        <w:t xml:space="preserve">Este trabajo produce evidencia de </w:t>
      </w:r>
      <w:r>
        <w:rPr>
          <w:rFonts w:ascii="Calibri" w:cs="Calibri" w:eastAsia="Calibri" w:hAnsi="Calibri"/>
          <w:b/>
          <w:bCs/>
          <w:color w:val="1A1A1A"/>
          <w:sz w:val="21"/>
          <w:szCs w:val="21"/>
        </w:rPr>
        <w:t xml:space="preserve">viabilidad técnica</w:t>
      </w:r>
      <w:r>
        <w:rPr>
          <w:rFonts w:ascii="Calibri" w:cs="Calibri" w:eastAsia="Calibri" w:hAnsi="Calibri"/>
          <w:color w:val="1A1A1A"/>
          <w:sz w:val="21"/>
          <w:szCs w:val="21"/>
        </w:rPr>
        <w:t xml:space="preserve"> y no de eficacia operativa. Tres limitaciones deben declararse de manera explícita.</w:t>
      </w:r>
    </w:p>
    <w:p>
      <w:pPr>
        <w:pStyle w:val="ListParagraph"/>
        <w:numPr>
          <w:ilvl w:val="0"/>
          <w:numId w:val="2"/>
        </w:numPr>
        <w:spacing w:after="80" w:line="288"/>
        <w:jc w:val="both"/>
      </w:pPr>
      <w:r>
        <w:rPr>
          <w:rFonts w:ascii="Calibri" w:cs="Calibri" w:eastAsia="Calibri" w:hAnsi="Calibri"/>
          <w:b/>
          <w:bCs/>
          <w:color w:val="1A1A1A"/>
          <w:sz w:val="21"/>
          <w:szCs w:val="21"/>
        </w:rPr>
        <w:t xml:space="preserve">Riesgo de circularidad. </w:t>
      </w:r>
      <w:r>
        <w:rPr>
          <w:rFonts w:ascii="Calibri" w:cs="Calibri" w:eastAsia="Calibri" w:hAnsi="Calibri"/>
          <w:color w:val="1A1A1A"/>
          <w:sz w:val="21"/>
          <w:szCs w:val="21"/>
        </w:rPr>
        <w:t xml:space="preserve">El modelo se entrena y se evalúa sobre datos generados por reglas definidas por los investigadores, y el agente de aprendizaje por refuerzo aprende su política interactuando con ese mismo simulador. Un desempeño elevado indica, en primera instancia, que los algoritmos recuperan la estructura codificada en el generador. La mitigación adoptada es triple: calibrar los parámetros con literatura arbitrada en lugar de fijarlos por intuición, incorporar perturbaciones estocásticas no modeladas explícitamente en la función de recompensa —reanálisis, indisponibilidad de equipos, ingresos no planificados— y evaluar el modelo en regímenes de carga distintos de los empleados en el entrenamiento.</w:t>
      </w:r>
    </w:p>
    <w:p>
      <w:pPr>
        <w:pStyle w:val="ListParagraph"/>
        <w:numPr>
          <w:ilvl w:val="0"/>
          <w:numId w:val="2"/>
        </w:numPr>
        <w:spacing w:after="80" w:line="288"/>
        <w:jc w:val="both"/>
      </w:pPr>
      <w:r>
        <w:rPr>
          <w:rFonts w:ascii="Calibri" w:cs="Calibri" w:eastAsia="Calibri" w:hAnsi="Calibri"/>
          <w:b/>
          <w:bCs/>
          <w:color w:val="1A1A1A"/>
          <w:sz w:val="21"/>
          <w:szCs w:val="21"/>
        </w:rPr>
        <w:t xml:space="preserve">Comparabilidad de las líneas base. </w:t>
      </w:r>
      <w:r>
        <w:rPr>
          <w:rFonts w:ascii="Calibri" w:cs="Calibri" w:eastAsia="Calibri" w:hAnsi="Calibri"/>
          <w:color w:val="1A1A1A"/>
          <w:sz w:val="21"/>
          <w:szCs w:val="21"/>
        </w:rPr>
        <w:t xml:space="preserve">Las reglas de despacho de referencia se evalúan dentro del mismo simulador que el agente aprendido. Esto garantiza una comparación justa entre políticas, pero no permite extrapolar la magnitud de la mejora a un laboratorio real.</w:t>
      </w:r>
    </w:p>
    <w:p>
      <w:pPr>
        <w:pStyle w:val="ListParagraph"/>
        <w:numPr>
          <w:ilvl w:val="0"/>
          <w:numId w:val="2"/>
        </w:numPr>
        <w:spacing w:after="80" w:line="288"/>
        <w:jc w:val="both"/>
      </w:pPr>
      <w:r>
        <w:rPr>
          <w:rFonts w:ascii="Calibri" w:cs="Calibri" w:eastAsia="Calibri" w:hAnsi="Calibri"/>
          <w:b/>
          <w:bCs/>
          <w:color w:val="1A1A1A"/>
          <w:sz w:val="21"/>
          <w:szCs w:val="21"/>
        </w:rPr>
        <w:t xml:space="preserve">Validación externa pendiente. </w:t>
      </w:r>
      <w:r>
        <w:rPr>
          <w:rFonts w:ascii="Calibri" w:cs="Calibri" w:eastAsia="Calibri" w:hAnsi="Calibri"/>
          <w:color w:val="1A1A1A"/>
          <w:sz w:val="21"/>
          <w:szCs w:val="21"/>
        </w:rPr>
        <w:t xml:space="preserve">La contrastación de las estimaciones contra registros operativos reales —protocolo de entrenamiento sobre datos sintéticos y evaluación sobre datos reales— queda fuera del alcance de este trabajo y se plantea como línea de continuidad.</w:t>
      </w:r>
    </w:p>
    <w:p>
      <w:pPr>
        <w:pStyle w:val="Heading2"/>
        <w:spacing w:after="110" w:before="250"/>
      </w:pPr>
      <w:r>
        <w:rPr>
          <w:rFonts w:ascii="Calibri" w:cs="Calibri" w:eastAsia="Calibri" w:hAnsi="Calibri"/>
          <w:b/>
          <w:bCs/>
          <w:color w:val="1A1A1A"/>
          <w:sz w:val="22"/>
          <w:szCs w:val="22"/>
        </w:rPr>
        <w:t xml:space="preserve">5.6 Consideraciones éticas</w:t>
      </w:r>
    </w:p>
    <w:p>
      <w:pPr>
        <w:spacing w:after="150" w:before="0" w:line="288"/>
        <w:jc w:val="both"/>
      </w:pPr>
      <w:r>
        <w:rPr>
          <w:rFonts w:ascii="Calibri" w:cs="Calibri" w:eastAsia="Calibri" w:hAnsi="Calibri"/>
          <w:color w:val="1A1A1A"/>
          <w:sz w:val="21"/>
          <w:szCs w:val="21"/>
        </w:rPr>
        <w:t xml:space="preserve">La investigación no emplea datos personales ni información de personas naturales, por lo que no se encuentra dentro del ámbito de aplicación del régimen de protección de datos personales. Tampoco utiliza información sujeta a secreto empresarial de ninguna organización, dado que la totalidad del conjunto de datos es de generación propia y sus supuestos son públicamente auditables.</w:t>
      </w:r>
    </w:p>
    <w:p>
      <w:pPr>
        <w:pStyle w:val="Heading1"/>
        <w:pBdr>
          <w:bottom w:val="single" w:color="1A4B8C" w:sz="8" w:space="6"/>
        </w:pBdr>
        <w:spacing w:after="170" w:before="380"/>
      </w:pPr>
      <w:r>
        <w:rPr>
          <w:rFonts w:ascii="Calibri" w:cs="Calibri" w:eastAsia="Calibri" w:hAnsi="Calibri"/>
          <w:b/>
          <w:bCs/>
          <w:color w:val="1A4B8C"/>
          <w:sz w:val="27"/>
          <w:szCs w:val="27"/>
        </w:rPr>
        <w:t xml:space="preserve">Referencias</w:t>
      </w:r>
    </w:p>
    <w:p>
      <w:pPr>
        <w:spacing w:after="110" w:line="264"/>
        <w:ind w:left="720" w:hanging="720"/>
        <w:jc w:val="left"/>
      </w:pPr>
      <w:r>
        <w:rPr>
          <w:rFonts w:ascii="Calibri" w:cs="Calibri" w:eastAsia="Calibri" w:hAnsi="Calibri"/>
          <w:color w:val="1A1A1A"/>
          <w:sz w:val="19"/>
          <w:szCs w:val="19"/>
        </w:rPr>
        <w:t xml:space="preserve">Abdulhussain, R., Muhamad, H., Fiza, T., Dereiah, S., Mawla, N., Patel, K., Adebisi, A., y Asare-Addo, K. (2026). The integration of artificial intelligence through quality by digital design for sustainable pharmaceutical manufacturing. International Journal of Pharmaceutics, 693, Artículo 126682. https://doi.org/10.1016/j.ijpharm.2026.126682</w:t>
      </w:r>
    </w:p>
    <w:p>
      <w:pPr>
        <w:spacing w:after="110" w:line="264"/>
        <w:ind w:left="720" w:hanging="720"/>
        <w:jc w:val="left"/>
      </w:pPr>
      <w:r>
        <w:rPr>
          <w:rFonts w:ascii="Calibri" w:cs="Calibri" w:eastAsia="Calibri" w:hAnsi="Calibri"/>
          <w:color w:val="1A1A1A"/>
          <w:sz w:val="19"/>
          <w:szCs w:val="19"/>
        </w:rPr>
        <w:t xml:space="preserve">Centro de Investigación y Desarrollo en Tecnologías de la Información y las Comunicaciones. (2023). Índice de madurez de transformación digital de las empresas colombianas. CINTEL.</w:t>
      </w:r>
    </w:p>
    <w:p>
      <w:pPr>
        <w:spacing w:after="110" w:line="264"/>
        <w:ind w:left="720" w:hanging="720"/>
        <w:jc w:val="left"/>
      </w:pPr>
      <w:r>
        <w:rPr>
          <w:rFonts w:ascii="Calibri" w:cs="Calibri" w:eastAsia="Calibri" w:hAnsi="Calibri"/>
          <w:color w:val="1A1A1A"/>
          <w:sz w:val="19"/>
          <w:szCs w:val="19"/>
        </w:rPr>
        <w:t xml:space="preserve">Costigliola, A., Ataíde, F. A. P., Vieira, S. M., y Sousa, J. M. C. (2017). Simulation model of a quality control laboratory in pharmaceutical industry. IFAC-PapersOnLine, 50(1), 9014–9019. https://doi.org/10.1016/j.ifacol.2017.08.1582</w:t>
      </w:r>
    </w:p>
    <w:p>
      <w:pPr>
        <w:spacing w:after="110" w:line="264"/>
        <w:ind w:left="720" w:hanging="720"/>
        <w:jc w:val="left"/>
      </w:pPr>
      <w:r>
        <w:rPr>
          <w:rFonts w:ascii="Calibri" w:cs="Calibri" w:eastAsia="Calibri" w:hAnsi="Calibri"/>
          <w:color w:val="1A1A1A"/>
          <w:sz w:val="19"/>
          <w:szCs w:val="19"/>
        </w:rPr>
        <w:t xml:space="preserve">Danzinger, P., Geibinger, T., Mischek, F., y Musliu, N. (2025). Modeling and solving the generalized test laboratory scheduling problem. En G. Tack (Ed.), Integration of constraint programming, artificial intelligence, and operations research (Lecture Notes in Computer Science, Vol. 15762, pp. 188–204). Springer. https://doi.org/10.1007/978-3-031-95973-8_12</w:t>
      </w:r>
    </w:p>
    <w:p>
      <w:pPr>
        <w:spacing w:after="110" w:line="264"/>
        <w:ind w:left="720" w:hanging="720"/>
        <w:jc w:val="left"/>
      </w:pPr>
      <w:r>
        <w:rPr>
          <w:rFonts w:ascii="Calibri" w:cs="Calibri" w:eastAsia="Calibri" w:hAnsi="Calibri"/>
          <w:color w:val="1A1A1A"/>
          <w:sz w:val="19"/>
          <w:szCs w:val="19"/>
        </w:rPr>
        <w:t xml:space="preserve">Departamento Administrativo Nacional de Estadística. (2025). Encuesta Anual Manufacturera 2024. DANE.</w:t>
      </w:r>
    </w:p>
    <w:p>
      <w:pPr>
        <w:spacing w:after="110" w:line="264"/>
        <w:ind w:left="720" w:hanging="720"/>
        <w:jc w:val="left"/>
      </w:pPr>
      <w:r>
        <w:rPr>
          <w:rFonts w:ascii="Calibri" w:cs="Calibri" w:eastAsia="Calibri" w:hAnsi="Calibri"/>
          <w:color w:val="1A1A1A"/>
          <w:sz w:val="19"/>
          <w:szCs w:val="19"/>
        </w:rPr>
        <w:t xml:space="preserve">Dong, Y., Yang, T., Xing, Y., Du, J., y Meng, Q. (2023). Data-driven modeling methods and techniques for pharmaceutical processes. Processes, 11(7), Artículo 2096. https://doi.org/10.3390/pr11072096</w:t>
      </w:r>
    </w:p>
    <w:p>
      <w:pPr>
        <w:spacing w:after="110" w:line="264"/>
        <w:ind w:left="720" w:hanging="720"/>
        <w:jc w:val="left"/>
      </w:pPr>
      <w:r>
        <w:rPr>
          <w:rFonts w:ascii="Calibri" w:cs="Calibri" w:eastAsia="Calibri" w:hAnsi="Calibri"/>
          <w:color w:val="1A1A1A"/>
          <w:sz w:val="19"/>
          <w:szCs w:val="19"/>
        </w:rPr>
        <w:t xml:space="preserve">Hassi, H., El Mkhalet, M., y Lamdouar, N. (2025). Scheduling optimization and risk analysis using Monte Carlo simulation for a construction project in Morocco. International Journal of Engineering Trends and Technology, 73(6), 336–349. https://doi.org/10.14445/22315381/IJETT-V73I6P128</w:t>
      </w:r>
    </w:p>
    <w:p>
      <w:pPr>
        <w:spacing w:after="110" w:line="264"/>
        <w:ind w:left="720" w:hanging="720"/>
        <w:jc w:val="left"/>
      </w:pPr>
      <w:r>
        <w:rPr>
          <w:rFonts w:ascii="Calibri" w:cs="Calibri" w:eastAsia="Calibri" w:hAnsi="Calibri"/>
          <w:color w:val="1A1A1A"/>
          <w:sz w:val="19"/>
          <w:szCs w:val="19"/>
        </w:rPr>
        <w:t xml:space="preserve">Instituto Nacional de Vigilancia de Medicamentos y Alimentos. (2025). Resolución 2025010547 de 2025, por la cual se adopta un plan de contingencia para el trámite de registros sanitarios de medicamentos. INVIMA.</w:t>
      </w:r>
    </w:p>
    <w:p>
      <w:pPr>
        <w:spacing w:after="110" w:line="264"/>
        <w:ind w:left="720" w:hanging="720"/>
        <w:jc w:val="left"/>
      </w:pPr>
      <w:r>
        <w:rPr>
          <w:rFonts w:ascii="Calibri" w:cs="Calibri" w:eastAsia="Calibri" w:hAnsi="Calibri"/>
          <w:color w:val="1A1A1A"/>
          <w:sz w:val="19"/>
          <w:szCs w:val="19"/>
        </w:rPr>
        <w:t xml:space="preserve">Juran, J. M., y Godfrey, A. B. (Eds.). (1999). Juran’s quality handbook (5.ª ed.). McGraw-Hill.</w:t>
      </w:r>
    </w:p>
    <w:p>
      <w:pPr>
        <w:spacing w:after="110" w:line="264"/>
        <w:ind w:left="720" w:hanging="720"/>
        <w:jc w:val="left"/>
      </w:pPr>
      <w:r>
        <w:rPr>
          <w:rFonts w:ascii="Calibri" w:cs="Calibri" w:eastAsia="Calibri" w:hAnsi="Calibri"/>
          <w:color w:val="1A1A1A"/>
          <w:sz w:val="19"/>
          <w:szCs w:val="19"/>
        </w:rPr>
        <w:t xml:space="preserve">Khadivi, M., Charter, T., Yaghoubi, M., Jalayer, M., Ahang, M., Shojaeinasab, A., y Najjaran, H. (2025). Deep reinforcement learning for machine scheduling: Methodology, the state-of-the-art, and future directions. Computers &amp; Industrial Engineering, 200, Artículo 110856. https://doi.org/10.1016/j.cie.2025.110856</w:t>
      </w:r>
    </w:p>
    <w:p>
      <w:pPr>
        <w:spacing w:after="110" w:line="264"/>
        <w:ind w:left="720" w:hanging="720"/>
        <w:jc w:val="left"/>
      </w:pPr>
      <w:r>
        <w:rPr>
          <w:rFonts w:ascii="Calibri" w:cs="Calibri" w:eastAsia="Calibri" w:hAnsi="Calibri"/>
          <w:color w:val="1A1A1A"/>
          <w:sz w:val="19"/>
          <w:szCs w:val="19"/>
        </w:rPr>
        <w:t xml:space="preserve">Kodumuru, R., Sarkar, S., Parepally, V., y Chandarana, J. (2025). Artificial intelligence and Internet of Things integration in pharmaceutical manufacturing: A smart synergy. Pharmaceutics, 17(3), Artículo 290. https://doi.org/10.3390/pharmaceutics17030290</w:t>
      </w:r>
    </w:p>
    <w:p>
      <w:pPr>
        <w:spacing w:after="110" w:line="264"/>
        <w:ind w:left="720" w:hanging="720"/>
        <w:jc w:val="left"/>
      </w:pPr>
      <w:r>
        <w:rPr>
          <w:rFonts w:ascii="Calibri" w:cs="Calibri" w:eastAsia="Calibri" w:hAnsi="Calibri"/>
          <w:color w:val="1A1A1A"/>
          <w:sz w:val="19"/>
          <w:szCs w:val="19"/>
        </w:rPr>
        <w:t xml:space="preserve">Lopes, M. R., Costigliola, A., Pinto, R., Vieira, S., y Sousa, J. M. C. (2020). Pharmaceutical quality control laboratory digital twin – A novel governance model for resource planning and scheduling. International Journal of Production Research, 58(21), 6553–6567. https://doi.org/10.1080/00207543.2019.1683250</w:t>
      </w:r>
    </w:p>
    <w:p>
      <w:pPr>
        <w:spacing w:after="110" w:line="264"/>
        <w:ind w:left="720" w:hanging="720"/>
        <w:jc w:val="left"/>
      </w:pPr>
      <w:r>
        <w:rPr>
          <w:rFonts w:ascii="Calibri" w:cs="Calibri" w:eastAsia="Calibri" w:hAnsi="Calibri"/>
          <w:color w:val="1A1A1A"/>
          <w:sz w:val="19"/>
          <w:szCs w:val="19"/>
        </w:rPr>
        <w:t xml:space="preserve">Ministerio de Salud y Protección Social. (2016). Resolución 1160 de 2016, por la cual se adoptan los manuales de Buenas Prácticas de Manufactura de medicamentos. Diario Oficial.</w:t>
      </w:r>
    </w:p>
    <w:p>
      <w:pPr>
        <w:spacing w:after="110" w:line="264"/>
        <w:ind w:left="720" w:hanging="720"/>
        <w:jc w:val="left"/>
      </w:pPr>
      <w:r>
        <w:rPr>
          <w:rFonts w:ascii="Calibri" w:cs="Calibri" w:eastAsia="Calibri" w:hAnsi="Calibri"/>
          <w:color w:val="1A1A1A"/>
          <w:sz w:val="19"/>
          <w:szCs w:val="19"/>
        </w:rPr>
        <w:t xml:space="preserve">Ministerio de Salud y Protección Social. (2022). Decreto 335 de 2022, por el cual se establece el procedimiento para la obtención de los certificados de Buenas Prácticas de Elaboración, Laboratorio y Manufactura. Diario Oficial.</w:t>
      </w:r>
    </w:p>
    <w:p>
      <w:pPr>
        <w:spacing w:after="110" w:line="264"/>
        <w:ind w:left="720" w:hanging="720"/>
        <w:jc w:val="left"/>
      </w:pPr>
      <w:r>
        <w:rPr>
          <w:rFonts w:ascii="Calibri" w:cs="Calibri" w:eastAsia="Calibri" w:hAnsi="Calibri"/>
          <w:color w:val="1A1A1A"/>
          <w:sz w:val="19"/>
          <w:szCs w:val="19"/>
        </w:rPr>
        <w:t xml:space="preserve">Ministerio de Salud y Protección Social. (2023). Informe de desabastecimiento de medicamentos en Colombia. MinSalud.</w:t>
      </w:r>
    </w:p>
    <w:p>
      <w:pPr>
        <w:spacing w:after="110" w:line="264"/>
        <w:ind w:left="720" w:hanging="720"/>
        <w:jc w:val="left"/>
      </w:pPr>
      <w:r>
        <w:rPr>
          <w:rFonts w:ascii="Calibri" w:cs="Calibri" w:eastAsia="Calibri" w:hAnsi="Calibri"/>
          <w:color w:val="1A1A1A"/>
          <w:sz w:val="19"/>
          <w:szCs w:val="19"/>
        </w:rPr>
        <w:t xml:space="preserve">Mischek, F., y Musliu, N. (2024). Preference explanation and decision support for multi-objective real-world test laboratory scheduling. Proceedings of the International Conference on Automated Planning and Scheduling, 34(1), 378–386. https://doi.org/10.1609/icaps.v34i1.31497</w:t>
      </w:r>
    </w:p>
    <w:p>
      <w:pPr>
        <w:spacing w:after="110" w:line="264"/>
        <w:ind w:left="720" w:hanging="720"/>
        <w:jc w:val="left"/>
      </w:pPr>
      <w:r>
        <w:rPr>
          <w:rFonts w:ascii="Calibri" w:cs="Calibri" w:eastAsia="Calibri" w:hAnsi="Calibri"/>
          <w:color w:val="1A1A1A"/>
          <w:sz w:val="19"/>
          <w:szCs w:val="19"/>
        </w:rPr>
        <w:t xml:space="preserve">Muñoz-Pinzón, D. S., Valencia-Rivero, K. T., Caviativa-Castro, Y. P., y Castillo-Bustos, J. S. (2024). Industria 4.0 en pymes colombianas. Revista Politécnica, 20(39), 99–118. https://doi.org/10.33571/rpolitec.v20n39a7</w:t>
      </w:r>
    </w:p>
    <w:p>
      <w:pPr>
        <w:spacing w:after="110" w:line="264"/>
        <w:ind w:left="720" w:hanging="720"/>
        <w:jc w:val="left"/>
      </w:pPr>
      <w:r>
        <w:rPr>
          <w:rFonts w:ascii="Calibri" w:cs="Calibri" w:eastAsia="Calibri" w:hAnsi="Calibri"/>
          <w:color w:val="1A1A1A"/>
          <w:sz w:val="19"/>
          <w:szCs w:val="19"/>
        </w:rPr>
        <w:t xml:space="preserve">Organización Panamericana de la Salud. (2020). Fortalecimiento de las autoridades reguladoras nacionales de medicamentos y productos biológicos (Documento CD58/INF/14). OPS.</w:t>
      </w:r>
    </w:p>
    <w:p>
      <w:pPr>
        <w:pBdr>
          <w:top w:val="single" w:color="C9C9C9" w:sz="2" w:space="8"/>
          <w:bottom w:val="single" w:color="C9C9C9" w:sz="2" w:space="8"/>
          <w:left w:val="single" w:color="C9C9C9" w:sz="2" w:space="8"/>
          <w:right w:val="single" w:color="C9C9C9" w:sz="2" w:space="8"/>
        </w:pBdr>
        <w:shd w:fill="F6F7F9" w:color="auto" w:val="clear"/>
        <w:spacing w:after="150" w:before="100" w:line="264"/>
        <w:jc w:val="both"/>
      </w:pPr>
      <w:r>
        <w:rPr>
          <w:rFonts w:ascii="Calibri" w:cs="Calibri" w:eastAsia="Calibri" w:hAnsi="Calibri"/>
          <w:b/>
          <w:bCs/>
          <w:color w:val="1A1A1A"/>
          <w:sz w:val="19"/>
          <w:szCs w:val="19"/>
        </w:rPr>
        <w:t xml:space="preserve">Referencias retiradas. </w:t>
      </w:r>
      <w:r>
        <w:rPr>
          <w:rFonts w:ascii="Calibri" w:cs="Calibri" w:eastAsia="Calibri" w:hAnsi="Calibri"/>
          <w:color w:val="5A5A5A"/>
          <w:sz w:val="19"/>
          <w:szCs w:val="19"/>
        </w:rPr>
        <w:t xml:space="preserve">Se excluyeron de este planteamiento las fuentes atribuidas a Chowdary, Reddy y Chittineni (2025) y a Yang, Liu, Zhao y Zhang (2025), por no ser localizables en Crossref, Scopus, PubMed, DBLP ni mediante búsqueda de título exacto. Las afirmaciones que se apoyaban en ellas —incluidos valores específicos de tasa de finalización, makespan y tiempo de inactividad— fueron retiradas y sustituidas por contenidos de Kodumuru et al. (2025) y Khadivi et al. (2025). Se recomienda verificar la totalidad de la bibliografía del anteproyecto mediante el DOI antes de la radicación.</w:t>
      </w:r>
    </w:p>
    <w:sectPr>
      <w:pgSz w:w="12240" w:h="15840" w:orient="portrait"/>
      <w:pgMar w:top="1150" w:right="1300" w:bottom="11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Planteamiento del problema — Modelo predictivo con datos sintéticos</dc:title>
  <dc:creator>Planteamiento del problema</dc:creator>
  <cp:lastModifiedBy>Un-named</cp:lastModifiedBy>
  <cp:revision>1</cp:revision>
  <dcterms:created xsi:type="dcterms:W3CDTF">2026-08-08T02:35:11.041Z</dcterms:created>
  <dcterms:modified xsi:type="dcterms:W3CDTF">2026-08-08T02:35:11.043Z</dcterms:modified>
</cp:coreProperties>
</file>

<file path=docProps/custom.xml><?xml version="1.0" encoding="utf-8"?>
<Properties xmlns="http://schemas.openxmlformats.org/officeDocument/2006/custom-properties" xmlns:vt="http://schemas.openxmlformats.org/officeDocument/2006/docPropsVTypes"/>
</file>