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Asesoría #1 con el Dr. Bravo</w:t>
      </w:r>
    </w:p>
    <w:p>
      <w:pPr>
        <w:spacing w:after="60"/>
        <w:jc w:val="center"/>
      </w:pPr>
      <w:r>
        <w:rPr>
          <w:rFonts w:ascii="Times New Roman" w:cs="Times New Roman" w:eastAsia="Times New Roman" w:hAnsi="Times New Roman"/>
          <w:i/>
          <w:iCs/>
          <w:sz w:val="24"/>
          <w:szCs w:val="24"/>
        </w:rPr>
        <w:t xml:space="preserve">Qué mostrar y qué necesitamos aclarar</w:t>
      </w:r>
    </w:p>
    <w:p>
      <w:pPr>
        <w:pBdr>
          <w:bottom w:val="single" w:color="999999" w:sz="4" w:space="8"/>
        </w:pBdr>
        <w:spacing w:after="240"/>
        <w:jc w:val="center"/>
      </w:pPr>
      <w:r>
        <w:rPr>
          <w:rFonts w:ascii="Times New Roman" w:cs="Times New Roman" w:eastAsia="Times New Roman" w:hAnsi="Times New Roman"/>
          <w:color w:val="555555"/>
          <w:sz w:val="22"/>
          <w:szCs w:val="22"/>
        </w:rPr>
        <w:t xml:space="preserve">Miércoles 4 de noviembre de 2026, 8:00 a 8:30 p. m. · Carlos Campo y Aldair Cétares</w:t>
      </w:r>
    </w:p>
    <w:p>
      <w:pPr>
        <w:spacing w:after="120" w:line="288"/>
      </w:pPr>
      <w:r>
        <w:rPr>
          <w:rFonts w:ascii="Times New Roman" w:cs="Times New Roman" w:eastAsia="Times New Roman" w:hAnsi="Times New Roman"/>
          <w:sz w:val="24"/>
          <w:szCs w:val="24"/>
        </w:rPr>
        <w:t xml:space="preserve">La asesoría dura 30 minutos, y el plan pide llegar con el laboratorio de referencia, los parámetros con sus fuentes, el generador v1 y el borrador de la metodología. Este documento propone usar 10 minutos para mostrar y 20 para decidir, en el orden de la sección 2. Lo que no alcance queda en la sección 3, para un correo o para la asesoría #2, del 11 de noviembre.</w:t>
      </w:r>
    </w:p>
    <w:p>
      <w:pPr>
        <w:spacing w:after="120" w:line="288"/>
      </w:pPr>
      <w:r>
        <w:rPr>
          <w:rFonts w:ascii="Times New Roman" w:cs="Times New Roman" w:eastAsia="Times New Roman" w:hAnsi="Times New Roman"/>
          <w:sz w:val="24"/>
          <w:szCs w:val="24"/>
        </w:rPr>
        <w:t xml:space="preserve">Las cifras son las del 29 de octubre. Antes de la asesoría hay que actualizarlas con la validación del 31 de octubre y con el dataset v1 del 3 de noviembre.</w:t>
      </w:r>
    </w:p>
    <w:p>
      <w:pPr>
        <w:pStyle w:val="Heading1"/>
        <w:keepNext/>
        <w:spacing w:after="120" w:before="280"/>
      </w:pPr>
      <w:r>
        <w:rPr>
          <w:rFonts w:ascii="Times New Roman" w:cs="Times New Roman" w:eastAsia="Times New Roman" w:hAnsi="Times New Roman"/>
          <w:b/>
          <w:bCs/>
          <w:sz w:val="28"/>
          <w:szCs w:val="28"/>
        </w:rPr>
        <w:t xml:space="preserve">1. Qué mostrar (10 minutos)</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711"/>
        <w:gridCol w:w="2566"/>
        <w:gridCol w:w="4277"/>
      </w:tblGrid>
      <w:tr>
        <w:trPr>
          <w:tblHeader/>
        </w:trPr>
        <w:tc>
          <w:tcPr>
            <w:tcW w:type="dxa" w:w="1711"/>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20"/>
                <w:szCs w:val="20"/>
              </w:rPr>
              <w:t xml:space="preserve">Qué</w:t>
            </w:r>
          </w:p>
        </w:tc>
        <w:tc>
          <w:tcPr>
            <w:tcW w:type="dxa" w:w="2566"/>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20"/>
                <w:szCs w:val="20"/>
              </w:rPr>
              <w:t xml:space="preserve">Dónde</w:t>
            </w:r>
          </w:p>
        </w:tc>
        <w:tc>
          <w:tcPr>
            <w:tcW w:type="dxa" w:w="4277"/>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20"/>
                <w:szCs w:val="20"/>
              </w:rPr>
              <w:t xml:space="preserve">La idea en una frase</w:t>
            </w:r>
          </w:p>
        </w:tc>
      </w:tr>
      <w:tr>
        <w:trPr>
          <w:cantSplit/>
        </w:trPr>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El laboratorio de referencia</w:t>
            </w:r>
          </w:p>
        </w:tc>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Diseño del laboratorio de referencia, secciones 1 a 4</w:t>
            </w:r>
          </w:p>
        </w:tc>
        <w:tc>
          <w:tcPr>
            <w:tcW w:type="dxa" w:w="427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12 métodos de seis técnicas, cinco tipos de muestra, 70 equipos y 20 analistas en tres turnos, calibrado con Costigliola et al. (2017).</w:t>
            </w:r>
          </w:p>
        </w:tc>
      </w:tr>
      <w:tr>
        <w:trPr>
          <w:cantSplit/>
        </w:trPr>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Los parámetros y su fuente</w:t>
            </w:r>
          </w:p>
        </w:tc>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Excel de parámetros, hojas «Parámetros», «Supuestos» y «Fuentes»; Anexo B de la tesis</w:t>
            </w:r>
          </w:p>
        </w:tc>
        <w:tc>
          <w:tcPr>
            <w:tcW w:type="dxa" w:w="427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107 entradas: 78 con fuente y página (73 %) y 29 supuestos con escenarios de sensibilidad.</w:t>
            </w:r>
          </w:p>
        </w:tc>
      </w:tr>
      <w:tr>
        <w:trPr>
          <w:cantSplit/>
        </w:trPr>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El registro del dataset</w:t>
            </w:r>
          </w:p>
        </w:tc>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Diccionario de datos, Tablas 7 y 15</w:t>
            </w:r>
          </w:p>
        </w:tc>
        <w:tc>
          <w:tcPr>
            <w:tcW w:type="dxa" w:w="427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Un registro por ejecución de un ensayo sobre una muestra, con 51 campos amarrados a los 22 indicadores del sistema de variables.</w:t>
            </w:r>
          </w:p>
        </w:tc>
      </w:tr>
      <w:tr>
        <w:trPr>
          <w:cantSplit/>
        </w:trPr>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El generador</w:t>
            </w:r>
          </w:p>
        </w:tc>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Generador de datos, Figuras 1 y 2, y el dataset v1</w:t>
            </w:r>
          </w:p>
        </w:tc>
        <w:tc>
          <w:tcPr>
            <w:tcW w:type="dxa" w:w="427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Duraciones BetaPERT y correlación entre las tareas, ya probadas; el resto del generador y el dataset v1, al 3 de noviembre.</w:t>
            </w:r>
          </w:p>
        </w:tc>
      </w:tr>
      <w:tr>
        <w:trPr>
          <w:cantSplit/>
        </w:trPr>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La metodología</w:t>
            </w:r>
          </w:p>
        </w:tc>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Tesis, capítulo MARCO METODOLÓGICO y Anexo B</w:t>
            </w:r>
          </w:p>
        </w:tc>
        <w:tc>
          <w:tcPr>
            <w:tcW w:type="dxa" w:w="427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El borrador de Aldair: enfoque, unidad de análisis, técnicas, fases, plan de análisis y ética, con la tabla de trazabilidad.</w:t>
            </w:r>
          </w:p>
        </w:tc>
      </w:tr>
    </w:tbl>
    <w:p>
      <w:pPr>
        <w:pStyle w:val="Heading1"/>
        <w:keepNext/>
        <w:spacing w:after="120" w:before="280"/>
      </w:pPr>
      <w:r>
        <w:rPr>
          <w:rFonts w:ascii="Times New Roman" w:cs="Times New Roman" w:eastAsia="Times New Roman" w:hAnsi="Times New Roman"/>
          <w:b/>
          <w:bCs/>
          <w:sz w:val="28"/>
          <w:szCs w:val="28"/>
        </w:rPr>
        <w:t xml:space="preserve">2. Qué decidir (20 minutos), en orden de prioridad</w:t>
      </w:r>
    </w:p>
    <w:p>
      <w:pPr>
        <w:pStyle w:val="Heading2"/>
        <w:keepNext/>
        <w:spacing w:after="80" w:before="200"/>
      </w:pPr>
      <w:r>
        <w:rPr>
          <w:rFonts w:ascii="Times New Roman" w:cs="Times New Roman" w:eastAsia="Times New Roman" w:hAnsi="Times New Roman"/>
          <w:b/>
          <w:bCs/>
          <w:sz w:val="24"/>
          <w:szCs w:val="24"/>
        </w:rPr>
        <w:t xml:space="preserve">2.1 La forma de las duraciones (λ) y la correlación entre las tareas (ρ), juntas</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454"/>
        <w:gridCol w:w="7100"/>
      </w:tblGrid>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Pregunta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¿Usamos λ = 1 con ρ = 0,3, que conserva las medias de la fuente, o la PERT clásica, λ = 4, con ρ = 0,5?</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Contexto</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Con λ = 4 las duraciones de los doce ensayos quedan, en promedio, a 11,2 % de la fuente, con medias entre 3 % y 24 % por debajo; con λ = 1 quedan a 2,7 % (generador, 1.9 y 1.10). La correlación entre las tareas del analista ensancha la duración: con λ = 1, la dispersión queda 22 % por encima de la fuente con ρ = 0,3 y 29 % con ρ = 0,5; con λ = 4 y ρ = 0,5, a 11 %, pero con las medias bajas (generador, Tabla 8). Ninguna fuente de calibración da ese ρ; Hassi et al. (2025, p. 339) usan 0,3 entre actividades parecidas, en un proyecto de construcción.</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Propuesta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λ = 1 (y λ = 0 en las dos tareas uniformes) con ρ = 0,3, y 0,5 y 0,7 como sensibilidad. Con 0,3, el indicador V2 necesita un dataset más largo: unas 3 500 ejecuciones (12 semanas del escenario base) en lugar de 1 500 a 2 000.</w:t>
            </w:r>
          </w:p>
        </w:tc>
      </w:tr>
      <w:tr>
        <w:trPr>
          <w:cantSplit/>
          <w:trHeight w:val="1100" w:hRule="atLeas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val="false"/>
              <w:spacing w:after="0" w:line="260"/>
            </w:pPr>
            <w:r>
              <w:rPr>
                <w:rFonts w:ascii="Times New Roman" w:cs="Times New Roman" w:eastAsia="Times New Roman" w:hAnsi="Times New Roman"/>
                <w:b/>
                <w:bCs/>
                <w:sz w:val="21"/>
                <w:szCs w:val="21"/>
              </w:rPr>
              <w:t xml:space="preserve">Decisión</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val="false"/>
              <w:spacing w:after="0" w:line="260"/>
            </w:pPr>
          </w:p>
        </w:tc>
      </w:tr>
    </w:tbl>
    <w:p>
      <w:pPr>
        <w:spacing w:after="60"/>
      </w:pPr>
    </w:p>
    <w:p>
      <w:pPr>
        <w:pStyle w:val="Heading2"/>
        <w:keepNext/>
        <w:spacing w:after="80" w:before="200"/>
      </w:pPr>
      <w:r>
        <w:rPr>
          <w:rFonts w:ascii="Times New Roman" w:cs="Times New Roman" w:eastAsia="Times New Roman" w:hAnsi="Times New Roman"/>
          <w:b/>
          <w:bCs/>
          <w:sz w:val="24"/>
          <w:szCs w:val="24"/>
        </w:rPr>
        <w:t xml:space="preserve">2.2 Contra qué se validan las duraciones (indicador T5) y con qué tolerancia</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454"/>
        <w:gridCol w:w="7100"/>
      </w:tblGrid>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Pregunta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¿Está de acuerdo con comparar con la Tabla 6 de Costigliola et al. (2017) solo la preparación del análisis y la corrida de HPLC y GC? ¿Qué diferencia acepta en los indicadores que se comparan con las fuentes?</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Contexto</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La Tabla 6 (p. 9019) no cuadra con la Tabla 3 (p. 9016) de la misma fuente, de la que sale el generador. En el procesamiento de datos de HPLC da 59 minutos, frente a una media de 5,7 en la triangular de 2, 5 y 10 minutos; en PSA, DSC y XRPD su promedio iguala o supera el máximo de la distribución, y en la corrida, PSA da 32 minutos frente a un máximo de 30 y KF, 30 frente a una media de 21. El rango de Coito et al. (2021, p. 74), de 458 a 786 minutos para el 90 % de los ensayos, no incluye el procesamiento de datos ni la revisión y no distingue técnicas.</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Propuesta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La Tabla 6 solo para la preparación del análisis y la corrida de HPLC y GC; lo demás, contra las medias de la Tabla 3, y Coito et al. como contraste de orden de magnitud. Los indicadores exactos (H2, M2, C2 y V3 en 100 % y V4 en 0 %) funcionan como pruebas del generador y no necesitan tolerancia.</w:t>
            </w:r>
          </w:p>
        </w:tc>
      </w:tr>
      <w:tr>
        <w:trPr>
          <w:cantSplit/>
          <w:trHeight w:val="1100" w:hRule="atLeas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val="false"/>
              <w:spacing w:after="0" w:line="260"/>
            </w:pPr>
            <w:r>
              <w:rPr>
                <w:rFonts w:ascii="Times New Roman" w:cs="Times New Roman" w:eastAsia="Times New Roman" w:hAnsi="Times New Roman"/>
                <w:b/>
                <w:bCs/>
                <w:sz w:val="21"/>
                <w:szCs w:val="21"/>
              </w:rPr>
              <w:t xml:space="preserve">Decisión</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val="false"/>
              <w:spacing w:after="0" w:line="260"/>
            </w:pPr>
          </w:p>
        </w:tc>
      </w:tr>
    </w:tbl>
    <w:p>
      <w:pPr>
        <w:spacing w:after="60"/>
      </w:pPr>
    </w:p>
    <w:p>
      <w:pPr>
        <w:pStyle w:val="Heading2"/>
        <w:keepNext/>
        <w:spacing w:after="80" w:before="200"/>
      </w:pPr>
      <w:r>
        <w:rPr>
          <w:rFonts w:ascii="Times New Roman" w:cs="Times New Roman" w:eastAsia="Times New Roman" w:hAnsi="Times New Roman"/>
          <w:b/>
          <w:bCs/>
          <w:sz w:val="24"/>
          <w:szCs w:val="24"/>
        </w:rPr>
        <w:t xml:space="preserve">2.3 Cuándo necesita un ensayo la preparación y la idoneidad del sistema</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454"/>
        <w:gridCol w:w="7100"/>
      </w:tblGrid>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Pregunta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¿Tratamos cada método del catálogo como una familia de métodos por producto, de modo que casi todos los ensayos de HPLC y GC necesiten preparación e idoneidad del sistema, o aplicamos tal cual la regla de 24 horas de Costigliola et al. (2017, p. 9017)?</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Contexto</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Son las tareas más largas: en el modelo de Costigliola et al. (2017, Tabla 6, p. 9019) promedian 207 y 227 minutos en HPLC y 67 y 152 en GC. El laboratorio de Coito et al. (2021, p. 74) tiene más de 2 000 ensayos distintos y las cuenta en el tiempo de cada uno; el de referencia tiene dos métodos por técnica, así que con la regla de 24 horas se las ahorraría mucho más seguido que un laboratorio real. También faltan sus tres puntos (generador, 1.10).</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Propuesta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Tentativa: tratar cada método como una familia por producto, que se parece más al laboratorio de Coito et al., y acordar con él la frecuencia. Hoy el cuaderno 02 usa 30 % de los ensayos de HPLC y GC, pero solo como valor de prueba.</w:t>
            </w:r>
          </w:p>
        </w:tc>
      </w:tr>
      <w:tr>
        <w:trPr>
          <w:cantSplit/>
          <w:trHeight w:val="1100" w:hRule="atLeas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val="false"/>
              <w:spacing w:after="0" w:line="260"/>
            </w:pPr>
            <w:r>
              <w:rPr>
                <w:rFonts w:ascii="Times New Roman" w:cs="Times New Roman" w:eastAsia="Times New Roman" w:hAnsi="Times New Roman"/>
                <w:b/>
                <w:bCs/>
                <w:sz w:val="21"/>
                <w:szCs w:val="21"/>
              </w:rPr>
              <w:t xml:space="preserve">Decisión</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val="false"/>
              <w:spacing w:after="0" w:line="260"/>
            </w:pPr>
          </w:p>
        </w:tc>
      </w:tr>
    </w:tbl>
    <w:p>
      <w:pPr>
        <w:spacing w:after="60"/>
      </w:pPr>
    </w:p>
    <w:p>
      <w:pPr>
        <w:pStyle w:val="Heading2"/>
        <w:keepNext/>
        <w:spacing w:after="80" w:before="200"/>
      </w:pPr>
      <w:r>
        <w:rPr>
          <w:rFonts w:ascii="Times New Roman" w:cs="Times New Roman" w:eastAsia="Times New Roman" w:hAnsi="Times New Roman"/>
          <w:b/>
          <w:bCs/>
          <w:sz w:val="24"/>
          <w:szCs w:val="24"/>
        </w:rPr>
        <w:t xml:space="preserve">2.4 Las tasas de las perturbaciones (supuestos S01 a S03)</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454"/>
        <w:gridCol w:w="7100"/>
      </w:tblGrid>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Pregunta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¿Le parecen razonables estas tasas, o conoce una fuente o un rango de la industria?</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Contexto</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Ninguna fuente las da: Coito et al. (2021, pp. 65 y 74) solo confirman que hay repeticiones, fallas y urgentes. Las propuestas iniciales, con sus escenarios de sensibilidad, son: reanálisis por resultado fuera de especificación, 2 % (0, 2 y 5 %); equipos fuera de servicio por fallas, 5 % del tiempo (0, 5 y 10 %), que son unas 410 fallas al año, unas 6 por equipo, y muestras urgentes no planificadas, 10 % (5, 10 y 20 %).</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Propuesta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Mantenerlas con sus escenarios. Si el 5 % de fallas le parece alto, bajar el escenario base y dejar el 5 % como sensibilidad (diseño del laboratorio, 4.7).</w:t>
            </w:r>
          </w:p>
        </w:tc>
      </w:tr>
      <w:tr>
        <w:trPr>
          <w:cantSplit/>
          <w:trHeight w:val="1100" w:hRule="atLeas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val="false"/>
              <w:spacing w:after="0" w:line="260"/>
            </w:pPr>
            <w:r>
              <w:rPr>
                <w:rFonts w:ascii="Times New Roman" w:cs="Times New Roman" w:eastAsia="Times New Roman" w:hAnsi="Times New Roman"/>
                <w:b/>
                <w:bCs/>
                <w:sz w:val="21"/>
                <w:szCs w:val="21"/>
              </w:rPr>
              <w:t xml:space="preserve">Decisión</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val="false"/>
              <w:spacing w:after="0" w:line="260"/>
            </w:pPr>
          </w:p>
        </w:tc>
      </w:tr>
    </w:tbl>
    <w:p>
      <w:pPr>
        <w:spacing w:after="60"/>
      </w:pPr>
    </w:p>
    <w:p>
      <w:pPr>
        <w:pStyle w:val="Heading2"/>
        <w:keepNext/>
        <w:spacing w:after="80" w:before="200"/>
      </w:pPr>
      <w:r>
        <w:rPr>
          <w:rFonts w:ascii="Times New Roman" w:cs="Times New Roman" w:eastAsia="Times New Roman" w:hAnsi="Times New Roman"/>
          <w:b/>
          <w:bCs/>
          <w:sz w:val="24"/>
          <w:szCs w:val="24"/>
        </w:rPr>
        <w:t xml:space="preserve">2.5 El laboratorio de referencia</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454"/>
        <w:gridCol w:w="7100"/>
      </w:tblGrid>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Pregunta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¿Le parece suficiente para el caso de estudio? En especial, la proporción de tipos de muestra, que es el supuesto con menos respaldo, y la matriz de métodos por tipo: ¿conoce a alguien con experiencia en un laboratorio de control de calidad que pueda revisarla?</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Contexto</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12 métodos, dos por técnica (uno simple y uno exigente); cinco tipos de muestra en proporción 25, 30, 10, 20 y 15 % (materia prima, control en proceso, granel, producto terminado y estabilidad; S17); 70 equipos repartidos por horas de uso (41 HPLC, 15 GC, 5 PSA, 4 KF, 3 DSC y 2 XRPD), y 20 analistas (5 sénior, 9 intermedios y 6 júnior) en tres turnos. La carga es de 54 ensayos por día hábil, frente a 35 a 52 en Cunha et al. (2019).</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Propuesta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Dejarlo así, con los tres escenarios de S17 para la proporción de tipos y los de S19 y S20 para los niveles y las áreas de los analistas.</w:t>
            </w:r>
          </w:p>
        </w:tc>
      </w:tr>
      <w:tr>
        <w:trPr>
          <w:cantSplit/>
          <w:trHeight w:val="1100" w:hRule="atLeas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val="false"/>
              <w:spacing w:after="0" w:line="260"/>
            </w:pPr>
            <w:r>
              <w:rPr>
                <w:rFonts w:ascii="Times New Roman" w:cs="Times New Roman" w:eastAsia="Times New Roman" w:hAnsi="Times New Roman"/>
                <w:b/>
                <w:bCs/>
                <w:sz w:val="21"/>
                <w:szCs w:val="21"/>
              </w:rPr>
              <w:t xml:space="preserve">Decisión</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val="false"/>
              <w:spacing w:after="0" w:line="260"/>
            </w:pPr>
          </w:p>
        </w:tc>
      </w:tr>
    </w:tbl>
    <w:p>
      <w:pPr>
        <w:spacing w:after="60"/>
      </w:pPr>
    </w:p>
    <w:p>
      <w:pPr>
        <w:pStyle w:val="Heading2"/>
        <w:keepNext/>
        <w:spacing w:after="80" w:before="200"/>
      </w:pPr>
      <w:r>
        <w:rPr>
          <w:rFonts w:ascii="Times New Roman" w:cs="Times New Roman" w:eastAsia="Times New Roman" w:hAnsi="Times New Roman"/>
          <w:b/>
          <w:bCs/>
          <w:sz w:val="24"/>
          <w:szCs w:val="24"/>
        </w:rPr>
        <w:t xml:space="preserve">2.6 El marco metodológico</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454"/>
        <w:gridCol w:w="7100"/>
      </w:tblGrid>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Pregunta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¿Qué tipología de investigación (enfoque, tipo y diseño) espera la maestría para este trabajo? ¿Está bien la estructura del capítulo?</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Contexto</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El anteproyecto define un objetivo y una variable de diagnóstico y entrega un prototipo. No hay trabajo de campo ni datos de una empresa, y las alternativas del O2 y el O3 se comparan en condiciones controladas de simulación. El capítulo tiene seis apartados: enfoque, tipo y diseño; unidad de análisis y población; técnicas e instrumentos; procedimiento por fases; plan de análisis, y consideraciones éticas y legales, con la tabla de trazabilidad en el Anexo B.</w:t>
            </w:r>
          </w:p>
        </w:tc>
      </w:tr>
      <w:tr>
        <w:trPr>
          <w:cantSpli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spacing w:after="0" w:line="260"/>
            </w:pPr>
            <w:r>
              <w:rPr>
                <w:rFonts w:ascii="Times New Roman" w:cs="Times New Roman" w:eastAsia="Times New Roman" w:hAnsi="Times New Roman"/>
                <w:b/>
                <w:bCs/>
                <w:sz w:val="21"/>
                <w:szCs w:val="21"/>
              </w:rPr>
              <w:t xml:space="preserve">Propuesta</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spacing w:after="0" w:line="260"/>
            </w:pPr>
            <w:r>
              <w:rPr>
                <w:rFonts w:ascii="Times New Roman" w:cs="Times New Roman" w:eastAsia="Times New Roman" w:hAnsi="Times New Roman"/>
                <w:sz w:val="21"/>
                <w:szCs w:val="21"/>
              </w:rPr>
              <w:t xml:space="preserve">La del borrador de Aldair.</w:t>
            </w:r>
          </w:p>
        </w:tc>
      </w:tr>
      <w:tr>
        <w:trPr>
          <w:cantSplit/>
          <w:trHeight w:val="1100" w:hRule="atLeast"/>
        </w:trPr>
        <w:tc>
          <w:tcPr>
            <w:tcW w:type="dxa" w:w="1454"/>
            <w:tcBorders>
              <w:top w:val="single" w:color="999999" w:sz="4"/>
              <w:left w:val="none" w:color="FFFFFF" w:sz="0"/>
              <w:bottom w:val="single" w:color="999999" w:sz="4"/>
              <w:right w:val="none" w:color="FFFFFF" w:sz="0"/>
            </w:tcBorders>
            <w:shd w:fill="F2F2F2" w:color="auto" w:val="clear"/>
            <w:tcMar>
              <w:top w:type="dxa" w:w="60"/>
              <w:left w:type="dxa" w:w="90"/>
              <w:bottom w:type="dxa" w:w="60"/>
              <w:right w:type="dxa" w:w="90"/>
            </w:tcMar>
          </w:tcPr>
          <w:p>
            <w:pPr>
              <w:keepNext w:val="false"/>
              <w:spacing w:after="0" w:line="260"/>
            </w:pPr>
            <w:r>
              <w:rPr>
                <w:rFonts w:ascii="Times New Roman" w:cs="Times New Roman" w:eastAsia="Times New Roman" w:hAnsi="Times New Roman"/>
                <w:b/>
                <w:bCs/>
                <w:sz w:val="21"/>
                <w:szCs w:val="21"/>
              </w:rPr>
              <w:t xml:space="preserve">Decisión</w:t>
            </w:r>
          </w:p>
        </w:tc>
        <w:tc>
          <w:tcPr>
            <w:tcW w:type="dxa" w:w="7100"/>
            <w:tcBorders>
              <w:top w:val="single" w:color="999999" w:sz="4"/>
              <w:left w:val="none" w:color="FFFFFF" w:sz="0"/>
              <w:bottom w:val="single" w:color="999999" w:sz="4"/>
              <w:right w:val="none" w:color="FFFFFF" w:sz="0"/>
            </w:tcBorders>
            <w:tcMar>
              <w:top w:type="dxa" w:w="60"/>
              <w:left w:type="dxa" w:w="90"/>
              <w:bottom w:type="dxa" w:w="60"/>
              <w:right w:type="dxa" w:w="90"/>
            </w:tcMar>
          </w:tcPr>
          <w:p>
            <w:pPr>
              <w:keepNext w:val="false"/>
              <w:spacing w:after="0" w:line="260"/>
            </w:pPr>
          </w:p>
        </w:tc>
      </w:tr>
    </w:tbl>
    <w:p>
      <w:pPr>
        <w:pStyle w:val="Heading1"/>
        <w:keepNext/>
        <w:spacing w:after="120" w:before="280"/>
      </w:pPr>
      <w:r>
        <w:rPr>
          <w:rFonts w:ascii="Times New Roman" w:cs="Times New Roman" w:eastAsia="Times New Roman" w:hAnsi="Times New Roman"/>
          <w:b/>
          <w:bCs/>
          <w:sz w:val="28"/>
          <w:szCs w:val="28"/>
        </w:rPr>
        <w:t xml:space="preserve">3. Si no alcanza el tiempo: para un correo o para la asesoría #2</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454"/>
        <w:gridCol w:w="3678"/>
        <w:gridCol w:w="3422"/>
      </w:tblGrid>
      <w:tr>
        <w:trPr>
          <w:tblHeader/>
        </w:trPr>
        <w:tc>
          <w:tcPr>
            <w:tcW w:type="dxa" w:w="1454"/>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19"/>
                <w:szCs w:val="19"/>
              </w:rPr>
              <w:t xml:space="preserve">Tema</w:t>
            </w:r>
          </w:p>
        </w:tc>
        <w:tc>
          <w:tcPr>
            <w:tcW w:type="dxa" w:w="3678"/>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19"/>
                <w:szCs w:val="19"/>
              </w:rPr>
              <w:t xml:space="preserve">Pregunta</w:t>
            </w:r>
          </w:p>
        </w:tc>
        <w:tc>
          <w:tcPr>
            <w:tcW w:type="dxa" w:w="3422"/>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19"/>
                <w:szCs w:val="19"/>
              </w:rPr>
              <w:t xml:space="preserve">Nuestra propuesta</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Repeticiones</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¿Un registro por ejecución, o una fila por ensayo pedido con el reanálisis y la falla como columnas?</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Un registro por ejecución (S27). La otra opción quita cerca del 2 % de las filas.</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Regla de complejidad</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¿La complejidad debe considerar también la corrida, por ejemplo para que sustancias relacionadas quede en complejidad alta?</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Dejarla por el número de soluciones (S11). Cambiarla es una celda del catálogo.</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Tareas del equipo</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¿La idoneidad y la corrida, que son dos inyecciones del mismo método, deben variar juntas?</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Independientes, porque ninguna fuente lo cuantifica. Cambiarlo es una celda de la hoja «Correlaciones».</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Tamaño del dataset</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¿Le parece bien la regla de V2: cinco errores estándar, y cada par decidido solo si tiene registros para ver la correlación de S04?</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Fijar el tamaño con la validación del 31 de octubre. Con S04 = 0,3 hacen falta unas 12 semanas del escenario base.</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Turno 1 y complejidad alta</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M08 y M12 pueden esperar hasta 12 horas a un analista calificado cuando está de turno la pareja del turno 1 sin sénior. ¿Cambiamos la plantilla?</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Se cierra la brecha si uno de esos dos analistas es sénior, a costa de cambiar la plantilla. Queremos su criterio.</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Ausencias</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¿Hace falta modelar las ausencias de los analistas?</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No en el escenario base. Pueden entrar como escenario: S23 ya tiene uno con el 5 % de los turnos.</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Plazos en el O1</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¿Quiere un indicador de plazos en el O1?</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No: los plazos se evalúan en el O3, con el cumplimiento de plazos; en el O1 solo se verifica que sean coherentes.</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Fuentes de calibración</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¿Bastan Coito et al. (2021) y Costigliola et al. (2017), con Cunha et al. (2019) y Martins et al. (2023) para la estructura?</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Sí, con los supuestos declarados y sus escenarios de sensibilidad.</w:t>
            </w:r>
          </w:p>
        </w:tc>
      </w:tr>
      <w:tr>
        <w:trPr>
          <w:cantSplit/>
        </w:trPr>
        <w:tc>
          <w:tcPr>
            <w:tcW w:type="dxa" w:w="145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Predictores del O2</w:t>
            </w:r>
          </w:p>
        </w:tc>
        <w:tc>
          <w:tcPr>
            <w:tcW w:type="dxa" w:w="367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¿El O2 puede usar los tres puntos como predictores, o los modelos deben aprender la duración solo de los atributos del ensayo y de los recursos?</w:t>
            </w:r>
          </w:p>
        </w:tc>
        <w:tc>
          <w:tcPr>
            <w:tcW w:type="dxa" w:w="342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19"/>
                <w:szCs w:val="19"/>
              </w:rPr>
              <w:t xml:space="preserve">Se decide en el protocolo de validación del O2, que Carlos prepara el mismo 4 de noviembre.</w:t>
            </w:r>
          </w:p>
        </w:tc>
      </w:tr>
    </w:tbl>
    <w:p>
      <w:pPr>
        <w:pStyle w:val="Heading1"/>
        <w:keepNext/>
        <w:spacing w:after="120" w:before="280"/>
      </w:pPr>
      <w:r>
        <w:rPr>
          <w:rFonts w:ascii="Times New Roman" w:cs="Times New Roman" w:eastAsia="Times New Roman" w:hAnsi="Times New Roman"/>
          <w:b/>
          <w:bCs/>
          <w:sz w:val="28"/>
          <w:szCs w:val="28"/>
        </w:rPr>
        <w:t xml:space="preserve">4. Antes de la asesoría</w:t>
      </w:r>
    </w:p>
    <w:p>
      <w:pPr>
        <w:pStyle w:val="ListParagraph"/>
        <w:numPr>
          <w:ilvl w:val="0"/>
          <w:numId w:val="2"/>
        </w:numPr>
        <w:spacing w:after="60" w:line="276"/>
      </w:pPr>
      <w:r>
        <w:rPr>
          <w:rFonts w:ascii="Times New Roman" w:cs="Times New Roman" w:eastAsia="Times New Roman" w:hAnsi="Times New Roman"/>
          <w:sz w:val="24"/>
          <w:szCs w:val="24"/>
        </w:rPr>
        <w:t xml:space="preserve">Actualizar las cifras con la validación del 31 de octubre y con el dataset v1 del 3 de noviembre.</w:t>
      </w:r>
    </w:p>
    <w:p>
      <w:pPr>
        <w:pStyle w:val="ListParagraph"/>
        <w:numPr>
          <w:ilvl w:val="0"/>
          <w:numId w:val="2"/>
        </w:numPr>
        <w:spacing w:after="60" w:line="276"/>
      </w:pPr>
      <w:r>
        <w:rPr>
          <w:rFonts w:ascii="Times New Roman" w:cs="Times New Roman" w:eastAsia="Times New Roman" w:hAnsi="Times New Roman"/>
          <w:sz w:val="24"/>
          <w:szCs w:val="24"/>
        </w:rPr>
        <w:t xml:space="preserve">Agregar las dudas que Aldair anote en la bitácora (docs/Bitacora_asesorias.docx).</w:t>
      </w:r>
    </w:p>
    <w:p>
      <w:pPr>
        <w:pStyle w:val="ListParagraph"/>
        <w:numPr>
          <w:ilvl w:val="0"/>
          <w:numId w:val="2"/>
        </w:numPr>
        <w:spacing w:after="60" w:line="276"/>
      </w:pPr>
      <w:r>
        <w:rPr>
          <w:rFonts w:ascii="Times New Roman" w:cs="Times New Roman" w:eastAsia="Times New Roman" w:hAnsi="Times New Roman"/>
          <w:sz w:val="24"/>
          <w:szCs w:val="24"/>
        </w:rPr>
        <w:t xml:space="preserve">Si quieren que Bravo llegue con los documentos leídos, enviárselos el martes 3: los tres del O1 y el borrador del capítulo.</w:t>
      </w:r>
    </w:p>
    <w:p>
      <w:pPr>
        <w:pStyle w:val="Heading1"/>
        <w:keepNext/>
        <w:spacing w:after="120" w:before="280"/>
      </w:pPr>
      <w:r>
        <w:rPr>
          <w:rFonts w:ascii="Times New Roman" w:cs="Times New Roman" w:eastAsia="Times New Roman" w:hAnsi="Times New Roman"/>
          <w:b/>
          <w:bCs/>
          <w:sz w:val="28"/>
          <w:szCs w:val="28"/>
        </w:rPr>
        <w:t xml:space="preserve">5. Notas de la asesoría</w:t>
      </w:r>
    </w:p>
    <w:p>
      <w:pPr>
        <w:keepNext/>
        <w:spacing w:after="120" w:line="288"/>
      </w:pPr>
      <w:r>
        <w:rPr>
          <w:rFonts w:ascii="Times New Roman" w:cs="Times New Roman" w:eastAsia="Times New Roman" w:hAnsi="Times New Roman"/>
          <w:sz w:val="24"/>
          <w:szCs w:val="24"/>
        </w:rPr>
        <w:t xml:space="preserve">Decisiones</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2139"/>
        <w:gridCol w:w="6415"/>
      </w:tblGrid>
      <w:tr>
        <w:trPr>
          <w:tblHeader/>
        </w:trPr>
        <w:tc>
          <w:tcPr>
            <w:tcW w:type="dxa" w:w="2139"/>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keepNext/>
              <w:spacing w:after="0"/>
            </w:pPr>
            <w:r>
              <w:rPr>
                <w:rFonts w:ascii="Times New Roman" w:cs="Times New Roman" w:eastAsia="Times New Roman" w:hAnsi="Times New Roman"/>
                <w:b/>
                <w:bCs/>
                <w:sz w:val="20"/>
                <w:szCs w:val="20"/>
              </w:rPr>
              <w:t xml:space="preserve">Tema</w:t>
            </w:r>
          </w:p>
        </w:tc>
        <w:tc>
          <w:tcPr>
            <w:tcW w:type="dxa" w:w="6415"/>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keepNext/>
              <w:spacing w:after="0"/>
            </w:pPr>
            <w:r>
              <w:rPr>
                <w:rFonts w:ascii="Times New Roman" w:cs="Times New Roman" w:eastAsia="Times New Roman" w:hAnsi="Times New Roman"/>
                <w:b/>
                <w:bCs/>
                <w:sz w:val="20"/>
                <w:szCs w:val="20"/>
              </w:rPr>
              <w:t xml:space="preserve">Qué se decidió</w:t>
            </w:r>
          </w:p>
        </w:tc>
      </w:tr>
      <w:tr>
        <w:trPr>
          <w:trHeight w:val="520" w:hRule="atLeast"/>
        </w:trPr>
        <w:tc>
          <w:tcPr>
            <w:tcW w:type="dxa" w:w="2139"/>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6415"/>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2139"/>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6415"/>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2139"/>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6415"/>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2139"/>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6415"/>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2139"/>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6415"/>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2139"/>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val="false"/>
              <w:spacing w:after="0"/>
            </w:pPr>
            <w:r>
              <w:rPr>
                <w:rFonts w:ascii="Times New Roman" w:cs="Times New Roman" w:eastAsia="Times New Roman" w:hAnsi="Times New Roman"/>
                <w:sz w:val="20"/>
                <w:szCs w:val="20"/>
              </w:rPr>
              <w:t xml:space="preserve"/>
            </w:r>
          </w:p>
        </w:tc>
        <w:tc>
          <w:tcPr>
            <w:tcW w:type="dxa" w:w="6415"/>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val="false"/>
              <w:spacing w:after="0"/>
            </w:pPr>
            <w:r>
              <w:rPr>
                <w:rFonts w:ascii="Times New Roman" w:cs="Times New Roman" w:eastAsia="Times New Roman" w:hAnsi="Times New Roman"/>
                <w:sz w:val="20"/>
                <w:szCs w:val="20"/>
              </w:rPr>
              <w:t xml:space="preserve"/>
            </w:r>
          </w:p>
        </w:tc>
      </w:tr>
    </w:tbl>
    <w:p>
      <w:pPr>
        <w:spacing w:after="60"/>
      </w:pPr>
    </w:p>
    <w:p>
      <w:pPr>
        <w:keepNext/>
        <w:spacing w:after="120" w:line="288"/>
      </w:pPr>
      <w:r>
        <w:rPr>
          <w:rFonts w:ascii="Times New Roman" w:cs="Times New Roman" w:eastAsia="Times New Roman" w:hAnsi="Times New Roman"/>
          <w:sz w:val="24"/>
          <w:szCs w:val="24"/>
        </w:rPr>
        <w:t xml:space="preserve">Tareas</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5132"/>
        <w:gridCol w:w="1711"/>
        <w:gridCol w:w="1711"/>
      </w:tblGrid>
      <w:tr>
        <w:trPr>
          <w:tblHeader/>
        </w:trPr>
        <w:tc>
          <w:tcPr>
            <w:tcW w:type="dxa" w:w="5132"/>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keepNext/>
              <w:spacing w:after="0"/>
            </w:pPr>
            <w:r>
              <w:rPr>
                <w:rFonts w:ascii="Times New Roman" w:cs="Times New Roman" w:eastAsia="Times New Roman" w:hAnsi="Times New Roman"/>
                <w:b/>
                <w:bCs/>
                <w:sz w:val="20"/>
                <w:szCs w:val="20"/>
              </w:rPr>
              <w:t xml:space="preserve">Tarea</w:t>
            </w:r>
          </w:p>
        </w:tc>
        <w:tc>
          <w:tcPr>
            <w:tcW w:type="dxa" w:w="1711"/>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keepNext/>
              <w:spacing w:after="0"/>
            </w:pPr>
            <w:r>
              <w:rPr>
                <w:rFonts w:ascii="Times New Roman" w:cs="Times New Roman" w:eastAsia="Times New Roman" w:hAnsi="Times New Roman"/>
                <w:b/>
                <w:bCs/>
                <w:sz w:val="20"/>
                <w:szCs w:val="20"/>
              </w:rPr>
              <w:t xml:space="preserve">Quién</w:t>
            </w:r>
          </w:p>
        </w:tc>
        <w:tc>
          <w:tcPr>
            <w:tcW w:type="dxa" w:w="1711"/>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keepNext/>
              <w:spacing w:after="0"/>
            </w:pPr>
            <w:r>
              <w:rPr>
                <w:rFonts w:ascii="Times New Roman" w:cs="Times New Roman" w:eastAsia="Times New Roman" w:hAnsi="Times New Roman"/>
                <w:b/>
                <w:bCs/>
                <w:sz w:val="20"/>
                <w:szCs w:val="20"/>
              </w:rPr>
              <w:t xml:space="preserve">Para cuándo</w:t>
            </w:r>
          </w:p>
        </w:tc>
      </w:tr>
      <w:tr>
        <w:trPr>
          <w:trHeight w:val="520" w:hRule="atLeast"/>
        </w:trPr>
        <w:tc>
          <w:tcPr>
            <w:tcW w:type="dxa" w:w="5132"/>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5132"/>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5132"/>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5132"/>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5132"/>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spacing w:after="0"/>
            </w:pPr>
            <w:r>
              <w:rPr>
                <w:rFonts w:ascii="Times New Roman" w:cs="Times New Roman" w:eastAsia="Times New Roman" w:hAnsi="Times New Roman"/>
                <w:sz w:val="20"/>
                <w:szCs w:val="20"/>
              </w:rPr>
              <w:t xml:space="preserve"/>
            </w:r>
          </w:p>
        </w:tc>
      </w:tr>
      <w:tr>
        <w:trPr>
          <w:trHeight w:val="520" w:hRule="atLeast"/>
        </w:trPr>
        <w:tc>
          <w:tcPr>
            <w:tcW w:type="dxa" w:w="5132"/>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val="false"/>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val="false"/>
              <w:spacing w:after="0"/>
            </w:pPr>
            <w:r>
              <w:rPr>
                <w:rFonts w:ascii="Times New Roman" w:cs="Times New Roman" w:eastAsia="Times New Roman" w:hAnsi="Times New Roman"/>
                <w:sz w:val="20"/>
                <w:szCs w:val="20"/>
              </w:rPr>
              <w:t xml:space="preserve"/>
            </w:r>
          </w:p>
        </w:tc>
        <w:tc>
          <w:tcPr>
            <w:tcW w:type="dxa" w:w="1711"/>
            <w:tcBorders>
              <w:top w:val="single" w:color="999999" w:sz="4"/>
              <w:left w:val="none" w:color="FFFFFF" w:sz="0"/>
              <w:bottom w:val="single" w:color="999999" w:sz="4"/>
              <w:right w:val="none" w:color="FFFFFF" w:sz="0"/>
            </w:tcBorders>
            <w:tcMar>
              <w:top w:type="dxa" w:w="50"/>
              <w:left w:type="dxa" w:w="80"/>
              <w:bottom w:type="dxa" w:w="50"/>
              <w:right w:type="dxa" w:w="80"/>
            </w:tcMar>
          </w:tcPr>
          <w:p>
            <w:pPr>
              <w:keepNext w:val="false"/>
              <w:spacing w:after="0"/>
            </w:pPr>
            <w:r>
              <w:rPr>
                <w:rFonts w:ascii="Times New Roman" w:cs="Times New Roman" w:eastAsia="Times New Roman" w:hAnsi="Times New Roman"/>
                <w:sz w:val="20"/>
                <w:szCs w:val="20"/>
              </w:rPr>
              <w:t xml:space="preserve"/>
            </w:r>
          </w:p>
        </w:tc>
      </w:tr>
    </w:tbl>
    <w:p>
      <w:pPr>
        <w:spacing w:after="60"/>
      </w:pPr>
    </w:p>
    <w:p>
      <w:pPr>
        <w:spacing w:after="120" w:line="288"/>
      </w:pPr>
      <w:r>
        <w:rPr>
          <w:rFonts w:ascii="Times New Roman" w:cs="Times New Roman" w:eastAsia="Times New Roman" w:hAnsi="Times New Roman"/>
          <w:sz w:val="24"/>
          <w:szCs w:val="24"/>
        </w:rPr>
        <w:t xml:space="preserve">Después de la asesoría, las decisiones pasan a la bitácora y, si cambian un valor, a la hoja «Supuestos» del Excel.</w:t>
      </w:r>
    </w:p>
    <w:sectPr>
      <w:footerReference w:type="default" r:id="rId6"/>
      <w:pgSz w:w="12240" w:h="15840" w:orient="portrait"/>
      <w:pgMar w:top="1418" w:right="1418" w:bottom="1418"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777777"/>
        <w:sz w:val="18"/>
        <w:szCs w:val="18"/>
      </w:rPr>
      <w:t xml:space="preserve">Asesoría #1 con el Dr. Bravo · página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Asesoría #1 con el Dr. Bravo</dc:title>
  <dc:creator>Carlos Campo</dc:creator>
  <cp:lastModifiedBy>Un-named</cp:lastModifiedBy>
  <cp:revision>1</cp:revision>
  <dcterms:created xsi:type="dcterms:W3CDTF">2026-10-30T00:06:57.142Z</dcterms:created>
  <dcterms:modified xsi:type="dcterms:W3CDTF">2026-10-30T00:06:57.142Z</dcterms:modified>
</cp:coreProperties>
</file>

<file path=docProps/custom.xml><?xml version="1.0" encoding="utf-8"?>
<Properties xmlns="http://schemas.openxmlformats.org/officeDocument/2006/custom-properties" xmlns:vt="http://schemas.openxmlformats.org/officeDocument/2006/docPropsVTypes"/>
</file>