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Guía de revisión de la carpeta temporal</w:t>
      </w:r>
    </w:p>
    <w:p>
      <w:pPr>
        <w:spacing w:after="60"/>
        <w:jc w:val="center"/>
      </w:pPr>
      <w:r>
        <w:rPr>
          <w:rFonts w:ascii="Times New Roman" w:cs="Times New Roman" w:eastAsia="Times New Roman" w:hAnsi="Times New Roman"/>
          <w:i/>
          <w:iCs/>
          <w:sz w:val="24"/>
          <w:szCs w:val="24"/>
        </w:rPr>
        <w:t xml:space="preserve">Versión final de los documentos del Objetivo 1 y bloque de factores de correlación, para revisar antes de pasarla a laboratorio</w:t>
      </w:r>
    </w:p>
    <w:p>
      <w:pPr>
        <w:pBdr>
          <w:bottom w:val="single" w:color="999999" w:sz="4" w:space="8"/>
        </w:pBdr>
        <w:spacing w:after="240"/>
        <w:jc w:val="center"/>
      </w:pPr>
      <w:r>
        <w:rPr>
          <w:rFonts w:ascii="Times New Roman" w:cs="Times New Roman" w:eastAsia="Times New Roman" w:hAnsi="Times New Roman"/>
          <w:color w:val="555555"/>
          <w:sz w:val="22"/>
          <w:szCs w:val="22"/>
        </w:rPr>
        <w:t xml:space="preserve">Preparada para Carlos Campo · 29 de octubre de 2026</w:t>
      </w:r>
    </w:p>
    <w:p>
      <w:pPr>
        <w:spacing w:after="120" w:line="288"/>
      </w:pPr>
      <w:r>
        <w:rPr>
          <w:rFonts w:ascii="Times New Roman" w:cs="Times New Roman" w:eastAsia="Times New Roman" w:hAnsi="Times New Roman"/>
          <w:sz w:val="24"/>
          <w:szCs w:val="24"/>
        </w:rPr>
        <w:t xml:space="preserve">Esta carpeta reúne la última versión de cada archivo de las tres subcarpetas de temporal, que guardaban nueve entregas sucesivas del mismo trabajo, ordenada con las carpetas del repositorio para que la copies sobre laboratorio cuando termines de revisar. Sobre esas versiones se hizo además el bloque «O1 · Generador: factores de correlación» del martes 27 de octubre (sección 4). La carpeta laboratorio quedó intacta. Las tres subcarpetas de borradores siguen en temporal: no pude llegar a tu computador para borrarlas, y se borran en cuanto vuelva a estar conectado, después de copiar allí esta carpeta.</w:t>
      </w:r>
    </w:p>
    <w:p>
      <w:pPr>
        <w:spacing w:after="120" w:line="288"/>
      </w:pPr>
      <w:r>
        <w:rPr>
          <w:rFonts w:ascii="Times New Roman" w:cs="Times New Roman" w:eastAsia="Times New Roman" w:hAnsi="Times New Roman"/>
          <w:sz w:val="24"/>
          <w:szCs w:val="24"/>
        </w:rPr>
        <w:t xml:space="preserve">Todo lo que cambió en los tres documentos de Word está con control de cambios, a nombre de «Claude», para que tú decidas qué aceptar. Las correcciones de la revisión no cambian ninguna cifra calculada ni ninguna decisión del generador: corrigen errores de texto, afirmaciones que las fuentes no respaldan y frases poco claras, y las que tocan el método de validación llevan un comentario. El bloque de correlación también está marcado: la sección 2 del documento del generador va entera como texto insertado. En el Excel cambió el texto de 58 celdas y se agregaron la hoja «Correlaciones» y cinco referencias en «Fuentes»; las fórmulas y los valores calculados de las demás hojas son los mismos.</w:t>
      </w:r>
    </w:p>
    <w:p>
      <w:pPr>
        <w:pStyle w:val="Heading1"/>
        <w:keepNext/>
        <w:spacing w:after="120" w:before="280"/>
      </w:pPr>
      <w:r>
        <w:rPr>
          <w:rFonts w:ascii="Times New Roman" w:cs="Times New Roman" w:eastAsia="Times New Roman" w:hAnsi="Times New Roman"/>
          <w:b/>
          <w:bCs/>
          <w:sz w:val="28"/>
          <w:szCs w:val="28"/>
        </w:rPr>
        <w:t xml:space="preserve">1. Qué hay en esta carpeta</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2908"/>
        <w:gridCol w:w="3079"/>
        <w:gridCol w:w="2567"/>
      </w:tblGrid>
      <w:tr>
        <w:trPr>
          <w:tblHeader/>
        </w:trPr>
        <w:tc>
          <w:tcPr>
            <w:tcW w:type="dxa" w:w="2908"/>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0" w:line="252"/>
            </w:pPr>
            <w:r>
              <w:rPr>
                <w:rFonts w:ascii="Times New Roman" w:cs="Times New Roman" w:eastAsia="Times New Roman" w:hAnsi="Times New Roman"/>
                <w:b/>
                <w:bCs/>
                <w:sz w:val="20"/>
                <w:szCs w:val="20"/>
              </w:rPr>
              <w:t xml:space="preserve">Archivo</w:t>
            </w:r>
          </w:p>
        </w:tc>
        <w:tc>
          <w:tcPr>
            <w:tcW w:type="dxa" w:w="3079"/>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0" w:line="252"/>
            </w:pPr>
            <w:r>
              <w:rPr>
                <w:rFonts w:ascii="Times New Roman" w:cs="Times New Roman" w:eastAsia="Times New Roman" w:hAnsi="Times New Roman"/>
                <w:b/>
                <w:bCs/>
                <w:sz w:val="20"/>
                <w:szCs w:val="20"/>
              </w:rPr>
              <w:t xml:space="preserve">De dónde sale</w:t>
            </w:r>
          </w:p>
        </w:tc>
        <w:tc>
          <w:tcPr>
            <w:tcW w:type="dxa" w:w="2567"/>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0" w:line="252"/>
            </w:pPr>
            <w:r>
              <w:rPr>
                <w:rFonts w:ascii="Times New Roman" w:cs="Times New Roman" w:eastAsia="Times New Roman" w:hAnsi="Times New Roman"/>
                <w:b/>
                <w:bCs/>
                <w:sz w:val="20"/>
                <w:szCs w:val="20"/>
              </w:rPr>
              <w:t xml:space="preserve">Estado</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docs/​Diseno_laboratorio_referencia.docx</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Diseñar el laboratorio › Turnos y ventanas de mantenimiento (secciones 1 a 4; la versión «(1)» era la anterior)</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39 correcciones marcadas y 4 comentarios</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docs/​Diccionario_de_datos.docx</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Estructura del dataset › Amarrar cada campo a un indicador (secciones 1 a 3)</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44 correcciones de la revisión y, del bloque de correlación, 5 cambios del indicador V2 y 2 referencias, marcados, y 5 comentarios</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docs/​Generador_de_datos.docx</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Generador BetaPERT › Graficar las distribuciones, más el bloque de correlación</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3 correcciones de la revisión; del bloque de correlación, la sección 2 nueva, 5 viñetas y 4 referencias insertadas y 10 frases ajustadas (en una, el total de pruebas de 1.11, se juntan las dos pasadas); 1 comentario</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datos/​parametros/​Parametros_generador_tesis.xlsx</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Generador BetaPERT › Función de muestreo (las entregas Pruebas y Graficar no cambiaron el Excel)</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Texto de 58 celdas, la hoja nueva «Correlaciones» (ahora son 21 hojas) y 5 referencias (sección 6 y anexo)</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src/​generador/​correlacion.py</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Nuevo (bloque de correlación)</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Matriz objetivo, cópula gaussiana, Iman y Conover y cálculo y veredicto del indicador V2; reemplaza el archivo de laboratorio, que solo tenía la firma de la función</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src/​generador/​duraciones.py</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Generador BetaPERT › Graficar</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Parámetro correlacion en muestrear_ensayo; sin él, da exactamente lo mismo que antes</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src/​generador/​registro.py</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Generador BetaPERT › Graficar</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Una frase de la documentación de tres_puntos_tareas</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src/​generador/​validacion.py</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Estructura del dataset › Amarrar cada campo</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Sin cambios</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tests/​ (9 archivos)</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test_catalogo (Catálogo), test_tipos_muestra (Tipos de muestra), test_recursos y test_turnos (Turnos), test_registro (Un registro), test_campos (Campos), test_indicadores (Amarrar), test_duraciones (Graficar) y test_correlacion (nuevo)</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Un caso nuevo en test_campos.py; test_correlacion.py, con 26 pruebas</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notebooks/​01_forma_duraciones_ensayos.ipynb</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Generador BetaPERT › Graficar</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Sin cambios</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notebooks/​02_correlacion_duraciones.ipynb</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Nuevo (bloque de correlación)</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Compara la matriz obtenida con la objetivo, la dispersión con la de la fuente y prueba el indicador V2</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resultados/​tablas/​ (10 CSV)</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Generador BetaPERT › Graficar (3) y bloque de correlación (7)</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Los cuadernos los reproducen idénticos</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resultados/​figuras/​ (2 PNG)</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forma_cuatro_ensayos.png faltaba en temporal; correlacion_tareas_M02.png es nueva</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Figuras 1 y 2 del generador</w:t>
            </w:r>
          </w:p>
        </w:tc>
      </w:tr>
      <w:tr>
        <w:trPr>
          <w:cantSplit/>
        </w:trPr>
        <w:tc>
          <w:tcPr>
            <w:tcW w:type="dxa" w:w="290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requirements.txt</w:t>
            </w:r>
          </w:p>
        </w:tc>
        <w:tc>
          <w:tcPr>
            <w:tcW w:type="dxa" w:w="307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Generador BetaPERT › Graficar</w:t>
            </w:r>
          </w:p>
        </w:tc>
        <w:tc>
          <w:tcPr>
            <w:tcW w:type="dxa" w:w="2567"/>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Agrega pytest-cov al de laboratorio; el comentario de cobertura incluye el módulo nuevo</w:t>
            </w:r>
          </w:p>
        </w:tc>
      </w:tr>
    </w:tbl>
    <w:p>
      <w:pPr>
        <w:spacing w:after="60"/>
      </w:pPr>
    </w:p>
    <w:p>
      <w:pPr>
        <w:spacing w:after="120" w:line="288"/>
      </w:pPr>
      <w:r>
        <w:rPr>
          <w:rFonts w:ascii="Times New Roman" w:cs="Times New Roman" w:eastAsia="Times New Roman" w:hAnsi="Times New Roman"/>
          <w:sz w:val="24"/>
          <w:szCs w:val="24"/>
        </w:rPr>
        <w:t xml:space="preserve">Las versiones anteriores de cada archivo están contenidas en la última, así que no se perdió nada al quedarse con ella.</w:t>
      </w:r>
    </w:p>
    <w:p>
      <w:pPr>
        <w:pStyle w:val="Heading1"/>
        <w:keepNext/>
        <w:spacing w:after="120" w:before="280"/>
      </w:pPr>
      <w:r>
        <w:rPr>
          <w:rFonts w:ascii="Times New Roman" w:cs="Times New Roman" w:eastAsia="Times New Roman" w:hAnsi="Times New Roman"/>
          <w:b/>
          <w:bCs/>
          <w:sz w:val="28"/>
          <w:szCs w:val="28"/>
        </w:rPr>
        <w:t xml:space="preserve">2. Cómo revisarla</w:t>
      </w:r>
    </w:p>
    <w:p>
      <w:pPr>
        <w:pStyle w:val="ListParagraph"/>
        <w:numPr>
          <w:ilvl w:val="0"/>
          <w:numId w:val="2"/>
        </w:numPr>
        <w:spacing w:after="80" w:line="276"/>
      </w:pPr>
      <w:r>
        <w:rPr>
          <w:rFonts w:ascii="Times New Roman" w:cs="Times New Roman" w:eastAsia="Times New Roman" w:hAnsi="Times New Roman"/>
          <w:sz w:val="24"/>
          <w:szCs w:val="24"/>
        </w:rPr>
        <w:t xml:space="preserve">Abre cada documento de docs/ en Word, en Revisar › Todas las marcas. Lo insertado sale subrayado y lo borrado, tachado; los comentarios explican los cambios cuyo motivo no se ve en el texto. Acepta o rechaza cada uno.</w:t>
      </w:r>
    </w:p>
    <w:p>
      <w:pPr>
        <w:pStyle w:val="ListParagraph"/>
        <w:numPr>
          <w:ilvl w:val="0"/>
          <w:numId w:val="2"/>
        </w:numPr>
        <w:spacing w:after="80" w:line="276"/>
      </w:pPr>
      <w:r>
        <w:rPr>
          <w:rFonts w:ascii="Times New Roman" w:cs="Times New Roman" w:eastAsia="Times New Roman" w:hAnsi="Times New Roman"/>
          <w:sz w:val="24"/>
          <w:szCs w:val="24"/>
        </w:rPr>
        <w:t xml:space="preserve">El Excel no tiene control de cambios: la sección 6 dice qué cambió y por qué, y el anexo trae el texto anterior y el nuevo de cada celda.</w:t>
      </w:r>
    </w:p>
    <w:p>
      <w:pPr>
        <w:pStyle w:val="ListParagraph"/>
        <w:numPr>
          <w:ilvl w:val="0"/>
          <w:numId w:val="2"/>
        </w:numPr>
        <w:spacing w:after="80" w:line="276"/>
      </w:pPr>
      <w:r>
        <w:rPr>
          <w:rFonts w:ascii="Times New Roman" w:cs="Times New Roman" w:eastAsia="Times New Roman" w:hAnsi="Times New Roman"/>
          <w:sz w:val="24"/>
          <w:szCs w:val="24"/>
        </w:rPr>
        <w:t xml:space="preserve">Cuando termines, copia las carpetas docs, datos, src, tests, notebooks y resultados y el requirements.txt sobre laboratorio, respetando dónde va cada archivo, y corre pytest: deben pasar 114 pruebas. Para rehacer las tablas, corre primero el cuaderno 01 y después el 02, que usa una tabla del 01 y tarda unos 7 minutos.</w:t>
      </w:r>
    </w:p>
    <w:p>
      <w:pPr>
        <w:pStyle w:val="ListParagraph"/>
        <w:numPr>
          <w:ilvl w:val="0"/>
          <w:numId w:val="2"/>
        </w:numPr>
        <w:spacing w:after="80" w:line="276"/>
      </w:pPr>
      <w:r>
        <w:rPr>
          <w:rFonts w:ascii="Times New Roman" w:cs="Times New Roman" w:eastAsia="Times New Roman" w:hAnsi="Times New Roman"/>
          <w:sz w:val="24"/>
          <w:szCs w:val="24"/>
        </w:rPr>
        <w:t xml:space="preserve">Si aceptas los cambios, actualiza la fecha de versión del encabezado de cada documento, que sigue en el 27 o el 28 de octubre.</w:t>
      </w:r>
    </w:p>
    <w:p>
      <w:pPr>
        <w:pStyle w:val="Heading1"/>
        <w:keepNext/>
        <w:spacing w:after="120" w:before="280"/>
      </w:pPr>
      <w:r>
        <w:rPr>
          <w:rFonts w:ascii="Times New Roman" w:cs="Times New Roman" w:eastAsia="Times New Roman" w:hAnsi="Times New Roman"/>
          <w:b/>
          <w:bCs/>
          <w:sz w:val="28"/>
          <w:szCs w:val="28"/>
        </w:rPr>
        <w:t xml:space="preserve">3. Qué se verificó</w:t>
      </w:r>
    </w:p>
    <w:p>
      <w:pPr>
        <w:pStyle w:val="ListParagraph"/>
        <w:numPr>
          <w:ilvl w:val="0"/>
          <w:numId w:val="3"/>
        </w:numPr>
        <w:spacing w:after="60" w:line="276"/>
      </w:pPr>
      <w:r>
        <w:rPr>
          <w:rFonts w:ascii="Times New Roman" w:cs="Times New Roman" w:eastAsia="Times New Roman" w:hAnsi="Times New Roman"/>
          <w:sz w:val="24"/>
          <w:szCs w:val="24"/>
        </w:rPr>
        <w:t xml:space="preserve">Las 114 pruebas pasan con la versión final: las 87 que había, una nueva para la regla campos_completos y las 26 del bloque de correlación. Los módulos de duraciones y de correlación tienen cubiertas el 100 % de sus sentencias y ramas.</w:t>
      </w:r>
    </w:p>
    <w:p>
      <w:pPr>
        <w:pStyle w:val="ListParagraph"/>
        <w:numPr>
          <w:ilvl w:val="0"/>
          <w:numId w:val="3"/>
        </w:numPr>
        <w:spacing w:after="60" w:line="276"/>
      </w:pPr>
      <w:r>
        <w:rPr>
          <w:rFonts w:ascii="Times New Roman" w:cs="Times New Roman" w:eastAsia="Times New Roman" w:hAnsi="Times New Roman"/>
          <w:sz w:val="24"/>
          <w:szCs w:val="24"/>
        </w:rPr>
        <w:t xml:space="preserve">Los dos cuadernos corren de principio a fin con el Excel final y reproducen sus tablas sin ninguna diferencia. El 01 da exactamente las mismas tablas y la misma figura de antes, porque muestrear_ensayo sin correlación no cambió.</w:t>
      </w:r>
    </w:p>
    <w:p>
      <w:pPr>
        <w:pStyle w:val="ListParagraph"/>
        <w:numPr>
          <w:ilvl w:val="0"/>
          <w:numId w:val="3"/>
        </w:numPr>
        <w:spacing w:after="60" w:line="276"/>
      </w:pPr>
      <w:r>
        <w:rPr>
          <w:rFonts w:ascii="Times New Roman" w:cs="Times New Roman" w:eastAsia="Times New Roman" w:hAnsi="Times New Roman"/>
          <w:sz w:val="24"/>
          <w:szCs w:val="24"/>
        </w:rPr>
        <w:t xml:space="preserve">Todas las cifras de las tablas y del texto de los tres documentos se recalcularon desde el Excel y el código, por dos caminos cuando se podía; las de la sección 2 del generador salen directamente de las tablas del cuaderno 02, sin copiarlas a mano. En la revisión no hubo errores de cálculo: solo un redondeo (el 63 % que en realidad es 63,5 %).</w:t>
      </w:r>
    </w:p>
    <w:p>
      <w:pPr>
        <w:pStyle w:val="ListParagraph"/>
        <w:numPr>
          <w:ilvl w:val="0"/>
          <w:numId w:val="3"/>
        </w:numPr>
        <w:spacing w:after="60" w:line="276"/>
      </w:pPr>
      <w:r>
        <w:rPr>
          <w:rFonts w:ascii="Times New Roman" w:cs="Times New Roman" w:eastAsia="Times New Roman" w:hAnsi="Times New Roman"/>
          <w:sz w:val="24"/>
          <w:szCs w:val="24"/>
        </w:rPr>
        <w:t xml:space="preserve">Todas las citas a las cinco fuentes de calibración se compararon con los PDF de docs/fuentes, por la página de la revista. Para el bloque de correlación se leyeron además Hassi et al. (2025, p. 339), Clemen y Reilly (1999, pp. 211 y 218) y Xu et al. (2010, ecs. 16 y 20), y se confirmaron los datos de Iman y Conover (1982) y de Moran (1948).</w:t>
      </w:r>
    </w:p>
    <w:p>
      <w:pPr>
        <w:pStyle w:val="ListParagraph"/>
        <w:numPr>
          <w:ilvl w:val="0"/>
          <w:numId w:val="3"/>
        </w:numPr>
        <w:spacing w:after="60" w:line="276"/>
      </w:pPr>
      <w:r>
        <w:rPr>
          <w:rFonts w:ascii="Times New Roman" w:cs="Times New Roman" w:eastAsia="Times New Roman" w:hAnsi="Times New Roman"/>
          <w:sz w:val="24"/>
          <w:szCs w:val="24"/>
        </w:rPr>
        <w:t xml:space="preserve">En el Excel se comparó celda por celda con el original, en las 20 hojas: solo cambiaron las 58 celdas del anexo y las filas de «Fuentes» de la sección 6, y ningún valor calculado cambió.</w:t>
      </w:r>
    </w:p>
    <w:p>
      <w:pPr>
        <w:pStyle w:val="ListParagraph"/>
        <w:numPr>
          <w:ilvl w:val="0"/>
          <w:numId w:val="3"/>
        </w:numPr>
        <w:spacing w:after="60" w:line="276"/>
      </w:pPr>
      <w:r>
        <w:rPr>
          <w:rFonts w:ascii="Times New Roman" w:cs="Times New Roman" w:eastAsia="Times New Roman" w:hAnsi="Times New Roman"/>
          <w:sz w:val="24"/>
          <w:szCs w:val="24"/>
        </w:rPr>
        <w:t xml:space="preserve">Los tres documentos pasan la validación del formato de Word, y todo lo que difiere del original está marcado: si se rechazan todos los cambios, vuelve el texto de temporal. En LibreOffice, el del generador deja además seis párrafos vacíos donde estaban las tablas nuevas, que hay que borrar a mano.</w:t>
      </w:r>
    </w:p>
    <w:p>
      <w:pPr>
        <w:pStyle w:val="ListParagraph"/>
        <w:numPr>
          <w:ilvl w:val="0"/>
          <w:numId w:val="3"/>
        </w:numPr>
        <w:spacing w:after="60" w:line="276"/>
      </w:pPr>
      <w:r>
        <w:rPr>
          <w:rFonts w:ascii="Times New Roman" w:cs="Times New Roman" w:eastAsia="Times New Roman" w:hAnsi="Times New Roman"/>
          <w:sz w:val="24"/>
          <w:szCs w:val="24"/>
        </w:rPr>
        <w:t xml:space="preserve">Una revisión independiente de la primera versión del bloque de correlación, hecha desde cero sobre una copia, confirmó las fórmulas, el muestreo, las pruebas, la reproducibilidad de los cuadernos y las cifras de esa versión. Encontró nueve problemas —uno de interpretación de resultados y los demás de definición del indicador V2, de redacción y de casos límite del código— y cuatro objeciones a la justificación del modelo. Todo se corrigió y se volvió a verificar.</w:t>
      </w:r>
    </w:p>
    <w:p>
      <w:pPr>
        <w:pStyle w:val="ListParagraph"/>
        <w:numPr>
          <w:ilvl w:val="0"/>
          <w:numId w:val="3"/>
        </w:numPr>
        <w:spacing w:after="60" w:line="276"/>
      </w:pPr>
      <w:r>
        <w:rPr>
          <w:rFonts w:ascii="Times New Roman" w:cs="Times New Roman" w:eastAsia="Times New Roman" w:hAnsi="Times New Roman"/>
          <w:sz w:val="24"/>
          <w:szCs w:val="24"/>
        </w:rPr>
        <w:t xml:space="preserve">Una segunda revisión independiente, sobre la versión corregida, volvió a calcular todas las cifras, los cambios del Excel y del anexo, y el control de cambios de los tres documentos. No encontró errores graves, sino doce puntos; los dos más importantes, sobre el indicador V2: su error estándar fallaba con pocos grupos o con uno que pesa casi todo, y los pares sin datos suficientes contaban como cumplidos. También se corrigieron todos. Dos pasadas más sobre esos cambios confirmaron que la regla nueva de V2 no da falsas alarmas en miles de datasets correctos, y llevaron a exigir más registros antes de decidir un par y a decir cuántas ejecuciones necesita V2 según el valor de S04. Lo más importante de las revisiones está en la sección 4.</w:t>
      </w:r>
    </w:p>
    <w:p>
      <w:pPr>
        <w:pStyle w:val="Heading1"/>
        <w:keepNext/>
        <w:spacing w:after="120" w:before="280"/>
      </w:pPr>
      <w:r>
        <w:rPr>
          <w:rFonts w:ascii="Times New Roman" w:cs="Times New Roman" w:eastAsia="Times New Roman" w:hAnsi="Times New Roman"/>
          <w:b/>
          <w:bCs/>
          <w:sz w:val="28"/>
          <w:szCs w:val="28"/>
        </w:rPr>
        <w:t xml:space="preserve">4. Bloque de factores de correlación</w:t>
      </w:r>
    </w:p>
    <w:p>
      <w:pPr>
        <w:spacing w:after="120" w:line="288"/>
      </w:pPr>
      <w:r>
        <w:rPr>
          <w:rFonts w:ascii="Times New Roman" w:cs="Times New Roman" w:eastAsia="Times New Roman" w:hAnsi="Times New Roman"/>
          <w:sz w:val="24"/>
          <w:szCs w:val="24"/>
        </w:rPr>
        <w:t xml:space="preserve">El plan pedía inducir correlación entre variables como la complejidad, el número de soluciones y la duración, compararla con la objetivo y anotar de dónde sale cada correlación supuesta (anteproyecto, §1.4 y §5.2; indicador V2). El detalle está en la sección 2 del documento del generador; aquí va lo que conviene revisar.</w:t>
      </w:r>
    </w:p>
    <w:p>
      <w:pPr>
        <w:keepNext/>
        <w:spacing w:after="60" w:before="120"/>
      </w:pPr>
      <w:r>
        <w:rPr>
          <w:rFonts w:ascii="Times New Roman" w:cs="Times New Roman" w:eastAsia="Times New Roman" w:hAnsi="Times New Roman"/>
          <w:b/>
          <w:bCs/>
          <w:i/>
          <w:iCs/>
          <w:sz w:val="24"/>
          <w:szCs w:val="24"/>
        </w:rPr>
        <w:t xml:space="preserve">Qué se correlaciona</w:t>
      </w:r>
    </w:p>
    <w:p>
      <w:pPr>
        <w:pStyle w:val="ListParagraph"/>
        <w:numPr>
          <w:ilvl w:val="0"/>
          <w:numId w:val="3"/>
        </w:numPr>
        <w:spacing w:after="60" w:line="276"/>
      </w:pPr>
      <w:r>
        <w:rPr>
          <w:rFonts w:ascii="Times New Roman" w:cs="Times New Roman" w:eastAsia="Times New Roman" w:hAnsi="Times New Roman"/>
          <w:sz w:val="24"/>
          <w:szCs w:val="24"/>
        </w:rPr>
        <w:t xml:space="preserve">La relación entre complejidad, número de soluciones y duración es estructural: el número de soluciones sale del rango de la complejidad (S08) y la preparación es el tiempo por solución por el número de soluciones (Costigliola et al., 2017, p. 9019). No se induce otra vez, como ya proponía el supuesto S04.</w:t>
      </w:r>
    </w:p>
    <w:p>
      <w:pPr>
        <w:pStyle w:val="ListParagraph"/>
        <w:numPr>
          <w:ilvl w:val="0"/>
          <w:numId w:val="3"/>
        </w:numPr>
        <w:spacing w:after="60" w:line="276"/>
      </w:pPr>
      <w:r>
        <w:rPr>
          <w:rFonts w:ascii="Times New Roman" w:cs="Times New Roman" w:eastAsia="Times New Roman" w:hAnsi="Times New Roman"/>
          <w:sz w:val="24"/>
          <w:szCs w:val="24"/>
        </w:rPr>
        <w:t xml:space="preserve">Lo que se induce es la correlación del ruido entre las tareas de una ejecución: ρ = 0,5 (S04) entre las cuatro del analista, que las hace la misma persona, e independencia de la idoneidad y la corrida, que son del equipo. La hoja «Correlaciones» del Excel tiene la matriz y de dónde sale cada valor.</w:t>
      </w:r>
    </w:p>
    <w:p>
      <w:pPr>
        <w:pStyle w:val="ListParagraph"/>
        <w:numPr>
          <w:ilvl w:val="0"/>
          <w:numId w:val="3"/>
        </w:numPr>
        <w:spacing w:after="60" w:line="276"/>
      </w:pPr>
      <w:r>
        <w:rPr>
          <w:rFonts w:ascii="Times New Roman" w:cs="Times New Roman" w:eastAsia="Times New Roman" w:hAnsi="Times New Roman"/>
          <w:sz w:val="24"/>
          <w:szCs w:val="24"/>
        </w:rPr>
        <w:t xml:space="preserve">Tomé el «número de muestras» del plan como el número de soluciones de S04, que es la variable con la que la fuente escala la preparación.</w:t>
      </w:r>
    </w:p>
    <w:p>
      <w:pPr>
        <w:keepNext/>
        <w:spacing w:after="60" w:before="120"/>
      </w:pPr>
      <w:r>
        <w:rPr>
          <w:rFonts w:ascii="Times New Roman" w:cs="Times New Roman" w:eastAsia="Times New Roman" w:hAnsi="Times New Roman"/>
          <w:b/>
          <w:bCs/>
          <w:i/>
          <w:iCs/>
          <w:sz w:val="24"/>
          <w:szCs w:val="24"/>
        </w:rPr>
        <w:t xml:space="preserve">Qué salió</w:t>
      </w:r>
    </w:p>
    <w:p>
      <w:pPr>
        <w:pStyle w:val="ListParagraph"/>
        <w:numPr>
          <w:ilvl w:val="0"/>
          <w:numId w:val="3"/>
        </w:numPr>
        <w:spacing w:after="60" w:line="276"/>
      </w:pPr>
      <w:r>
        <w:rPr>
          <w:rFonts w:ascii="Times New Roman" w:cs="Times New Roman" w:eastAsia="Times New Roman" w:hAnsi="Times New Roman"/>
          <w:sz w:val="24"/>
          <w:szCs w:val="24"/>
        </w:rPr>
        <w:t xml:space="preserve">La matriz obtenida queda a menos de 0,006 de la objetivo en los doce ensayos, con ρ = 0,3, 0,5 y 0,7, con la cópula y con Iman y Conover. La media de la duración no cambia; la desviación estándar sube entre 3,8 % y 34,0 % con ρ = 0,5.</w:t>
      </w:r>
    </w:p>
    <w:p>
      <w:pPr>
        <w:pStyle w:val="ListParagraph"/>
        <w:numPr>
          <w:ilvl w:val="0"/>
          <w:numId w:val="3"/>
        </w:numPr>
        <w:spacing w:after="60" w:line="276"/>
      </w:pPr>
      <w:r>
        <w:rPr>
          <w:rFonts w:ascii="Times New Roman" w:cs="Times New Roman" w:eastAsia="Times New Roman" w:hAnsi="Times New Roman"/>
          <w:b/>
          <w:bCs/>
          <w:sz w:val="24"/>
          <w:szCs w:val="24"/>
        </w:rPr>
        <w:t xml:space="preserve">Frente a la fuente, la correlación interactúa con la forma λ.</w:t>
      </w:r>
      <w:r>
        <w:rPr>
          <w:rFonts w:ascii="Times New Roman" w:cs="Times New Roman" w:eastAsia="Times New Roman" w:hAnsi="Times New Roman"/>
          <w:sz w:val="24"/>
          <w:szCs w:val="24"/>
        </w:rPr>
        <w:t xml:space="preserve"> Con λ = 4 compensa que las tareas sean más angostas que las triangulares de la fuente; con la propuesta de λ = 1 deja la dispersión 29 % por encima de la fuente en promedio (Tabla 8 del generador). Es lo más importante para decidir (abajo).</w:t>
      </w:r>
    </w:p>
    <w:p>
      <w:pPr>
        <w:pStyle w:val="ListParagraph"/>
        <w:numPr>
          <w:ilvl w:val="0"/>
          <w:numId w:val="3"/>
        </w:numPr>
        <w:spacing w:after="60" w:line="276"/>
      </w:pPr>
      <w:r>
        <w:rPr>
          <w:rFonts w:ascii="Times New Roman" w:cs="Times New Roman" w:eastAsia="Times New Roman" w:hAnsi="Times New Roman"/>
          <w:sz w:val="24"/>
          <w:szCs w:val="24"/>
        </w:rPr>
        <w:t xml:space="preserve">V2 se calcula dentro de grupos de registros comparables y se compara con la correlación que se espera para el tamaño de cada grupo, con una tolerancia de cinco errores estándar. El error estándar no se estima con los datos: sale de la varianza de la correlación de rangos sin correlación, 1/(n − 1), así que no depende de cuántos grupos haya. En 100 datasets correctos de unas 7 semanas, V2 los aceptó todos (una tolerancia fija de 0,05 habría aceptado 5); rechazó los 100 generados con ρ = 0,3 y 38 de los 100 generados con ρ = 0,4.</w:t>
      </w:r>
    </w:p>
    <w:p>
      <w:pPr>
        <w:pStyle w:val="ListParagraph"/>
        <w:numPr>
          <w:ilvl w:val="0"/>
          <w:numId w:val="3"/>
        </w:numPr>
        <w:spacing w:after="60" w:line="276"/>
      </w:pPr>
      <w:r>
        <w:rPr>
          <w:rFonts w:ascii="Times New Roman" w:cs="Times New Roman" w:eastAsia="Times New Roman" w:hAnsi="Times New Roman"/>
          <w:sz w:val="24"/>
          <w:szCs w:val="24"/>
        </w:rPr>
        <w:t xml:space="preserve">V2 no se da por cumplido si algún par no tiene datos suficientes: un par que cabe en su tolerancia solo se da por evaluado si tiene registros para ver una correlación del tamaño de la de S04 el 97,7 % de las veces. Con los valores de ensayo de la preparación y la idoneidad del sistema, los quince pares se decidieron en los 100 datasets de 2 000 y de 1 500 ejecuciones (1 500, unas 5 semanas, está cerca del límite), pero no en los de 1 000. Con S04 = 0,3 hacen falta unas 3 500 —unas 12 semanas—, porque la correlación que hay que ver es más chica.</w:t>
      </w:r>
    </w:p>
    <w:p>
      <w:pPr>
        <w:pStyle w:val="ListParagraph"/>
        <w:numPr>
          <w:ilvl w:val="0"/>
          <w:numId w:val="3"/>
        </w:numPr>
        <w:spacing w:after="60" w:line="276"/>
      </w:pPr>
      <w:r>
        <w:rPr>
          <w:rFonts w:ascii="Times New Roman" w:cs="Times New Roman" w:eastAsia="Times New Roman" w:hAnsi="Times New Roman"/>
          <w:sz w:val="24"/>
          <w:szCs w:val="24"/>
        </w:rPr>
        <w:t xml:space="preserve">Para el O2: en todo el dataset la complejidad casi no se relaciona con la duración (−0,06), aunque dentro de cada técnica sí (0,71), porque la técnica pesa más.</w:t>
      </w:r>
    </w:p>
    <w:p>
      <w:pPr>
        <w:keepNext/>
        <w:spacing w:after="60" w:before="120"/>
      </w:pPr>
      <w:r>
        <w:rPr>
          <w:rFonts w:ascii="Times New Roman" w:cs="Times New Roman" w:eastAsia="Times New Roman" w:hAnsi="Times New Roman"/>
          <w:b/>
          <w:bCs/>
          <w:i/>
          <w:iCs/>
          <w:sz w:val="24"/>
          <w:szCs w:val="24"/>
        </w:rPr>
        <w:t xml:space="preserve">Qué conviene decidir</w:t>
      </w:r>
    </w:p>
    <w:p>
      <w:pPr>
        <w:pStyle w:val="ListParagraph"/>
        <w:numPr>
          <w:ilvl w:val="0"/>
          <w:numId w:val="3"/>
        </w:numPr>
        <w:spacing w:after="60" w:line="276"/>
      </w:pPr>
      <w:r>
        <w:rPr>
          <w:rFonts w:ascii="Times New Roman" w:cs="Times New Roman" w:eastAsia="Times New Roman" w:hAnsi="Times New Roman"/>
          <w:b/>
          <w:bCs/>
          <w:sz w:val="24"/>
          <w:szCs w:val="24"/>
        </w:rPr>
        <w:t xml:space="preserve">λ y ρ juntos.</w:t>
      </w:r>
      <w:r>
        <w:rPr>
          <w:rFonts w:ascii="Times New Roman" w:cs="Times New Roman" w:eastAsia="Times New Roman" w:hAnsi="Times New Roman"/>
          <w:sz w:val="24"/>
          <w:szCs w:val="24"/>
        </w:rPr>
        <w:t xml:space="preserve"> S04 dice 0,5 y la sección 1.10 propone λ = 1. Propuse bajar S04 a 0,3 —el que usan Hassi et al. (2025, p. 339) entre actividades parecidas que comparten riesgos comunes, como requisitos de mano de obra similares, en un proyecto de construcción— si queda λ = 1, o mantener 0,5 si queda λ = 4. Con 0,3, V2 necesita un dataset más largo: unas 3 500 ejecuciones, frente a 1 500 a 2 000 con 0,5. No cambié el Excel: S04 sigue en 0,5 hasta que lo decidan (es la celda Supuestos!D8).</w:t>
      </w:r>
    </w:p>
    <w:p>
      <w:pPr>
        <w:pStyle w:val="ListParagraph"/>
        <w:numPr>
          <w:ilvl w:val="0"/>
          <w:numId w:val="3"/>
        </w:numPr>
        <w:spacing w:after="60" w:line="276"/>
      </w:pPr>
      <w:r>
        <w:rPr>
          <w:rFonts w:ascii="Times New Roman" w:cs="Times New Roman" w:eastAsia="Times New Roman" w:hAnsi="Times New Roman"/>
          <w:sz w:val="24"/>
          <w:szCs w:val="24"/>
        </w:rPr>
        <w:t xml:space="preserve">Si la idoneidad y la corrida deben correlacionarse; hoy no, porque ninguna fuente lo cuantifica.</w:t>
      </w:r>
    </w:p>
    <w:p>
      <w:pPr>
        <w:pStyle w:val="ListParagraph"/>
        <w:numPr>
          <w:ilvl w:val="0"/>
          <w:numId w:val="3"/>
        </w:numPr>
        <w:spacing w:after="60" w:line="276"/>
      </w:pPr>
      <w:r>
        <w:rPr>
          <w:rFonts w:ascii="Times New Roman" w:cs="Times New Roman" w:eastAsia="Times New Roman" w:hAnsi="Times New Roman"/>
          <w:sz w:val="24"/>
          <w:szCs w:val="24"/>
        </w:rPr>
        <w:t xml:space="preserve">La tolerancia de V2: cinco errores estándar, al menos 10 registros por grupo y registros para ver la correlación de S04 antes de decidir un par. Con 7 semanas no siempre detecta una diferencia de 0,1 en ρ, y en los pares de la preparación del sistema tampoco una de 0,2; si la validación necesita más precisión, hace falta un dataset más largo.</w:t>
      </w:r>
    </w:p>
    <w:p>
      <w:pPr>
        <w:keepNext/>
        <w:spacing w:after="60" w:before="120"/>
      </w:pPr>
      <w:r>
        <w:rPr>
          <w:rFonts w:ascii="Times New Roman" w:cs="Times New Roman" w:eastAsia="Times New Roman" w:hAnsi="Times New Roman"/>
          <w:b/>
          <w:bCs/>
          <w:i/>
          <w:iCs/>
          <w:sz w:val="24"/>
          <w:szCs w:val="24"/>
        </w:rPr>
        <w:t xml:space="preserve">Lo que corrigieron las revisiones independientes</w:t>
      </w:r>
    </w:p>
    <w:p>
      <w:pPr>
        <w:pStyle w:val="ListParagraph"/>
        <w:numPr>
          <w:ilvl w:val="0"/>
          <w:numId w:val="3"/>
        </w:numPr>
        <w:spacing w:after="60" w:line="276"/>
      </w:pPr>
      <w:r>
        <w:rPr>
          <w:rFonts w:ascii="Times New Roman" w:cs="Times New Roman" w:eastAsia="Times New Roman" w:hAnsi="Times New Roman"/>
          <w:sz w:val="24"/>
          <w:szCs w:val="24"/>
        </w:rPr>
        <w:t xml:space="preserve">La primera versión decía que la correlación alejaba la dispersión de la fuente; con λ = 4 la acerca. Ahora está la Tabla 8 con las dos formas, y la decisión de λ y ρ va junta.</w:t>
      </w:r>
    </w:p>
    <w:p>
      <w:pPr>
        <w:pStyle w:val="ListParagraph"/>
        <w:numPr>
          <w:ilvl w:val="0"/>
          <w:numId w:val="3"/>
        </w:numPr>
        <w:spacing w:after="60" w:line="276"/>
      </w:pPr>
      <w:r>
        <w:rPr>
          <w:rFonts w:ascii="Times New Roman" w:cs="Times New Roman" w:eastAsia="Times New Roman" w:hAnsi="Times New Roman"/>
          <w:sz w:val="24"/>
          <w:szCs w:val="24"/>
        </w:rPr>
        <w:t xml:space="preserve">La primera tolerancia de V2 (0,05 por par) fallaba con datos correctos en datasets chicos. Ahora V2 compara con la correlación esperada para el tamaño de cada grupo (Moran, 1948) y usa el error estándar, y solo cuenta las ejecuciones terminadas, por lo que resultado entró a los campos de V2.</w:t>
      </w:r>
    </w:p>
    <w:p>
      <w:pPr>
        <w:pStyle w:val="ListParagraph"/>
        <w:numPr>
          <w:ilvl w:val="0"/>
          <w:numId w:val="3"/>
        </w:numPr>
        <w:spacing w:after="60" w:line="276"/>
      </w:pPr>
      <w:r>
        <w:rPr>
          <w:rFonts w:ascii="Times New Roman" w:cs="Times New Roman" w:eastAsia="Times New Roman" w:hAnsi="Times New Roman"/>
          <w:sz w:val="24"/>
          <w:szCs w:val="24"/>
        </w:rPr>
        <w:t xml:space="preserve">En la segunda revisión, el error estándar de V2, que salía de la dispersión entre grupos, rechazaba más de la mitad de los datasets correctos cuando un grupo pesa casi todo, y los pares sin datos suficientes contaban como cumplidos. Ahora el error estándar sale de 1/(n − 1) (Xu et al., 2010), V2 tiene un veredicto («cumple», «no cumple» o «sin datos suficientes») y un par con muy pocos registros no se da por cumplido. Las pasadas siguientes mostraron que, con 1 000 ejecuciones, el primer criterio para «muy pocos» (una tolerancia menor que el ρ de S04) todavía dejaba pasar a veces tareas sin correlación; ahora un par se decide solo si vería esa correlación el 97,7 % de las veces, y con la objetivo en cero debe poder ver una de 0,3. También, que el tamaño del dataset que necesita V2 depende de S04; cuánto más holgada queda la tolerancia en los pares correlacionados, y que el diccionario no tenía en sus referencias a Moran (1948) ni a Xu et al. (2010), que cita en la Tabla 15, y dejaba un párrafo vacío al rechazar todos los cambios.</w:t>
      </w:r>
    </w:p>
    <w:p>
      <w:pPr>
        <w:pStyle w:val="ListParagraph"/>
        <w:numPr>
          <w:ilvl w:val="0"/>
          <w:numId w:val="3"/>
        </w:numPr>
        <w:spacing w:after="60" w:line="276"/>
      </w:pPr>
      <w:r>
        <w:rPr>
          <w:rFonts w:ascii="Times New Roman" w:cs="Times New Roman" w:eastAsia="Times New Roman" w:hAnsi="Times New Roman"/>
          <w:sz w:val="24"/>
          <w:szCs w:val="24"/>
        </w:rPr>
        <w:t xml:space="preserve">En la Tabla 5 y en la hoja «Correlaciones», el par idoneidad–corrida estaba contado dos veces (eran 16 pares para 15).</w:t>
      </w:r>
    </w:p>
    <w:p>
      <w:pPr>
        <w:pStyle w:val="ListParagraph"/>
        <w:numPr>
          <w:ilvl w:val="0"/>
          <w:numId w:val="3"/>
        </w:numPr>
        <w:spacing w:after="60" w:line="276"/>
      </w:pPr>
      <w:r>
        <w:rPr>
          <w:rFonts w:ascii="Times New Roman" w:cs="Times New Roman" w:eastAsia="Times New Roman" w:hAnsi="Times New Roman"/>
          <w:sz w:val="24"/>
          <w:szCs w:val="24"/>
        </w:rPr>
        <w:t xml:space="preserve">La fuente trata la corrida como determinista solo en HPLC y GC; en las otras técnicas le da una distribución.</w:t>
      </w:r>
    </w:p>
    <w:p>
      <w:pPr>
        <w:pStyle w:val="ListParagraph"/>
        <w:numPr>
          <w:ilvl w:val="0"/>
          <w:numId w:val="3"/>
        </w:numPr>
        <w:spacing w:after="60" w:line="276"/>
      </w:pPr>
      <w:r>
        <w:rPr>
          <w:rFonts w:ascii="Times New Roman" w:cs="Times New Roman" w:eastAsia="Times New Roman" w:hAnsi="Times New Roman"/>
          <w:sz w:val="24"/>
          <w:szCs w:val="24"/>
        </w:rPr>
        <w:t xml:space="preserve">El cambio que se le hizo al método de Iman y Conover (convertir la correlación antes de usarla) ahora está dicho; inducir_correlacion conserva el índice de la tabla y rechaza valores vacíos.</w:t>
      </w:r>
    </w:p>
    <w:p>
      <w:pPr>
        <w:pStyle w:val="ListParagraph"/>
        <w:numPr>
          <w:ilvl w:val="0"/>
          <w:numId w:val="3"/>
        </w:numPr>
        <w:spacing w:after="60" w:line="276"/>
      </w:pPr>
      <w:r>
        <w:rPr>
          <w:rFonts w:ascii="Times New Roman" w:cs="Times New Roman" w:eastAsia="Times New Roman" w:hAnsi="Times New Roman"/>
          <w:sz w:val="24"/>
          <w:szCs w:val="24"/>
        </w:rPr>
        <w:t xml:space="preserve">La justificación de la idoneidad y la corrida mezclaba la disponibilidad del equipo con el ruido de la duración; ahora es un supuesto de independencia, sin fuente.</w:t>
      </w:r>
    </w:p>
    <w:p>
      <w:pPr>
        <w:pStyle w:val="ListParagraph"/>
        <w:numPr>
          <w:ilvl w:val="0"/>
          <w:numId w:val="3"/>
        </w:numPr>
        <w:spacing w:after="60" w:line="276"/>
      </w:pPr>
      <w:r>
        <w:rPr>
          <w:rFonts w:ascii="Times New Roman" w:cs="Times New Roman" w:eastAsia="Times New Roman" w:hAnsi="Times New Roman"/>
          <w:sz w:val="24"/>
          <w:szCs w:val="24"/>
        </w:rPr>
        <w:t xml:space="preserve">La justificación del ρ entre las tareas del analista decía que son sobre la misma muestra, lo que solo vale para la preparación del análisis y el procesamiento, y ponía el ejemplo de un analista más lento ese día, que ligaría ejecuciones distintas, algo que el modelo no hace. Ahora lo dice así, y la idoneidad con la preparación del sistema, que la deja lista, pasó a ser un supuesto de independencia (la Tabla 5 y la hoja «Correlaciones» tienen ahora 15 pares en cinco filas).</w:t>
      </w:r>
    </w:p>
    <w:p>
      <w:pPr>
        <w:pStyle w:val="ListParagraph"/>
        <w:numPr>
          <w:ilvl w:val="0"/>
          <w:numId w:val="3"/>
        </w:numPr>
        <w:spacing w:after="60" w:line="276"/>
      </w:pPr>
      <w:r>
        <w:rPr>
          <w:rFonts w:ascii="Times New Roman" w:cs="Times New Roman" w:eastAsia="Times New Roman" w:hAnsi="Times New Roman"/>
          <w:sz w:val="24"/>
          <w:szCs w:val="24"/>
        </w:rPr>
        <w:t xml:space="preserve">También de la segunda revisión: se decía que la fuente simuló las tareas independientes, cuando solo da una distribución por tarea; Hassi et al. hablan de actividades parecidas que comparten riesgos; la viñeta de V2 decía «otro ρ», pero solo se había probado 0,3 (ahora también 0,4); «diez ensayos entre 25 % y 52 %» era entre 24,7 % y 51,8 %; la nota de la Tabla 8 explica por qué sus columnas sin correlación difieren un poco de la Tabla 4; la explicación del percentil 95; el número de sentencias de correlacion.py, y que V2 se calcula con las duraciones sin redondear.</w:t>
      </w:r>
    </w:p>
    <w:p>
      <w:pPr>
        <w:spacing w:after="120" w:line="288"/>
      </w:pPr>
      <w:r>
        <w:rPr>
          <w:rFonts w:ascii="Times New Roman" w:cs="Times New Roman" w:eastAsia="Times New Roman" w:hAnsi="Times New Roman"/>
          <w:sz w:val="24"/>
          <w:szCs w:val="24"/>
        </w:rPr>
        <w:t xml:space="preserve">No pude abrir los artículos de Iman y Conover (1982) ni de Moran (1948), que son de suscripción. Sus datos bibliográficos están confirmados; la fórmula de Moran se tomó de Xu et al. (2010, ec. 16), que se la atribuyen, y se verificó por simulación en tests/test_correlacion.py. Si no los consiguen en la biblioteca, en APA lo correcto es citar a Moran a través de Xu et al. («Moran, 1948, como se citó en Xu et al., 2010») y dejar solo a Xu et al. en las referencias. Xu et al. se publicó después en Signal Processing (2013, 93(1), 261–276); cité el preprint, que es el que leí.</w:t>
      </w:r>
    </w:p>
    <w:p>
      <w:pPr>
        <w:pStyle w:val="Heading1"/>
        <w:keepNext/>
        <w:spacing w:after="120" w:before="280"/>
      </w:pPr>
      <w:r>
        <w:rPr>
          <w:rFonts w:ascii="Times New Roman" w:cs="Times New Roman" w:eastAsia="Times New Roman" w:hAnsi="Times New Roman"/>
          <w:b/>
          <w:bCs/>
          <w:sz w:val="28"/>
          <w:szCs w:val="28"/>
        </w:rPr>
        <w:t xml:space="preserve">5. Cambios en los documentos</w:t>
      </w:r>
    </w:p>
    <w:p>
      <w:pPr>
        <w:spacing w:after="120" w:line="288"/>
      </w:pPr>
      <w:r>
        <w:rPr>
          <w:rFonts w:ascii="Times New Roman" w:cs="Times New Roman" w:eastAsia="Times New Roman" w:hAnsi="Times New Roman"/>
          <w:sz w:val="24"/>
          <w:szCs w:val="24"/>
        </w:rPr>
        <w:t xml:space="preserve">El texto exacto de cada cambio está en el control de cambios; aquí va el motivo.</w:t>
      </w:r>
    </w:p>
    <w:p>
      <w:pPr>
        <w:pStyle w:val="Heading2"/>
        <w:keepNext/>
        <w:spacing w:after="80" w:before="200"/>
      </w:pPr>
      <w:r>
        <w:rPr>
          <w:rFonts w:ascii="Times New Roman" w:cs="Times New Roman" w:eastAsia="Times New Roman" w:hAnsi="Times New Roman"/>
          <w:b/>
          <w:bCs/>
          <w:sz w:val="24"/>
          <w:szCs w:val="24"/>
        </w:rPr>
        <w:t xml:space="preserve">5.1 Diseño del laboratorio de referencia</w:t>
      </w:r>
    </w:p>
    <w:p>
      <w:pPr>
        <w:keepNext/>
        <w:spacing w:after="60" w:before="120"/>
      </w:pPr>
      <w:r>
        <w:rPr>
          <w:rFonts w:ascii="Times New Roman" w:cs="Times New Roman" w:eastAsia="Times New Roman" w:hAnsi="Times New Roman"/>
          <w:b/>
          <w:bCs/>
          <w:i/>
          <w:iCs/>
          <w:sz w:val="24"/>
          <w:szCs w:val="24"/>
        </w:rPr>
        <w:t xml:space="preserve">Errores</w:t>
      </w:r>
    </w:p>
    <w:p>
      <w:pPr>
        <w:pStyle w:val="ListParagraph"/>
        <w:numPr>
          <w:ilvl w:val="0"/>
          <w:numId w:val="3"/>
        </w:numPr>
        <w:spacing w:after="60" w:line="276"/>
      </w:pPr>
      <w:r>
        <w:rPr>
          <w:rFonts w:ascii="Times New Roman" w:cs="Times New Roman" w:eastAsia="Times New Roman" w:hAnsi="Times New Roman"/>
          <w:sz w:val="24"/>
          <w:szCs w:val="24"/>
        </w:rPr>
        <w:t xml:space="preserve">Referencias: faltaba Mischek y Musliu (2021), citada en la sección 3.3.</w:t>
      </w:r>
    </w:p>
    <w:p>
      <w:pPr>
        <w:pStyle w:val="ListParagraph"/>
        <w:numPr>
          <w:ilvl w:val="0"/>
          <w:numId w:val="3"/>
        </w:numPr>
        <w:spacing w:after="60" w:line="276"/>
      </w:pPr>
      <w:r>
        <w:rPr>
          <w:rFonts w:ascii="Times New Roman" w:cs="Times New Roman" w:eastAsia="Times New Roman" w:hAnsi="Times New Roman"/>
          <w:sz w:val="24"/>
          <w:szCs w:val="24"/>
        </w:rPr>
        <w:t xml:space="preserve">2.4: los métodos que aplican al control en proceso suman el 63,5 % de la demanda, no el 63 % (este salía de sumar valores ya redondeados).</w:t>
      </w:r>
    </w:p>
    <w:p>
      <w:pPr>
        <w:pStyle w:val="ListParagraph"/>
        <w:numPr>
          <w:ilvl w:val="0"/>
          <w:numId w:val="3"/>
        </w:numPr>
        <w:spacing w:after="60" w:line="276"/>
      </w:pPr>
      <w:r>
        <w:rPr>
          <w:rFonts w:ascii="Times New Roman" w:cs="Times New Roman" w:eastAsia="Times New Roman" w:hAnsi="Times New Roman"/>
          <w:sz w:val="24"/>
          <w:szCs w:val="24"/>
        </w:rPr>
        <w:t xml:space="preserve">2.7: alargar el horario de llegada no baja los 54 ensayos por día hábil; ahora propone repartir la materia prima también en los fines de semana.</w:t>
      </w:r>
    </w:p>
    <w:p>
      <w:pPr>
        <w:pStyle w:val="ListParagraph"/>
        <w:numPr>
          <w:ilvl w:val="0"/>
          <w:numId w:val="3"/>
        </w:numPr>
        <w:spacing w:after="60" w:line="276"/>
      </w:pPr>
      <w:r>
        <w:rPr>
          <w:rFonts w:ascii="Times New Roman" w:cs="Times New Roman" w:eastAsia="Times New Roman" w:hAnsi="Times New Roman"/>
          <w:sz w:val="24"/>
          <w:szCs w:val="24"/>
        </w:rPr>
        <w:t xml:space="preserve">4.3: en las configuraciones de dos unidades, una falla durante la ventana de la otra unidad también las deja sin equipo.</w:t>
      </w:r>
    </w:p>
    <w:p>
      <w:pPr>
        <w:pStyle w:val="ListParagraph"/>
        <w:numPr>
          <w:ilvl w:val="0"/>
          <w:numId w:val="3"/>
        </w:numPr>
        <w:spacing w:after="60" w:line="276"/>
      </w:pPr>
      <w:r>
        <w:rPr>
          <w:rFonts w:ascii="Times New Roman" w:cs="Times New Roman" w:eastAsia="Times New Roman" w:hAnsi="Times New Roman"/>
          <w:sz w:val="24"/>
          <w:szCs w:val="24"/>
        </w:rPr>
        <w:t xml:space="preserve">Nota de la Tabla 4: la preparación del sistema, como la idoneidad, solo existe en HPLC y GC.</w:t>
      </w:r>
    </w:p>
    <w:p>
      <w:pPr>
        <w:pStyle w:val="ListParagraph"/>
        <w:numPr>
          <w:ilvl w:val="0"/>
          <w:numId w:val="3"/>
        </w:numPr>
        <w:spacing w:after="60" w:line="276"/>
      </w:pPr>
      <w:r>
        <w:rPr>
          <w:rFonts w:ascii="Times New Roman" w:cs="Times New Roman" w:eastAsia="Times New Roman" w:hAnsi="Times New Roman"/>
          <w:sz w:val="24"/>
          <w:szCs w:val="24"/>
        </w:rPr>
        <w:t xml:space="preserve">Resumen y Tabla 10: la definición de estabilidad es propia, no de la OMS, como ya decía la nota de la Tabla 7.</w:t>
      </w:r>
    </w:p>
    <w:p>
      <w:pPr>
        <w:pStyle w:val="ListParagraph"/>
        <w:numPr>
          <w:ilvl w:val="0"/>
          <w:numId w:val="3"/>
        </w:numPr>
        <w:spacing w:after="60" w:line="276"/>
      </w:pPr>
      <w:r>
        <w:rPr>
          <w:rFonts w:ascii="Times New Roman" w:cs="Times New Roman" w:eastAsia="Times New Roman" w:hAnsi="Times New Roman"/>
          <w:sz w:val="24"/>
          <w:szCs w:val="24"/>
        </w:rPr>
        <w:t xml:space="preserve">1.8: la complejidad de cada método se cambia en la hoja «Catálogo»; la hoja «Calibración del catálogo» solo tiene la regla general.</w:t>
      </w:r>
    </w:p>
    <w:p>
      <w:pPr>
        <w:pStyle w:val="ListParagraph"/>
        <w:numPr>
          <w:ilvl w:val="0"/>
          <w:numId w:val="3"/>
        </w:numPr>
        <w:spacing w:after="60" w:line="276"/>
      </w:pPr>
      <w:r>
        <w:rPr>
          <w:rFonts w:ascii="Times New Roman" w:cs="Times New Roman" w:eastAsia="Times New Roman" w:hAnsi="Times New Roman"/>
          <w:sz w:val="24"/>
          <w:szCs w:val="24"/>
        </w:rPr>
        <w:t xml:space="preserve">1.2 y 3.3: A01 y A02 están calificados en los 12 métodos, así que no es cierto que «cada analista» lo esté solo en algunos; ahora lo dice con las cifras.</w:t>
      </w:r>
    </w:p>
    <w:p>
      <w:pPr>
        <w:keepNext/>
        <w:spacing w:after="60" w:before="120"/>
      </w:pPr>
      <w:r>
        <w:rPr>
          <w:rFonts w:ascii="Times New Roman" w:cs="Times New Roman" w:eastAsia="Times New Roman" w:hAnsi="Times New Roman"/>
          <w:b/>
          <w:bCs/>
          <w:i/>
          <w:iCs/>
          <w:sz w:val="24"/>
          <w:szCs w:val="24"/>
        </w:rPr>
        <w:t xml:space="preserve">Precisión frente a las fuentes</w:t>
      </w:r>
    </w:p>
    <w:p>
      <w:pPr>
        <w:pStyle w:val="ListParagraph"/>
        <w:numPr>
          <w:ilvl w:val="0"/>
          <w:numId w:val="3"/>
        </w:numPr>
        <w:spacing w:after="60" w:line="276"/>
      </w:pPr>
      <w:r>
        <w:rPr>
          <w:rFonts w:ascii="Times New Roman" w:cs="Times New Roman" w:eastAsia="Times New Roman" w:hAnsi="Times New Roman"/>
          <w:sz w:val="24"/>
          <w:szCs w:val="24"/>
        </w:rPr>
        <w:t xml:space="preserve">2.3: Costigliola et al. dicen que la materia prima puede procesarse «incluso después de una semana» (even after a week, p. 9018), no «hasta una semana», y que las 31 horas de HPLC «pueden representar» una muestra de prioridad media.</w:t>
      </w:r>
    </w:p>
    <w:p>
      <w:pPr>
        <w:pStyle w:val="ListParagraph"/>
        <w:numPr>
          <w:ilvl w:val="0"/>
          <w:numId w:val="3"/>
        </w:numPr>
        <w:spacing w:after="60" w:line="276"/>
      </w:pPr>
      <w:r>
        <w:rPr>
          <w:rFonts w:ascii="Times New Roman" w:cs="Times New Roman" w:eastAsia="Times New Roman" w:hAnsi="Times New Roman"/>
          <w:sz w:val="24"/>
          <w:szCs w:val="24"/>
        </w:rPr>
        <w:t xml:space="preserve">3.1: que haya al menos 22 HPLC es una inferencia de la Figura 5, válida si la numeración es correlativa.</w:t>
      </w:r>
    </w:p>
    <w:p>
      <w:pPr>
        <w:pStyle w:val="ListParagraph"/>
        <w:numPr>
          <w:ilvl w:val="0"/>
          <w:numId w:val="3"/>
        </w:numPr>
        <w:spacing w:after="60" w:line="276"/>
      </w:pPr>
      <w:r>
        <w:rPr>
          <w:rFonts w:ascii="Times New Roman" w:cs="Times New Roman" w:eastAsia="Times New Roman" w:hAnsi="Times New Roman"/>
          <w:sz w:val="24"/>
          <w:szCs w:val="24"/>
        </w:rPr>
        <w:t xml:space="preserve">3.2: los «tipos de operación» de Costigliola son control en proceso, estabilidad y desarrollo; repartir los turnos por técnicas es un supuesto propio.</w:t>
      </w:r>
    </w:p>
    <w:p>
      <w:pPr>
        <w:pStyle w:val="ListParagraph"/>
        <w:numPr>
          <w:ilvl w:val="0"/>
          <w:numId w:val="3"/>
        </w:numPr>
        <w:spacing w:after="60" w:line="276"/>
      </w:pPr>
      <w:r>
        <w:rPr>
          <w:rFonts w:ascii="Times New Roman" w:cs="Times New Roman" w:eastAsia="Times New Roman" w:hAnsi="Times New Roman"/>
          <w:sz w:val="24"/>
          <w:szCs w:val="24"/>
        </w:rPr>
        <w:t xml:space="preserve">1.2: el estudio que reseña Coito examina la duración según esos factores; no dice que la expliquen.</w:t>
      </w:r>
    </w:p>
    <w:p>
      <w:pPr>
        <w:pStyle w:val="ListParagraph"/>
        <w:numPr>
          <w:ilvl w:val="0"/>
          <w:numId w:val="3"/>
        </w:numPr>
        <w:spacing w:after="60" w:line="276"/>
      </w:pPr>
      <w:r>
        <w:rPr>
          <w:rFonts w:ascii="Times New Roman" w:cs="Times New Roman" w:eastAsia="Times New Roman" w:hAnsi="Times New Roman"/>
          <w:sz w:val="24"/>
          <w:szCs w:val="24"/>
        </w:rPr>
        <w:t xml:space="preserve">2.4: Martins et al. dicen que cada combinación «suele» traer un conjunto predeterminado de ensayos.</w:t>
      </w:r>
    </w:p>
    <w:p>
      <w:pPr>
        <w:pStyle w:val="ListParagraph"/>
        <w:numPr>
          <w:ilvl w:val="0"/>
          <w:numId w:val="3"/>
        </w:numPr>
        <w:spacing w:after="60" w:line="276"/>
      </w:pPr>
      <w:r>
        <w:rPr>
          <w:rFonts w:ascii="Times New Roman" w:cs="Times New Roman" w:eastAsia="Times New Roman" w:hAnsi="Times New Roman"/>
          <w:sz w:val="24"/>
          <w:szCs w:val="24"/>
        </w:rPr>
        <w:t xml:space="preserve">3.3: los 6 empleados del TLSP son empleados calificados por trabajo, en promedio; también se define la sigla.</w:t>
      </w:r>
    </w:p>
    <w:p>
      <w:pPr>
        <w:pStyle w:val="ListParagraph"/>
        <w:numPr>
          <w:ilvl w:val="0"/>
          <w:numId w:val="3"/>
        </w:numPr>
        <w:spacing w:after="60" w:line="276"/>
      </w:pPr>
      <w:r>
        <w:rPr>
          <w:rFonts w:ascii="Times New Roman" w:cs="Times New Roman" w:eastAsia="Times New Roman" w:hAnsi="Times New Roman"/>
          <w:sz w:val="24"/>
          <w:szCs w:val="24"/>
        </w:rPr>
        <w:t xml:space="preserve">Resumen: lo que se conserva de Costigliola es la mezcla de técnicas, no de métodos. Se agregaron dos páginas que faltaban en las citas.</w:t>
      </w:r>
    </w:p>
    <w:p>
      <w:pPr>
        <w:keepNext/>
        <w:spacing w:after="60" w:before="120"/>
      </w:pPr>
      <w:r>
        <w:rPr>
          <w:rFonts w:ascii="Times New Roman" w:cs="Times New Roman" w:eastAsia="Times New Roman" w:hAnsi="Times New Roman"/>
          <w:b/>
          <w:bCs/>
          <w:i/>
          <w:iCs/>
          <w:sz w:val="24"/>
          <w:szCs w:val="24"/>
        </w:rPr>
        <w:t xml:space="preserve">Claridad</w:t>
      </w:r>
    </w:p>
    <w:p>
      <w:pPr>
        <w:pStyle w:val="ListParagraph"/>
        <w:numPr>
          <w:ilvl w:val="0"/>
          <w:numId w:val="3"/>
        </w:numPr>
        <w:spacing w:after="60" w:line="276"/>
      </w:pPr>
      <w:r>
        <w:rPr>
          <w:rFonts w:ascii="Times New Roman" w:cs="Times New Roman" w:eastAsia="Times New Roman" w:hAnsi="Times New Roman"/>
          <w:sz w:val="24"/>
          <w:szCs w:val="24"/>
        </w:rPr>
        <w:t xml:space="preserve">Notas de las Tablas 3, 8, 11 y 17: cómo se calcula cada columna (días de llegada al año, horas de M01 en su configuración principal, redondeo del total, separación mínima entre ventanas).</w:t>
      </w:r>
    </w:p>
    <w:p>
      <w:pPr>
        <w:pStyle w:val="ListParagraph"/>
        <w:numPr>
          <w:ilvl w:val="0"/>
          <w:numId w:val="3"/>
        </w:numPr>
        <w:spacing w:after="60" w:line="276"/>
      </w:pPr>
      <w:r>
        <w:rPr>
          <w:rFonts w:ascii="Times New Roman" w:cs="Times New Roman" w:eastAsia="Times New Roman" w:hAnsi="Times New Roman"/>
          <w:sz w:val="24"/>
          <w:szCs w:val="24"/>
        </w:rPr>
        <w:t xml:space="preserve">Varias menciones a «la Tabla 1», «la Tabla 2» o «la Tabla 3» eran de Costigliola y se confundían con las tablas del documento; ahora dicen de cuál son.</w:t>
      </w:r>
    </w:p>
    <w:p>
      <w:pPr>
        <w:pStyle w:val="ListParagraph"/>
        <w:numPr>
          <w:ilvl w:val="0"/>
          <w:numId w:val="3"/>
        </w:numPr>
        <w:spacing w:after="60" w:line="276"/>
      </w:pPr>
      <w:r>
        <w:rPr>
          <w:rFonts w:ascii="Times New Roman" w:cs="Times New Roman" w:eastAsia="Times New Roman" w:hAnsi="Times New Roman"/>
          <w:sz w:val="24"/>
          <w:szCs w:val="24"/>
        </w:rPr>
        <w:t xml:space="preserve">2.2: el 18,6 % es de horas-analista (176 de 946), en las franjas de 0:00 a 8:00 entre semana y los fines de semana.</w:t>
      </w:r>
    </w:p>
    <w:p>
      <w:pPr>
        <w:pStyle w:val="ListParagraph"/>
        <w:numPr>
          <w:ilvl w:val="0"/>
          <w:numId w:val="3"/>
        </w:numPr>
        <w:spacing w:after="60" w:line="276"/>
      </w:pPr>
      <w:r>
        <w:rPr>
          <w:rFonts w:ascii="Times New Roman" w:cs="Times New Roman" w:eastAsia="Times New Roman" w:hAnsi="Times New Roman"/>
          <w:sz w:val="24"/>
          <w:szCs w:val="24"/>
        </w:rPr>
        <w:t xml:space="preserve">Introducción: faltaban las hojas «Demanda» y «Duraciones» y la dimensión de disponibilidad cruzada.</w:t>
      </w:r>
    </w:p>
    <w:p>
      <w:pPr>
        <w:pStyle w:val="ListParagraph"/>
        <w:numPr>
          <w:ilvl w:val="0"/>
          <w:numId w:val="3"/>
        </w:numPr>
        <w:spacing w:after="60" w:line="276"/>
      </w:pPr>
      <w:r>
        <w:rPr>
          <w:rFonts w:ascii="Times New Roman" w:cs="Times New Roman" w:eastAsia="Times New Roman" w:hAnsi="Times New Roman"/>
          <w:sz w:val="24"/>
          <w:szCs w:val="24"/>
        </w:rPr>
        <w:t xml:space="preserve">1.8: la decisión sobre λ ya tiene una propuesta en el documento del generador (sección 1.10); 4.4 dice cuáles son las cinco fuentes.</w:t>
      </w:r>
    </w:p>
    <w:p>
      <w:pPr>
        <w:pStyle w:val="Heading2"/>
        <w:keepNext/>
        <w:spacing w:after="80" w:before="200"/>
      </w:pPr>
      <w:r>
        <w:rPr>
          <w:rFonts w:ascii="Times New Roman" w:cs="Times New Roman" w:eastAsia="Times New Roman" w:hAnsi="Times New Roman"/>
          <w:b/>
          <w:bCs/>
          <w:sz w:val="24"/>
          <w:szCs w:val="24"/>
        </w:rPr>
        <w:t xml:space="preserve">5.2 Estructura del dataset y diccionario de datos</w:t>
      </w:r>
    </w:p>
    <w:p>
      <w:pPr>
        <w:keepNext/>
        <w:spacing w:after="60" w:before="120"/>
      </w:pPr>
      <w:r>
        <w:rPr>
          <w:rFonts w:ascii="Times New Roman" w:cs="Times New Roman" w:eastAsia="Times New Roman" w:hAnsi="Times New Roman"/>
          <w:b/>
          <w:bCs/>
          <w:i/>
          <w:iCs/>
          <w:sz w:val="24"/>
          <w:szCs w:val="24"/>
        </w:rPr>
        <w:t xml:space="preserve">Errores</w:t>
      </w:r>
    </w:p>
    <w:p>
      <w:pPr>
        <w:pStyle w:val="ListParagraph"/>
        <w:numPr>
          <w:ilvl w:val="0"/>
          <w:numId w:val="3"/>
        </w:numPr>
        <w:spacing w:after="60" w:line="276"/>
      </w:pPr>
      <w:r>
        <w:rPr>
          <w:rFonts w:ascii="Times New Roman" w:cs="Times New Roman" w:eastAsia="Times New Roman" w:hAnsi="Times New Roman"/>
          <w:sz w:val="24"/>
          <w:szCs w:val="24"/>
        </w:rPr>
        <w:t xml:space="preserve">2.7 y Tabla 14: con la regla «son predictores los campos que se conocen al asignar», siete campos que la tabla deja en «O3 y validación» serían predictores (prioridad, plazo_min, llegada_muestra, vencimiento y las tres de combinaciones). Se agregó la razón real —repiten a otro predictor o son momentos de la muestra— sin cambiar qué campos son predictores.</w:t>
      </w:r>
    </w:p>
    <w:p>
      <w:pPr>
        <w:pStyle w:val="ListParagraph"/>
        <w:numPr>
          <w:ilvl w:val="0"/>
          <w:numId w:val="3"/>
        </w:numPr>
        <w:spacing w:after="60" w:line="276"/>
      </w:pPr>
      <w:r>
        <w:rPr>
          <w:rFonts w:ascii="Times New Roman" w:cs="Times New Roman" w:eastAsia="Times New Roman" w:hAnsi="Times New Roman"/>
          <w:sz w:val="24"/>
          <w:szCs w:val="24"/>
        </w:rPr>
        <w:t xml:space="preserve">Resumen: urgente es una bandera y es predictor; solo las banderas de reanálisis y falla quedan para el O3.</w:t>
      </w:r>
    </w:p>
    <w:p>
      <w:pPr>
        <w:pStyle w:val="ListParagraph"/>
        <w:numPr>
          <w:ilvl w:val="0"/>
          <w:numId w:val="3"/>
        </w:numPr>
        <w:spacing w:after="60" w:line="276"/>
      </w:pPr>
      <w:r>
        <w:rPr>
          <w:rFonts w:ascii="Times New Roman" w:cs="Times New Roman" w:eastAsia="Times New Roman" w:hAnsi="Times New Roman"/>
          <w:sz w:val="24"/>
          <w:szCs w:val="24"/>
        </w:rPr>
        <w:t xml:space="preserve">2.8: la regla campos_completos no tenía ninguna prueba. Se agregó una en tests/test_campos.py y el texto ya la menciona.</w:t>
      </w:r>
    </w:p>
    <w:p>
      <w:pPr>
        <w:pStyle w:val="ListParagraph"/>
        <w:numPr>
          <w:ilvl w:val="0"/>
          <w:numId w:val="3"/>
        </w:numPr>
        <w:spacing w:after="60" w:line="276"/>
      </w:pPr>
      <w:r>
        <w:rPr>
          <w:rFonts w:ascii="Times New Roman" w:cs="Times New Roman" w:eastAsia="Times New Roman" w:hAnsi="Times New Roman"/>
          <w:sz w:val="24"/>
          <w:szCs w:val="24"/>
        </w:rPr>
        <w:t xml:space="preserve">3.4: la prueba de los indicadores exime a V3 y V4, no solo a V5.</w:t>
      </w:r>
    </w:p>
    <w:p>
      <w:pPr>
        <w:pStyle w:val="ListParagraph"/>
        <w:numPr>
          <w:ilvl w:val="0"/>
          <w:numId w:val="3"/>
        </w:numPr>
        <w:spacing w:after="60" w:line="276"/>
      </w:pPr>
      <w:r>
        <w:rPr>
          <w:rFonts w:ascii="Times New Roman" w:cs="Times New Roman" w:eastAsia="Times New Roman" w:hAnsi="Times New Roman"/>
          <w:sz w:val="24"/>
          <w:szCs w:val="24"/>
        </w:rPr>
        <w:t xml:space="preserve">Tabla 16 y Excel: el amarre no listaba campos que los indicadores sí usan según la Tabla 15 (metodo en T1 a T3, las seis tareas en T4 y V1, inicio en H4) y ponía V3 de forma dispareja. Quedó igual en el documento y en las dos hojas del Excel, y las pruebas siguen pasando.</w:t>
      </w:r>
    </w:p>
    <w:p>
      <w:pPr>
        <w:pStyle w:val="ListParagraph"/>
        <w:numPr>
          <w:ilvl w:val="0"/>
          <w:numId w:val="3"/>
        </w:numPr>
        <w:spacing w:after="60" w:line="276"/>
      </w:pPr>
      <w:r>
        <w:rPr>
          <w:rFonts w:ascii="Times New Roman" w:cs="Times New Roman" w:eastAsia="Times New Roman" w:hAnsi="Times New Roman"/>
          <w:sz w:val="24"/>
          <w:szCs w:val="24"/>
        </w:rPr>
        <w:t xml:space="preserve">Tabla 15 (V5) y 3.3: de los 29 parámetros sin fuente, uno (P60, los doce métodos) no tiene escenarios de sensibilidad.</w:t>
      </w:r>
    </w:p>
    <w:p>
      <w:pPr>
        <w:keepNext/>
        <w:spacing w:after="60" w:before="120"/>
      </w:pPr>
      <w:r>
        <w:rPr>
          <w:rFonts w:ascii="Times New Roman" w:cs="Times New Roman" w:eastAsia="Times New Roman" w:hAnsi="Times New Roman"/>
          <w:b/>
          <w:bCs/>
          <w:i/>
          <w:iCs/>
          <w:sz w:val="24"/>
          <w:szCs w:val="24"/>
        </w:rPr>
        <w:t xml:space="preserve">Precisión frente a las fuentes</w:t>
      </w:r>
    </w:p>
    <w:p>
      <w:pPr>
        <w:pStyle w:val="ListParagraph"/>
        <w:numPr>
          <w:ilvl w:val="0"/>
          <w:numId w:val="3"/>
        </w:numPr>
        <w:spacing w:after="60" w:line="276"/>
      </w:pPr>
      <w:r>
        <w:rPr>
          <w:rFonts w:ascii="Times New Roman" w:cs="Times New Roman" w:eastAsia="Times New Roman" w:hAnsi="Times New Roman"/>
          <w:sz w:val="24"/>
          <w:szCs w:val="24"/>
        </w:rPr>
        <w:t xml:space="preserve">Tabla 15 (T5), el cambio más importante de la revisión: la Tabla 6 de Costigliola no sirve de referencia para el procesamiento de datos ni para la corrida de PSA y KF, porque no cuadra con su propia Tabla 3, de la que sale el generador. Compararlas haría fallar la validación del 31 de octubre. Además, el rango de Coito (458 a 786 minutos) no incluye procesamiento de datos ni revisión. Hay un comentario con las cifras; conviene confirmarlo con Bravo.</w:t>
      </w:r>
    </w:p>
    <w:p>
      <w:pPr>
        <w:pStyle w:val="ListParagraph"/>
        <w:numPr>
          <w:ilvl w:val="0"/>
          <w:numId w:val="3"/>
        </w:numPr>
        <w:spacing w:after="60" w:line="276"/>
      </w:pPr>
      <w:r>
        <w:rPr>
          <w:rFonts w:ascii="Times New Roman" w:cs="Times New Roman" w:eastAsia="Times New Roman" w:hAnsi="Times New Roman"/>
          <w:sz w:val="24"/>
          <w:szCs w:val="24"/>
        </w:rPr>
        <w:t xml:space="preserve">1.1, Tabla 5 y supuesto S28: el modelo de Cunha impone el orden entre los ensayos de una muestra (p. 1423); no lo «admite» como algo opcional.</w:t>
      </w:r>
    </w:p>
    <w:p>
      <w:pPr>
        <w:pStyle w:val="ListParagraph"/>
        <w:numPr>
          <w:ilvl w:val="0"/>
          <w:numId w:val="3"/>
        </w:numPr>
        <w:spacing w:after="60" w:line="276"/>
      </w:pPr>
      <w:r>
        <w:rPr>
          <w:rFonts w:ascii="Times New Roman" w:cs="Times New Roman" w:eastAsia="Times New Roman" w:hAnsi="Times New Roman"/>
          <w:sz w:val="24"/>
          <w:szCs w:val="24"/>
        </w:rPr>
        <w:t xml:space="preserve">Tabla 5: Coito sí agrupa los ensayos en una muestra (p. 75), y el montaje es una tarea de Costigliola, no de Coito.</w:t>
      </w:r>
    </w:p>
    <w:p>
      <w:pPr>
        <w:pStyle w:val="ListParagraph"/>
        <w:numPr>
          <w:ilvl w:val="0"/>
          <w:numId w:val="3"/>
        </w:numPr>
        <w:spacing w:after="60" w:line="276"/>
      </w:pPr>
      <w:r>
        <w:rPr>
          <w:rFonts w:ascii="Times New Roman" w:cs="Times New Roman" w:eastAsia="Times New Roman" w:hAnsi="Times New Roman"/>
          <w:sz w:val="24"/>
          <w:szCs w:val="24"/>
        </w:rPr>
        <w:t xml:space="preserve">Tabla 1: la falla se apoya en el supuesto 1 de Costigliola, que no habla de fallas, y la validez de 24 horas solo cubre la idoneidad; extenderla a la preparación del sistema es decisión propia.</w:t>
      </w:r>
    </w:p>
    <w:p>
      <w:pPr>
        <w:pStyle w:val="ListParagraph"/>
        <w:numPr>
          <w:ilvl w:val="0"/>
          <w:numId w:val="3"/>
        </w:numPr>
        <w:spacing w:after="60" w:line="276"/>
      </w:pPr>
      <w:r>
        <w:rPr>
          <w:rFonts w:ascii="Times New Roman" w:cs="Times New Roman" w:eastAsia="Times New Roman" w:hAnsi="Times New Roman"/>
          <w:sz w:val="24"/>
          <w:szCs w:val="24"/>
        </w:rPr>
        <w:t xml:space="preserve">1.2: lo de «un solo equipo y un solo analista» por registro viene de Martins et al. (pp. 182–183), no de todas las fuentes.</w:t>
      </w:r>
    </w:p>
    <w:p>
      <w:pPr>
        <w:keepNext/>
        <w:spacing w:after="60" w:before="120"/>
      </w:pPr>
      <w:r>
        <w:rPr>
          <w:rFonts w:ascii="Times New Roman" w:cs="Times New Roman" w:eastAsia="Times New Roman" w:hAnsi="Times New Roman"/>
          <w:b/>
          <w:bCs/>
          <w:i/>
          <w:iCs/>
          <w:sz w:val="24"/>
          <w:szCs w:val="24"/>
        </w:rPr>
        <w:t xml:space="preserve">Claridad y actualizaciones</w:t>
      </w:r>
    </w:p>
    <w:p>
      <w:pPr>
        <w:pStyle w:val="ListParagraph"/>
        <w:numPr>
          <w:ilvl w:val="0"/>
          <w:numId w:val="3"/>
        </w:numPr>
        <w:spacing w:after="60" w:line="276"/>
      </w:pPr>
      <w:r>
        <w:rPr>
          <w:rFonts w:ascii="Times New Roman" w:cs="Times New Roman" w:eastAsia="Times New Roman" w:hAnsi="Times New Roman"/>
          <w:sz w:val="24"/>
          <w:szCs w:val="24"/>
        </w:rPr>
        <w:t xml:space="preserve">1.8 y 2.3: el bloque de duraciones se cerró sin fijar los tres puntos de la preparación y la idoneidad del sistema, que siguen en cero.</w:t>
      </w:r>
    </w:p>
    <w:p>
      <w:pPr>
        <w:pStyle w:val="ListParagraph"/>
        <w:numPr>
          <w:ilvl w:val="0"/>
          <w:numId w:val="3"/>
        </w:numPr>
        <w:spacing w:after="60" w:line="276"/>
      </w:pPr>
      <w:r>
        <w:rPr>
          <w:rFonts w:ascii="Times New Roman" w:cs="Times New Roman" w:eastAsia="Times New Roman" w:hAnsi="Times New Roman"/>
          <w:sz w:val="24"/>
          <w:szCs w:val="24"/>
        </w:rPr>
        <w:t xml:space="preserve">2.3: el 90 % del optimista y el 115 % del pesimista son cotas de la regla; una repetición en otro equipo puede cambiar los tres puntos si necesita idoneidad.</w:t>
      </w:r>
    </w:p>
    <w:p>
      <w:pPr>
        <w:pStyle w:val="ListParagraph"/>
        <w:numPr>
          <w:ilvl w:val="0"/>
          <w:numId w:val="3"/>
        </w:numPr>
        <w:spacing w:after="60" w:line="276"/>
      </w:pPr>
      <w:r>
        <w:rPr>
          <w:rFonts w:ascii="Times New Roman" w:cs="Times New Roman" w:eastAsia="Times New Roman" w:hAnsi="Times New Roman"/>
          <w:sz w:val="24"/>
          <w:szCs w:val="24"/>
        </w:rPr>
        <w:t xml:space="preserve">Tabla 15 (H3): las horas por turno están en la Tabla 15 del diseño; T5 dice que la media depende de la forma λ.</w:t>
      </w:r>
    </w:p>
    <w:p>
      <w:pPr>
        <w:pStyle w:val="ListParagraph"/>
        <w:numPr>
          <w:ilvl w:val="0"/>
          <w:numId w:val="3"/>
        </w:numPr>
        <w:spacing w:after="60" w:line="276"/>
      </w:pPr>
      <w:r>
        <w:rPr>
          <w:rFonts w:ascii="Times New Roman" w:cs="Times New Roman" w:eastAsia="Times New Roman" w:hAnsi="Times New Roman"/>
          <w:sz w:val="24"/>
          <w:szCs w:val="24"/>
        </w:rPr>
        <w:t xml:space="preserve">Citas sin «et al. (2017)», siglas WHO y TLSP definidas y número del fascículo de Mischek y Musliu.</w:t>
      </w:r>
    </w:p>
    <w:p>
      <w:pPr>
        <w:keepNext/>
        <w:spacing w:after="60" w:before="120"/>
      </w:pPr>
      <w:r>
        <w:rPr>
          <w:rFonts w:ascii="Times New Roman" w:cs="Times New Roman" w:eastAsia="Times New Roman" w:hAnsi="Times New Roman"/>
          <w:b/>
          <w:bCs/>
          <w:i/>
          <w:iCs/>
          <w:sz w:val="24"/>
          <w:szCs w:val="24"/>
        </w:rPr>
        <w:t xml:space="preserve">Bloque de correlación</w:t>
      </w:r>
    </w:p>
    <w:p>
      <w:pPr>
        <w:pStyle w:val="ListParagraph"/>
        <w:numPr>
          <w:ilvl w:val="0"/>
          <w:numId w:val="3"/>
        </w:numPr>
        <w:spacing w:after="60" w:line="276"/>
      </w:pPr>
      <w:r>
        <w:rPr>
          <w:rFonts w:ascii="Times New Roman" w:cs="Times New Roman" w:eastAsia="Times New Roman" w:hAnsi="Times New Roman"/>
          <w:sz w:val="24"/>
          <w:szCs w:val="24"/>
        </w:rPr>
        <w:t xml:space="preserve">Tabla 15 (V2): cómo se calcula ahora el indicador —por grupos, frente a la correlación esperada, solo con ejecuciones terminadas y con las duraciones sin redondear— y su criterio, igual que la hoja «Indicadores».</w:t>
      </w:r>
    </w:p>
    <w:p>
      <w:pPr>
        <w:pStyle w:val="ListParagraph"/>
        <w:numPr>
          <w:ilvl w:val="0"/>
          <w:numId w:val="3"/>
        </w:numPr>
        <w:spacing w:after="60" w:line="276"/>
      </w:pPr>
      <w:r>
        <w:rPr>
          <w:rFonts w:ascii="Times New Roman" w:cs="Times New Roman" w:eastAsia="Times New Roman" w:hAnsi="Times New Roman"/>
          <w:sz w:val="24"/>
          <w:szCs w:val="24"/>
        </w:rPr>
        <w:t xml:space="preserve">Tabla 16: V2 se agregó a metodo, resultado, tecnica, nivel_analista, idoneidad_ejecutada y cinco de las seis tareas (t_preparacion ya lo tenía, como complejidad, n_soluciones y duracion_simulada); el comentario de la tabla lo explica.</w:t>
      </w:r>
    </w:p>
    <w:p>
      <w:pPr>
        <w:pStyle w:val="ListParagraph"/>
        <w:numPr>
          <w:ilvl w:val="0"/>
          <w:numId w:val="3"/>
        </w:numPr>
        <w:spacing w:after="60" w:line="276"/>
      </w:pPr>
      <w:r>
        <w:rPr>
          <w:rFonts w:ascii="Times New Roman" w:cs="Times New Roman" w:eastAsia="Times New Roman" w:hAnsi="Times New Roman"/>
          <w:sz w:val="24"/>
          <w:szCs w:val="24"/>
        </w:rPr>
        <w:t xml:space="preserve">Referencias: Moran (1948) y Xu et al. (2010), que cita la fila de V2 de la Tabla 15.</w:t>
      </w:r>
    </w:p>
    <w:p>
      <w:pPr>
        <w:pStyle w:val="Heading2"/>
        <w:keepNext/>
        <w:spacing w:after="80" w:before="200"/>
      </w:pPr>
      <w:r>
        <w:rPr>
          <w:rFonts w:ascii="Times New Roman" w:cs="Times New Roman" w:eastAsia="Times New Roman" w:hAnsi="Times New Roman"/>
          <w:b/>
          <w:bCs/>
          <w:sz w:val="24"/>
          <w:szCs w:val="24"/>
        </w:rPr>
        <w:t xml:space="preserve">5.3 Generador de datos sintéticos</w:t>
      </w:r>
    </w:p>
    <w:p>
      <w:pPr>
        <w:keepNext/>
        <w:spacing w:after="60" w:before="120"/>
      </w:pPr>
      <w:r>
        <w:rPr>
          <w:rFonts w:ascii="Times New Roman" w:cs="Times New Roman" w:eastAsia="Times New Roman" w:hAnsi="Times New Roman"/>
          <w:b/>
          <w:bCs/>
          <w:i/>
          <w:iCs/>
          <w:sz w:val="24"/>
          <w:szCs w:val="24"/>
        </w:rPr>
        <w:t xml:space="preserve">Revisión</w:t>
      </w:r>
    </w:p>
    <w:p>
      <w:pPr>
        <w:pStyle w:val="ListParagraph"/>
        <w:numPr>
          <w:ilvl w:val="0"/>
          <w:numId w:val="3"/>
        </w:numPr>
        <w:spacing w:after="60" w:line="276"/>
      </w:pPr>
      <w:r>
        <w:rPr>
          <w:rFonts w:ascii="Times New Roman" w:cs="Times New Roman" w:eastAsia="Times New Roman" w:hAnsi="Times New Roman"/>
          <w:sz w:val="24"/>
          <w:szCs w:val="24"/>
        </w:rPr>
        <w:t xml:space="preserve">1.7: la secuencia de tareas viene de las Figuras 1 y 3 de Costigliola et al. (pp. 9016–9017).</w:t>
      </w:r>
    </w:p>
    <w:p>
      <w:pPr>
        <w:pStyle w:val="ListParagraph"/>
        <w:numPr>
          <w:ilvl w:val="0"/>
          <w:numId w:val="3"/>
        </w:numPr>
        <w:spacing w:after="60" w:line="276"/>
      </w:pPr>
      <w:r>
        <w:rPr>
          <w:rFonts w:ascii="Times New Roman" w:cs="Times New Roman" w:eastAsia="Times New Roman" w:hAnsi="Times New Roman"/>
          <w:sz w:val="24"/>
          <w:szCs w:val="24"/>
        </w:rPr>
        <w:t xml:space="preserve">1.10: el rango de Coito es un contraste de orden de magnitud y no incluye procesamiento ni revisión.</w:t>
      </w:r>
    </w:p>
    <w:p>
      <w:pPr>
        <w:pStyle w:val="ListParagraph"/>
        <w:numPr>
          <w:ilvl w:val="0"/>
          <w:numId w:val="3"/>
        </w:numPr>
        <w:spacing w:after="60" w:line="276"/>
      </w:pPr>
      <w:r>
        <w:rPr>
          <w:rFonts w:ascii="Times New Roman" w:cs="Times New Roman" w:eastAsia="Times New Roman" w:hAnsi="Times New Roman"/>
          <w:sz w:val="24"/>
          <w:szCs w:val="24"/>
        </w:rPr>
        <w:t xml:space="preserve">1.11: la prueba nueva de campos_completos sube el total de pruebas a 88; el cambio quedó junto con el del bloque, que lo lleva a 114.</w:t>
      </w:r>
    </w:p>
    <w:p>
      <w:pPr>
        <w:keepNext/>
        <w:spacing w:after="60" w:before="120"/>
      </w:pPr>
      <w:r>
        <w:rPr>
          <w:rFonts w:ascii="Times New Roman" w:cs="Times New Roman" w:eastAsia="Times New Roman" w:hAnsi="Times New Roman"/>
          <w:b/>
          <w:bCs/>
          <w:i/>
          <w:iCs/>
          <w:sz w:val="24"/>
          <w:szCs w:val="24"/>
        </w:rPr>
        <w:t xml:space="preserve">Bloque de correlación</w:t>
      </w:r>
    </w:p>
    <w:p>
      <w:pPr>
        <w:pStyle w:val="ListParagraph"/>
        <w:numPr>
          <w:ilvl w:val="0"/>
          <w:numId w:val="3"/>
        </w:numPr>
        <w:spacing w:after="60" w:line="276"/>
      </w:pPr>
      <w:r>
        <w:rPr>
          <w:rFonts w:ascii="Times New Roman" w:cs="Times New Roman" w:eastAsia="Times New Roman" w:hAnsi="Times New Roman"/>
          <w:sz w:val="24"/>
          <w:szCs w:val="24"/>
        </w:rPr>
        <w:t xml:space="preserve">Sección 2 nueva, con las Tablas 5 a 10 y la Figura 2, y cuatro referencias (Clemen y Reilly, 1999; Iman y Conover, 1982; Moran, 1948; Xu et al., 2010).</w:t>
      </w:r>
    </w:p>
    <w:p>
      <w:pPr>
        <w:pStyle w:val="ListParagraph"/>
        <w:numPr>
          <w:ilvl w:val="0"/>
          <w:numId w:val="3"/>
        </w:numPr>
        <w:spacing w:after="60" w:line="276"/>
      </w:pPr>
      <w:r>
        <w:rPr>
          <w:rFonts w:ascii="Times New Roman" w:cs="Times New Roman" w:eastAsia="Times New Roman" w:hAnsi="Times New Roman"/>
          <w:sz w:val="24"/>
          <w:szCs w:val="24"/>
        </w:rPr>
        <w:t xml:space="preserve">Encabezado, introducción y «Lo que queda decidido»: el documento cierra ahora dos bloques; cinco viñetas nuevas y la de las pruebas, actualizada.</w:t>
      </w:r>
    </w:p>
    <w:p>
      <w:pPr>
        <w:pStyle w:val="ListParagraph"/>
        <w:numPr>
          <w:ilvl w:val="0"/>
          <w:numId w:val="3"/>
        </w:numPr>
        <w:spacing w:after="60" w:line="276"/>
      </w:pPr>
      <w:r>
        <w:rPr>
          <w:rFonts w:ascii="Times New Roman" w:cs="Times New Roman" w:eastAsia="Times New Roman" w:hAnsi="Times New Roman"/>
          <w:sz w:val="24"/>
          <w:szCs w:val="24"/>
        </w:rPr>
        <w:t xml:space="preserve">1.1 y 1.7: cuantil_betapert ya se usa, muestrear_ensayo tiene el parámetro correlacion y la media de la duración no depende de que las tareas estén correlacionadas.</w:t>
      </w:r>
    </w:p>
    <w:p>
      <w:pPr>
        <w:pStyle w:val="ListParagraph"/>
        <w:numPr>
          <w:ilvl w:val="0"/>
          <w:numId w:val="3"/>
        </w:numPr>
        <w:spacing w:after="60" w:line="276"/>
      </w:pPr>
      <w:r>
        <w:rPr>
          <w:rFonts w:ascii="Times New Roman" w:cs="Times New Roman" w:eastAsia="Times New Roman" w:hAnsi="Times New Roman"/>
          <w:sz w:val="24"/>
          <w:szCs w:val="24"/>
        </w:rPr>
        <w:t xml:space="preserve">Notas de la Figura 1 y de las Tablas 3 y 4: se hicieron con tareas independientes.</w:t>
      </w:r>
    </w:p>
    <w:p>
      <w:pPr>
        <w:pStyle w:val="ListParagraph"/>
        <w:numPr>
          <w:ilvl w:val="0"/>
          <w:numId w:val="3"/>
        </w:numPr>
        <w:spacing w:after="60" w:line="276"/>
      </w:pPr>
      <w:r>
        <w:rPr>
          <w:rFonts w:ascii="Times New Roman" w:cs="Times New Roman" w:eastAsia="Times New Roman" w:hAnsi="Times New Roman"/>
          <w:sz w:val="24"/>
          <w:szCs w:val="24"/>
        </w:rPr>
        <w:t xml:space="preserve">1.11: 114 pruebas en total; la cobertura de duraciones.py (59 sentencias y 14 ramas) cuenta también las pruebas del bloque de correlación. El comentario explica la cuenta.</w:t>
      </w:r>
    </w:p>
    <w:p>
      <w:pPr>
        <w:pStyle w:val="Heading1"/>
        <w:keepNext/>
        <w:spacing w:after="120" w:before="280"/>
      </w:pPr>
      <w:r>
        <w:rPr>
          <w:rFonts w:ascii="Times New Roman" w:cs="Times New Roman" w:eastAsia="Times New Roman" w:hAnsi="Times New Roman"/>
          <w:b/>
          <w:bCs/>
          <w:sz w:val="28"/>
          <w:szCs w:val="28"/>
        </w:rPr>
        <w:t xml:space="preserve">6. Cambios en el Excel</w:t>
      </w:r>
    </w:p>
    <w:p>
      <w:pPr>
        <w:spacing w:after="120" w:line="288"/>
      </w:pPr>
      <w:r>
        <w:rPr>
          <w:rFonts w:ascii="Times New Roman" w:cs="Times New Roman" w:eastAsia="Times New Roman" w:hAnsi="Times New Roman"/>
          <w:sz w:val="24"/>
          <w:szCs w:val="24"/>
        </w:rPr>
        <w:t xml:space="preserve">El anexo trae el texto anterior y el nuevo de cada celda, y dice de qué pasada es cada una.</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2566"/>
        <w:gridCol w:w="5988"/>
      </w:tblGrid>
      <w:tr>
        <w:trPr>
          <w:tblHeader/>
        </w:trPr>
        <w:tc>
          <w:tcPr>
            <w:tcW w:type="dxa" w:w="2566"/>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0" w:line="252"/>
            </w:pPr>
            <w:r>
              <w:rPr>
                <w:rFonts w:ascii="Times New Roman" w:cs="Times New Roman" w:eastAsia="Times New Roman" w:hAnsi="Times New Roman"/>
                <w:b/>
                <w:bCs/>
                <w:sz w:val="20"/>
                <w:szCs w:val="20"/>
              </w:rPr>
              <w:t xml:space="preserve">Celdas</w:t>
            </w:r>
          </w:p>
        </w:tc>
        <w:tc>
          <w:tcPr>
            <w:tcW w:type="dxa" w:w="5988"/>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0" w:line="252"/>
            </w:pPr>
            <w:r>
              <w:rPr>
                <w:rFonts w:ascii="Times New Roman" w:cs="Times New Roman" w:eastAsia="Times New Roman" w:hAnsi="Times New Roman"/>
                <w:b/>
                <w:bCs/>
                <w:sz w:val="20"/>
                <w:szCs w:val="20"/>
              </w:rPr>
              <w:t xml:space="preserve">Qué cambió y por qué</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Diccionario L10, L13, L14, L34 a L41; Indicadores E5 a E8, E13 y E22</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amarre campo–indicador, igual que la Tabla 16 del diccionario.</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Indicadores H9</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referencia de T5 (Tabla 6 de Costigliola frente a su Tabla 3, forma λ y alcance del rango de Coito).</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Indicadores H12 y H26</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H3 apunta a la Tabla 15 del diseño; V5 precisa cuáles son los 29 supuestos.</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Supuestos C10 (S06), Parámetros D45 (P41), Tipos de muestra AB5 y AB8</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«incluso después de una semana» y las 31 horas que «pueden representar» una muestra de prioridad media.</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Supuestos C16 (S12)</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Coito no dice que cada analista esté calificado solo para algunos métodos; lo de las competencias únicas sí es suyo, y lo del entrenamiento es de Martins.</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Supuestos C21 (S17), C14 (S10) y C26 (S22)</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el 18,6 % es de horas-analista; páginas que faltaban.</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Supuestos C22 (S18) y C32 (S28)</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en Cunha el número de ensayos define el tipo de trabajo y su modelo impone la precedencia; Martins dice «suele».</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Parámetros D13 (P09) y D16 (P12)</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el montaje es una tarea aparte y la idoneidad va en paralelo con la preparación.</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Parámetros D19 (P15) y D23 (P19)</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el tipo B de Cunha también tiene precedencia; la corrida solo es determinista en HPLC y GC.</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Parámetros D27 (P23)</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los porcentajes de Coito son reducciones al medir; la estimación experta supera al tiempo medido en 49, 56, 22, 2 y 25 %. Importa para la regla experta del O3.</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Parámetros I28 (P24)</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cómo usar el rango de 458 a 786 minutos de Coito.</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Parámetros C51 (P47), D56 (P52), D72 (P68) y H78 (P74)</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la política maximum lateness first es del modelo de Costigliola; la diferencia de uso está «dentro del 1,5 %»; los 22 HPLC son una inferencia; ubicación de la Tabla 6.</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Duraciones A31 y A39</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la fuente no explica el ± de su Tabla 6, y esa tabla solo sirve de referencia para la preparación y la corrida de HPLC y GC.</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Demanda A12 y C14</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la fuente no explica por qué no coinciden sus Tablas 2 y 4; cita completa.</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Contraste estructural G8 y Fuentes B9</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Revisión: empleados calificados en el TLSP; número del fascículo de Mischek y Musliu.</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Correlaciones (hoja nueva, después de Indicadores)</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Correlación: matriz objetivo de 6 × 6 entre las tareas (los pares del analista toman el ρ de Supuestos!D8 con una fórmula; los demás son ceros en amarillo, el color de los supuestos que deben decidir) y, debajo, de dónde sale cada correlación y cómo se verifica.</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Supuestos B8, C8 y F8 (S04)</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Correlación: qué es el ρ (el ruido entre las tareas del analista), lo que dicen Hassi et al. (2025, p. 339) y cómo se justifica. El valor de D8 no cambió (0,5).</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Indicadores D23, E23, F23 y H23 (V2)</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Correlación: cómo se calcula V2, sus campos, sus otras fuentes y su criterio (cinco errores estándar con 1/(n − 1); sin datos suficientes si un par no se puede decidir).</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Diccionario L20, L29 y L32 y, además de la revisión, L10, L14, L34, L35 y L37 a L39</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Correlación: amarre de V2 con sus campos.</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Léeme B5, Fuentes A2 y filas 17 a 21 de Fuentes</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Correlación: la hoja nueva en la lista; Clemen y Reilly (1999), Hassi et al. (2025), Iman y Conover (1982), Moran (1948) y Xu et al. (2010). La nota de Cunha pasó a la fila 23.</w:t>
            </w:r>
          </w:p>
        </w:tc>
      </w:tr>
      <w:tr>
        <w:trPr>
          <w:cantSplit/>
        </w:trPr>
        <w:tc>
          <w:tcPr>
            <w:tcW w:type="dxa" w:w="2566"/>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Alto de 53 filas</w:t>
            </w:r>
          </w:p>
        </w:tc>
        <w:tc>
          <w:tcPr>
            <w:tcW w:type="dxa" w:w="5988"/>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20"/>
                <w:szCs w:val="20"/>
              </w:rPr>
              <w:t xml:space="preserve">Excel no recalcula el alto de las filas al abrir el libro: se subió el de las filas cuyo texto creció en las dos pasadas, para que se vea completo (LibreOffice lo ajusta solo).</w:t>
            </w:r>
          </w:p>
        </w:tc>
      </w:tr>
    </w:tbl>
    <w:p>
      <w:pPr>
        <w:pStyle w:val="Heading1"/>
        <w:keepNext/>
        <w:spacing w:after="120" w:before="280"/>
      </w:pPr>
      <w:r>
        <w:rPr>
          <w:rFonts w:ascii="Times New Roman" w:cs="Times New Roman" w:eastAsia="Times New Roman" w:hAnsi="Times New Roman"/>
          <w:b/>
          <w:bCs/>
          <w:sz w:val="28"/>
          <w:szCs w:val="28"/>
        </w:rPr>
        <w:t xml:space="preserve">7. Lo que no cambié y conviene decidir</w:t>
      </w:r>
    </w:p>
    <w:p>
      <w:pPr>
        <w:pStyle w:val="ListParagraph"/>
        <w:numPr>
          <w:ilvl w:val="0"/>
          <w:numId w:val="3"/>
        </w:numPr>
        <w:spacing w:after="60" w:line="276"/>
      </w:pPr>
      <w:r>
        <w:rPr>
          <w:rFonts w:ascii="Times New Roman" w:cs="Times New Roman" w:eastAsia="Times New Roman" w:hAnsi="Times New Roman"/>
          <w:sz w:val="24"/>
          <w:szCs w:val="24"/>
        </w:rPr>
        <w:t xml:space="preserve">La regla tres_puntos_ordenados solo verifica el orden de los tres puntos, no que sean la suma de las tareas (hay un comentario en la Tabla 15 del diccionario). Cambiarla toca el código del generador.</w:t>
      </w:r>
    </w:p>
    <w:p>
      <w:pPr>
        <w:pStyle w:val="ListParagraph"/>
        <w:numPr>
          <w:ilvl w:val="0"/>
          <w:numId w:val="3"/>
        </w:numPr>
        <w:spacing w:after="60" w:line="276"/>
      </w:pPr>
      <w:r>
        <w:rPr>
          <w:rFonts w:ascii="Times New Roman" w:cs="Times New Roman" w:eastAsia="Times New Roman" w:hAnsi="Times New Roman"/>
          <w:sz w:val="24"/>
          <w:szCs w:val="24"/>
        </w:rPr>
        <w:t xml:space="preserve">La nueva referencia de T5 conviene confirmarla con Bravo en la asesoría del 4 de noviembre.</w:t>
      </w:r>
    </w:p>
    <w:p>
      <w:pPr>
        <w:pStyle w:val="ListParagraph"/>
        <w:numPr>
          <w:ilvl w:val="0"/>
          <w:numId w:val="3"/>
        </w:numPr>
        <w:spacing w:after="60" w:line="276"/>
      </w:pPr>
      <w:r>
        <w:rPr>
          <w:rFonts w:ascii="Times New Roman" w:cs="Times New Roman" w:eastAsia="Times New Roman" w:hAnsi="Times New Roman"/>
          <w:sz w:val="24"/>
          <w:szCs w:val="24"/>
        </w:rPr>
        <w:t xml:space="preserve">Si prefieren usar la prioridad, el plazo o las combinaciones como predictores en el O2, hay que cambiar la columna «Rol en el O2» de la hoja «Diccionario».</w:t>
      </w:r>
    </w:p>
    <w:p>
      <w:pPr>
        <w:pStyle w:val="ListParagraph"/>
        <w:numPr>
          <w:ilvl w:val="0"/>
          <w:numId w:val="3"/>
        </w:numPr>
        <w:spacing w:after="60" w:line="276"/>
      </w:pPr>
      <w:r>
        <w:rPr>
          <w:rFonts w:ascii="Times New Roman" w:cs="Times New Roman" w:eastAsia="Times New Roman" w:hAnsi="Times New Roman"/>
          <w:sz w:val="24"/>
          <w:szCs w:val="24"/>
        </w:rPr>
        <w:t xml:space="preserve">id_muestra: la tabla dice «número consecutivo dentro de la corrida» y la sección 1.7, que se numera dentro de su tipo. Conviene dejar una sola versión antes de programar el generador.</w:t>
      </w:r>
    </w:p>
    <w:p>
      <w:pPr>
        <w:pStyle w:val="ListParagraph"/>
        <w:numPr>
          <w:ilvl w:val="0"/>
          <w:numId w:val="3"/>
        </w:numPr>
        <w:spacing w:after="60" w:line="276"/>
      </w:pPr>
      <w:r>
        <w:rPr>
          <w:rFonts w:ascii="Times New Roman" w:cs="Times New Roman" w:eastAsia="Times New Roman" w:hAnsi="Times New Roman"/>
          <w:sz w:val="24"/>
          <w:szCs w:val="24"/>
        </w:rPr>
        <w:t xml:space="preserve">El valor de S04 (sección 4): queda en 0,5 hasta que decidan λ y ρ juntos.</w:t>
      </w:r>
    </w:p>
    <w:p>
      <w:pPr>
        <w:keepNext/>
        <w:spacing w:after="60" w:before="120"/>
      </w:pPr>
      <w:r>
        <w:rPr>
          <w:rFonts w:ascii="Times New Roman" w:cs="Times New Roman" w:eastAsia="Times New Roman" w:hAnsi="Times New Roman"/>
          <w:b/>
          <w:bCs/>
          <w:i/>
          <w:iCs/>
          <w:sz w:val="24"/>
          <w:szCs w:val="24"/>
        </w:rPr>
        <w:t xml:space="preserve">Fuera de temporal (no lo toqué porque está en laboratorio)</w:t>
      </w:r>
    </w:p>
    <w:p>
      <w:pPr>
        <w:pStyle w:val="ListParagraph"/>
        <w:numPr>
          <w:ilvl w:val="0"/>
          <w:numId w:val="3"/>
        </w:numPr>
        <w:spacing w:after="60" w:line="276"/>
      </w:pPr>
      <w:r>
        <w:rPr>
          <w:rFonts w:ascii="Times New Roman" w:cs="Times New Roman" w:eastAsia="Times New Roman" w:hAnsi="Times New Roman"/>
          <w:sz w:val="24"/>
          <w:szCs w:val="24"/>
        </w:rPr>
        <w:t xml:space="preserve">datos/instancias_tlsp/LEEME.txt: «la idoneidad dura 24 h» debería decir «vale 24 h».</w:t>
      </w:r>
    </w:p>
    <w:p>
      <w:pPr>
        <w:pStyle w:val="ListParagraph"/>
        <w:numPr>
          <w:ilvl w:val="0"/>
          <w:numId w:val="3"/>
        </w:numPr>
        <w:spacing w:after="60" w:line="276"/>
      </w:pPr>
      <w:r>
        <w:rPr>
          <w:rFonts w:ascii="Times New Roman" w:cs="Times New Roman" w:eastAsia="Times New Roman" w:hAnsi="Times New Roman"/>
          <w:sz w:val="24"/>
          <w:szCs w:val="24"/>
        </w:rPr>
        <w:t xml:space="preserve">docs/tesis/Trabajo_de_grado.docx (1.1, 1.5 y 5.1): dice que Costigliola et al. (2017) «muestran» que la gestión se apoya «predominantemente» en la experiencia de los supervisores. La fuente lo dice como contexto general, sin datos: la gestión «often» se basa en esa experiencia (p. 9015). Sería más exacto «señalan que, en la industria farmacéutica, la gestión del laboratorio suele basarse en la experiencia de los supervisores», con la página.</w:t>
      </w:r>
    </w:p>
    <w:p>
      <w:pPr>
        <w:pStyle w:val="Heading1"/>
        <w:keepNext/>
        <w:spacing w:after="120" w:before="280"/>
      </w:pPr>
      <w:r>
        <w:rPr>
          <w:rFonts w:ascii="Times New Roman" w:cs="Times New Roman" w:eastAsia="Times New Roman" w:hAnsi="Times New Roman"/>
          <w:b/>
          <w:bCs/>
          <w:sz w:val="28"/>
          <w:szCs w:val="28"/>
        </w:rPr>
        <w:t xml:space="preserve">Anexo. Texto anterior y nuevo de las celdas del Excel</w:t>
      </w:r>
    </w:p>
    <w:p>
      <w:pPr>
        <w:spacing w:after="120" w:line="288"/>
      </w:pPr>
      <w:r>
        <w:rPr>
          <w:rFonts w:ascii="Times New Roman" w:cs="Times New Roman" w:eastAsia="Times New Roman" w:hAnsi="Times New Roman"/>
          <w:sz w:val="24"/>
          <w:szCs w:val="24"/>
        </w:rPr>
        <w:t xml:space="preserve">«Antes» es el texto de temporal y «después», el de esta carpeta. Las celdas sin marca son de la revisión; las marcadas «correlación», del bloque de correlación, y las marcadas «revisión y correlación» cambiaron en las dos pasadas.</w:t>
      </w:r>
    </w:p>
    <w:tbl>
      <w:tblPr>
        <w:tblW w:type="dxa" w:w="8554"/>
        <w:tblBorders>
          <w:top w:val="single" w:color="auto" w:sz="4"/>
          <w:left w:val="single" w:color="auto" w:sz="4"/>
          <w:bottom w:val="single" w:color="auto" w:sz="4"/>
          <w:right w:val="single" w:color="auto" w:sz="4"/>
          <w:insideH w:val="single" w:color="auto" w:sz="4"/>
          <w:insideV w:val="single" w:color="auto" w:sz="4"/>
        </w:tblBorders>
      </w:tblPr>
      <w:tblGrid>
        <w:gridCol w:w="1369"/>
        <w:gridCol w:w="3593"/>
        <w:gridCol w:w="3592"/>
      </w:tblGrid>
      <w:tr>
        <w:trPr>
          <w:tblHeader/>
        </w:trPr>
        <w:tc>
          <w:tcPr>
            <w:tcW w:type="dxa" w:w="1369"/>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0" w:line="252"/>
            </w:pPr>
            <w:r>
              <w:rPr>
                <w:rFonts w:ascii="Times New Roman" w:cs="Times New Roman" w:eastAsia="Times New Roman" w:hAnsi="Times New Roman"/>
                <w:b/>
                <w:bCs/>
                <w:sz w:val="16"/>
                <w:szCs w:val="16"/>
              </w:rPr>
              <w:t xml:space="preserve">Celda</w:t>
            </w:r>
          </w:p>
        </w:tc>
        <w:tc>
          <w:tcPr>
            <w:tcW w:type="dxa" w:w="3593"/>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0" w:line="252"/>
            </w:pPr>
            <w:r>
              <w:rPr>
                <w:rFonts w:ascii="Times New Roman" w:cs="Times New Roman" w:eastAsia="Times New Roman" w:hAnsi="Times New Roman"/>
                <w:b/>
                <w:bCs/>
                <w:sz w:val="16"/>
                <w:szCs w:val="16"/>
              </w:rPr>
              <w:t xml:space="preserve">Antes</w:t>
            </w:r>
          </w:p>
        </w:tc>
        <w:tc>
          <w:tcPr>
            <w:tcW w:type="dxa" w:w="3592"/>
            <w:tcBorders>
              <w:top w:val="single" w:color="999999" w:sz="4"/>
              <w:left w:val="none" w:color="FFFFFF" w:sz="0"/>
              <w:bottom w:val="single" w:color="999999" w:sz="4"/>
              <w:right w:val="none" w:color="FFFFFF" w:sz="0"/>
            </w:tcBorders>
            <w:shd w:fill="EDEDED" w:color="auto" w:val="clear"/>
            <w:tcMar>
              <w:top w:type="dxa" w:w="50"/>
              <w:left w:type="dxa" w:w="80"/>
              <w:bottom w:type="dxa" w:w="50"/>
              <w:right w:type="dxa" w:w="80"/>
            </w:tcMar>
          </w:tcPr>
          <w:p>
            <w:pPr>
              <w:spacing w:after="0" w:line="252"/>
            </w:pPr>
            <w:r>
              <w:rPr>
                <w:rFonts w:ascii="Times New Roman" w:cs="Times New Roman" w:eastAsia="Times New Roman" w:hAnsi="Times New Roman"/>
                <w:b/>
                <w:bCs/>
                <w:sz w:val="16"/>
                <w:szCs w:val="16"/>
              </w:rPr>
              <w:t xml:space="preserve">Después</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Indicadores!E5</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t_optimista</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metodo, t_optimista</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Indicadores!E6</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t_mas_probable</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metodo, t_mas_probable</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Indicadores!E7</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t_pesimista</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metodo, t_pesimista</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Indicadores!E8</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idoneidad_ejecutada, duracion_simulada</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idoneidad_ejecutada, duracion_simulada, t_prep_sistema, t_idoneidad, t_preparacion, t_montaje, t_corrida, t_procesamiento</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Indicadores!E13</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analista, t_prep_sistema, t_preparacion, t_montaje, t_procesamiento</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analista, t_prep_sistema, t_preparacion, t_montaje, t_procesamiento, inicio</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Indicadores!E22</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tecnica, duracion_simulada, tiempo_en_sistema</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tecnica, duracion_simulada, t_prep_sistema, t_idoneidad, t_preparacion, t_montaje, t_corrida, t_procesamiento, tiempo_en_sistema</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Diccionario!L10 · revisión y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C1, H2, M2, T5</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C1, H2, M2, T1, T2, T3, T5, 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Diccionario!L13</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M4, V3</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M4</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Diccionario!L14 · revisión y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M4, V3</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M4, 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Diccionario!L34 · revisión y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T5, H4</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T4, T5, H4, V1, 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Diccionario!L35 · revisión y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T5, M3</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T4, T5, M3, V1, 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Diccionario!L36</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T5, H4, V2</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T4, T5, H4, V1, 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Diccionario!L37 · revisión y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T5, H4, M3</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T4, T5, H4, M3, V1, 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Diccionario!L38 · revisión y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T5, M3</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T4, T5, M3, V1, 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Diccionario!L39 · revisión y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T5, H4</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T4, T5, H4, V1, 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Diccionario!L40</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C3, V3</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C3</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Diccionario!L41</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H3, V3</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H3, H4</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Indicadores!H9</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Tiempos promedio por tarea de Costigliola et al. (2017, Tabla 6, p. 9019); media PERT de los tres puntos con la mezcla de niveles de analista; en HPLC y GC con alistamiento, el 90 % entre 458 y 786 min (Coito et al., 2021, p. 74).</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Preparación del análisis y corrida de HPLC y GC frente a los tiempos promedio de Costigliola et al. (2017, Tabla 6, p. 9019), cuyo procesamiento de datos y corrida de PSA y KF superan la media —y a veces el máximo— de las distribuciones de su Tabla 3 (p. 9016) y no sirven de referencia; media BetaPERT de los tres puntos con la forma λ elegida y la mezcla de niveles de analista; en HPLC y GC con alistamiento, contraste de orden de magnitud con Coito et al. (2021, p. 74), donde el 90 % de los ensayos dura entre 458 y 786 min sin procesamiento de datos ni revisión.</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Indicadores!H12</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56, 37,5 y 40 horas por semana según el turno; 886 horas-analista por semana (diseño del laboratorio, sección 4.2).</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56, 37,5 y 40 horas por semana según el turno; 886 horas-analista por semana (diseño del laboratorio, Tabla 15 y sección 4.2).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Indicadores!H26</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Hoy, 78 de 107 (73 %); los 29 restantes son supuestos con escenarios de sensibilidad.</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Hoy, 78 de 107 (73 %); los 29 restantes son supuestos: los 28 de la hoja Supuestos, con escenarios de sensibilidad, y la elección de los doce métodos (P60).</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Supuestos!C10</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Costigliola et al. (2017, p. 9018): control en proceso ≈2 h en el sistema; materia prima hasta una semana; Tabla 5: 31 h en HPLC para una muestra de prioridad media. WHO (2024, s. 4.15, p. 165) pone como ejemplo de indicador el porcentaje de informes emitidos dentro de plazo, sin fijar plazos.</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Costigliola et al. (2017, p. 9018): control en proceso ≈2 h en el sistema; materia prima, incluso después de una semana; Tabla 5: 31 h en HPLC, que según la fuente pueden representar una muestra de prioridad media. WHO (2024, s. 4.15, p. 165) pone como ejemplo de indicador el porcentaje de informes emitidos dentro de plazo, sin fijar plazos.</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Supuestos!C14</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Costigliola et al. (2017) da el volumen anual (Tabla 4); el laboratorio atiende control en proceso las 24 h, los 7 días, y lo demás de lunes a viernes (p. 9015). La estabilidad se retira en fechas fijas (WHO, 2018, §2.1.6 y §2.2.6).</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Costigliola et al. (2017) da el volumen anual (Tabla 4, p. 9018); el laboratorio atiende control en proceso las 24 h, los 7 días, y lo demás de lunes a viernes (p. 9015). La estabilidad se retira en fechas fijas (WHO, 2018, §2.1.6 y §2.2.6).</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Supuestos!C16</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El anteproyecto (§1.2) y Coito et al. (2021, p. 65) dicen que cada analista está calificado solo para algunos métodos; no hay regla publicada.</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El anteproyecto (§1.2) dice que cada analista está calificado solo para algunos métodos; Coito et al. (2021, p. 65) señalan que analistas y equipos pueden tener competencias únicas, y Martins et al. (2023, p. 191), que los analistas no están entrenados en todos los análisis. No hay regla publicada.</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Supuestos!C21</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Ninguna fuente la reporta. Martins et al. (2023, p. 178): cada lote genera muestras de materia prima, control en proceso, producto terminado y estabilidad. En Costigliola et al. (2017, Tabla 1), el turno de 24 horas que cubre el control en proceso aporta el 35,5 % de las horas-analista, y las horas en que solo trabaja ese turno, el 18,6 %.</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Ninguna fuente la reporta. Martins et al. (2023, p. 178): cada lote genera muestras de materia prima, control en proceso, producto terminado y estabilidad. En Costigliola et al. (2017, Tabla 1, p. 9015), el turno de 24 horas que cubre el control en proceso aporta el 35,5 % de las horas-analista, y las horas-analista de las franjas en que solo trabaja ese turno (de 0:00 a 8:00 entre semana y los fines de semana), el 18,6 %.</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Supuestos!C22</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Cunha et al. (2019, p. 1425): 85 % de las muestras con 1 ensayo, 10 % con 2 y 5 % con 3, sin distinguir tipo. Martins et al. (2023, p. 191) usa DU(1, 3) por tipo de trabajo.</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Cunha et al. (2019, p. 1425): 85 % de las muestras con 1 ensayo, cerca de 10 % con 2 y cerca de 5 % con 3, sin distinguir el origen de la muestra (en Cunha, el número de ensayos define el tipo de trabajo). Martins et al. (2023, p. 191) usa DU(1, 3) por tipo de trabajo.</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Supuestos!C26</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Coito et al. (2021, p. 65): equipos con competencias únicas. Martins et al. (2023, p. 191): solo máquinas específicas pueden hacer ciertos ensayos. Cunha et al. (2019, Tabla 6): elegibilidad de máquinas por tipo de trabajo.</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Coito et al. (2021, p. 65): equipos con competencias únicas. Martins et al. (2023, p. 191): solo máquinas específicas pueden hacer ciertos ensayos. Cunha et al. (2019, Tabla 6, p. 1425): elegibilidad de máquinas por tipo de trabajo.</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Supuestos!C32</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Costigliola et al. (2017, p. 9017, supuesto 1) trata cada pareja muestra/análisis como una entidad; Martins et al. (2023, p. 178): la muestra es un conjunto de viales que permite varios ensayos. Cunha et al. (2019, pp. 1422–1423) la admiten y Martins et al. (2023, p. 185) la impone; en el TLSP es opcional (Mischek y Musliu, 2021, p. 539).</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Costigliola et al. (2017, p. 9017, supuesto 1) trata cada pareja muestra/análisis como una entidad; Martins et al. (2023, p. 178): la muestra suele ser un conjunto de viales que permite varios ensayos. Cunha et al. (2019) admiten que haya o no precedencia (p. 1422), pero su modelo la impone (p. 1423), como Martins et al. (2023, p. 185); en el TLSP es opcional (Mischek y Musliu, 2021, p. 539).</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Parámetros!D13</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Preparación del sistema (soluciones, materiales y montaje del equipo), preparación de la muestra, idoneidad del sistema, análisis y procesamiento de datos</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Preparación del sistema (soluciones y materiales), montaje del equipo, preparación de la muestra en paralelo con la idoneidad del sistema, análisis y procesamiento de datos</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Parámetros!D16</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El analista solo se requiere en tareas específicas; el equipo, durante todo el análisis</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El analista es un recurso secundario que solo se requiere en tareas específicas; en la Fig. 3, el equipo queda ocupado desde el inicio de la idoneidad hasta el fin de la corrida</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Parámetros!D19</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A: 3 operaciones con precedencia (tiempos 3, 2, 1) · B: 2 operaciones (5, 4) · C: 1 operación (1)</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A: 3 operaciones con precedencia (tiempos 3, 2, 1) · B: 2 operaciones con precedencia (5, 4) · C: 1 operación (1)</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Parámetros!D23</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Corrida y número de preparaciones: deterministas, de los informes de métodos · Tareas del analista: distribuciones ajustadas a un estudio de tiempos de un mes</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Corrida: determinista en HPLC y GC (de los informes de métodos) y con distribución en las demás técnicas (Tabla 3) · Número de preparaciones: determinista, de los informes · Tareas del analista: distribuciones ajustadas a un estudio de tiempos de un mes</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Parámetros!D27</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Los expertos sobreestiman: 33 % (preparación del sistema), 36 % (idoneidad), 18 % (preparación de muestra), 2 % (corrida); 20 % en el total</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Los expertos sobreestiman. Al medir, el tiempo baja 33 % (preparación del sistema), 36 % (idoneidad), 18 % (preparación de muestra) y 2 % (corrida), y 20 % en el total; es decir, la estimación experta supera al tiempo medido en 49 %, 56 %, 22 %, 2 % y 25 %</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Parámetros!I28</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Chequeo de rango: % de ensayos simulados dentro de 458–786 min.</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Chequeo de orden de magnitud en HPLC y GC con alistamiento: % de ensayos dentro de 458–786 min; el total de Coito no incluye el procesamiento de datos ni la revisión (Tabla 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Parámetros!D45</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Control en proceso: unas 2 h en el sistema; baja prioridad (p. ej. materia prima): puede procesarse hasta una semana después</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Control en proceso: unas 2 h en el sistema; baja prioridad (p. ej. materia prima): puede procesarse incluso después de una semana</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Parámetros!C51</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Política de cola del laboratorio real</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Política de cola del modelo de Costigliola</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Parámetros!D56</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Diferencia promedio de 1,5 % entre la tasa de uso real y la simulada</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En promedio, la diferencia entre la tasa de uso real y la simulada de los HPLC está dentro del 1,5 %; valores similares en los demás equipos</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Parámetros!D72</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La figura muestra equipos numerados hasta HPLC22: el laboratorio tiene al menos 22 HPLC</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La figura muestra equipos numerados hasta HPLC22: sugiere que el laboratorio tiene al menos 22 HPLC, si la numeración es correlativa</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Parámetros!H78</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 9018, §4 y §4.1</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 9018, §4 y §4.1; Tabla 6, p. 9019</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Tipos de muestra!AB5</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Definición: WHO (2014, p. 85). Baja prioridad: puede procesarse hasta una semana después (Costigliola et al., 2017, p. 9018).</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Definición: WHO (2014, p. 85). Baja prioridad: puede procesarse incluso después de una semana (Costigliola et al., 2017, p. 9018).</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Tipos de muestra!AB8</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Definición: WHO (2014, p. 82). Prioridad media: unas 31 h en el sistema en HPLC (Costigliola et al., 2017, Tabla 5, p. 9018).</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Definición: WHO (2014, p. 82). Unas 31 h en el sistema en HPLC, que según la fuente pueden representar una muestra de prioridad media (Costigliola et al., 2017, Tabla 5, p. 9018).</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Duraciones!A31</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Tiempos promedio por tarea del modelo de Costigliola (Tabla 6, p. 9019) · min · promedio ± desviación entre corridas</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Tiempos promedio por tarea del modelo de Costigliola et al. (2017, Tabla 6, p. 9019) · min · promedio ± desviación (la fuente no explica el ± de esta tabla; en la Tabla 5 es entre corridas, p. 9018)</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Duraciones!A39</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Uso: referencia de validación (los promedios del generador deberían quedar en ese orden de magnitud). Prep. del sistema/análisis = prep. de muestra × n.º de soluciones (p. 9019).</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Uso: referencia de validación para la preparación del análisis y la corrida de HPLC y GC. El procesamiento de datos y la corrida de PSA y KF de esta tabla superan la media (y a veces el máximo) de la Tabla 3, y la fuente no explica por qué. Prep. del sistema/análisis = prep. de muestra × n.º de soluciones (p. 9019).</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Demanda!A12</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Fuente: Costigliola et al. (2017), Tabla 2 (p. 9016) y Tabla 4 (p. 9018, año 2015). Las dos tablas no coinciden exactamente porque vienen de bases distintas; elijan una y decláralo.</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Fuente: Costigliola et al. (2017), Tabla 2 (p. 9016) y Tabla 4 (p. 9018, año 2015). Las dos tablas no coinciden exactamente (hasta 1 punto porcentual) y la fuente no explica por qué: la Tabla 2 sale de la tabla de llegadas del LIMS (p. 9016) y la Tabla 4, de la validación con el año 2015 (p. 9018); elijan una y declárenlo.</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Demanda!C14</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El control en proceso funciona 24/7 (Costigliola, p. 9015).</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El control en proceso funciona 24/7 (Costigliola et al., 2017, p. 9015).</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Contraste estructural!G8</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Promedio 5 mesas y 6 empleados por trabajo</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Promedio 5 mesas y 6 empleados calificados por trabajo</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Fuentes!B9</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Mischek, F., &amp; Musliu, N. (2021). A local search framework for industrial test laboratory scheduling. Annals of Operations Research, 302, 533–562. https://doi.org/10.1007/s10479-021-04007-1</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Mischek, F., &amp; Musliu, N. (2021). A local search framework for industrial test laboratory scheduling. Annals of Operations Research, 302(2), 533–562. https://doi.org/10.1007/s10479-021-04007-1</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Supuestos!B8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Coeficientes de correlación entre complejidad, n.º de soluciones y duración</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Coeficientes de correlación entre complejidad, n.º de soluciones y duración (ρ de Spearman del ruido entre las tareas del analista de una ejecución; hoja Correlaciones)</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Supuestos!C8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Ninguna fuente da coeficientes. Costigliola et al. (2017, p. 9019) da una relación estructural: preparación = tiempo por muestra × n.º de soluciones.</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Ninguna de las fuentes de calibración da coeficientes. Costigliola et al. (2017, p. 9019) da una relación estructural: preparación = tiempo por muestra × n.º de soluciones. Hassi et al. (2025, p. 339), en un proyecto de construcción, usan 0,3 entre actividades parecidas que comparten riesgos comunes (por ejemplo, requisitos de mano de obra similares), 0,4 entre las que dependen de recursos compartidos (como la disponibilidad de equipos) y 0,5 entre las que dependen del clima, sin decir de dónde salen esos valores.</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Supuestos!F8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Usar la relación estructural de Costigliola como dependencia principal y el coeficiente solo para el ruido; citar a Hassi et al. (2025), que usan factores de correlación en Monte Carlo con estimaciones de tres puntos (anteproyecto, §5.2).</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La relación estructural de Costigliola es la dependencia principal y entra por construcción en t_preparacion; el coeficiente es solo para el ruido: la correlación de rangos entre las cuatro tareas del analista de una ejecución, que las hace el mismo analista. La idoneidad y la corrida, que son del equipo, quedan independientes (hoja Correlaciones). Citar a Hassi et al. (2025), que usan factores de correlación en Monte Carlo con estimaciones de tres puntos (anteproyecto, §5.2).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Indicadores!D23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Correlación de rangos entre complejidad, número de soluciones, preparación y duración.</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Correlación de rangos (Spearman) entre las seis tareas dentro de cada grupo de registros terminados (resultado distinto de «interrumpido») con el mismo método, número de soluciones, nivel del analista e idoneidad ejecutada, promediada con el número de registros de cada grupo (se omiten las tareas fijas en el grupo y los grupos de menos de 10 registros; duraciones sin redondear), frente a la que se espera con la matriz objetivo de la hoja Correlaciones y el tamaño de cada grupo; y correlación de rangos entre complejidad, número de soluciones, preparación y duración, en todo el dataset y dentro de cada técnica (correlacion.indicador_v2).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Indicadores!E23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complejidad, n_soluciones, duracion_simulada, t_preparacion</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metodo, resultado, tecnica, complejidad, n_soluciones, nivel_analista, idoneidad_ejecutada, duracion_simulada, t_prep_sistema, t_idoneidad, t_preparacion, t_montaje, t_corrida, t_procesamiento</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Indicadores!F23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Hoja Supuestos (S04)</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Hojas Correlaciones y Supuestos (S04)</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Indicadores!H23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ρ = 0,5 propuesto, con sensibilidad de 0,3 y 0,7 (S04); preparación = tiempo por solución × número de soluciones (Costigliola et al., 2017, p. 9019).</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Tareas: en cada par, la diferencia entre la correlación obtenida y la esperada queda dentro de cinco errores estándar, calculados con la varianza de la correlación de rangos de n pares independientes, 1/(n − 1), que es exacta en los pares independientes y mayor que la real en los correlacionados (Xu et al., 2010). La esperada sale de la matriz objetivo —ρ = 0,5 entre las tareas del analista (S04, con sensibilidad de 0,3 y 0,7) y 0 con la idoneidad y la corrida— y del tamaño de cada grupo, porque con pocos registros la correlación de rangos sale más cerca de cero (Moran, 1948). Un par que se sale de su tolerancia no cumple; uno que cabe en ella pero no tiene registros para ver una correlación del tamaño de la de S04 (0,3 si la objetivo es cero) el 97,7 % de las veces, o que no tiene grupos de al menos 10 registros, queda sin datos suficientes, y entonces V2 no se da por cumplido (correlacion.veredicto_v2). Estructura: se reporta sin criterio de aceptación; en la mezcla de demanda con un solo nivel de analista y ρ = 0,5 (cuaderno 02), dentro de cada técnica, complejidad–número de soluciones 0,82, número de soluciones–preparación 0,72 y complejidad–duración 0,71, y en todo el dataset, complejidad–duración −0,06.</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Diccionario!L20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T5, V1</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T5, V1, 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Diccionario!L29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H2</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H2, 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Diccionario!L32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T4, M3</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T4, M3, V2</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Léeme!B5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 (lista completa) · Duraciones (tres puntos por técnica y tarea, con media y desviación PERT) · Demanda (mezcla, volumen y escenarios de carga) · Catálogo (12 métodos: complejidad, soluciones, calificación mínima, participación, corrida, reanálisis y tipos de muestra) · Calibración del catálogo (cómo salen esas columnas de las fuentes) · Tipos de muestra (5 tipos: proporción, llegadas, plazo, prioridad, urgentes y probabilidad de cada método) · Calibración de tipos (cómo se reparte cada método entre los tipos sin cambiar la mezcla de técnicas) · Equipos (10 configuraciones: cantidad y compatibilidad con cada método) · Analistas (20 analistas: turno, nivel, área y matriz de calificación) · Calibración de recursos (horas de equipo, cobertura y chequeos) · Turnos (horario de cada código de turno) · Rotación (calendario de 6 semanas por analista) · Mantenimiento (ventanas planificadas y fallas por configuración) · Calibración de turnos (rotación, horas, analistas por franja y fallas) · Diccionario (51 campos del registro: tipo, unidad, valores, cuándo se conoce, papel en el O2, regla que los verifica e indicadores que alimentan) · Indicadores (los 22 indicadores del sistema de variables: cálculo, campos y criterio) · Supuestos (lo que no está en las fuentes y deben decidir) · Contraste estructural (para el bloque del 1 de noviembre) · Fuentes (APA 7).</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Parámetros (lista completa) · Duraciones (tres puntos por técnica y tarea, con media y desviación PERT) · Demanda (mezcla, volumen y escenarios de carga) · Catálogo (12 métodos: complejidad, soluciones, calificación mínima, participación, corrida, reanálisis y tipos de muestra) · Calibración del catálogo (cómo salen esas columnas de las fuentes) · Tipos de muestra (5 tipos: proporción, llegadas, plazo, prioridad, urgentes y probabilidad de cada método) · Calibración de tipos (cómo se reparte cada método entre los tipos sin cambiar la mezcla de técnicas) · Equipos (10 configuraciones: cantidad y compatibilidad con cada método) · Analistas (20 analistas: turno, nivel, área y matriz de calificación) · Calibración de recursos (horas de equipo, cobertura y chequeos) · Turnos (horario de cada código de turno) · Rotación (calendario de 6 semanas por analista) · Mantenimiento (ventanas planificadas y fallas por configuración) · Calibración de turnos (rotación, horas, analistas por franja y fallas) · Diccionario (51 campos del registro: tipo, unidad, valores, cuándo se conoce, papel en el O2, regla que los verifica e indicadores que alimentan) · Indicadores (los 22 indicadores del sistema de variables: cálculo, campos y criterio) · Correlaciones (correlación objetivo entre las tareas de un ensayo y de dónde sale cada una) · Supuestos (lo que no está en las fuentes y deben decidir) · Contraste estructural (para el bloque del 1 de noviembre) · Fuentes (APA 7).</w:t>
            </w:r>
          </w:p>
        </w:tc>
      </w:tr>
      <w:tr>
        <w:trPr>
          <w:cantSplit/>
        </w:trPr>
        <w:tc>
          <w:tcPr>
            <w:tcW w:type="dxa" w:w="1369"/>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Fuentes!A2 · correlación</w:t>
            </w:r>
          </w:p>
        </w:tc>
        <w:tc>
          <w:tcPr>
            <w:tcW w:type="dxa" w:w="3593"/>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Las cinco fuentes de calibración y contraste citadas en el anteproyecto, más las referencias normativas y de método del catálogo y de los tipos de muestra.</w:t>
            </w:r>
          </w:p>
        </w:tc>
        <w:tc>
          <w:tcPr>
            <w:tcW w:type="dxa" w:w="3592"/>
            <w:tcBorders>
              <w:top w:val="single" w:color="999999" w:sz="4"/>
              <w:left w:val="none" w:color="FFFFFF" w:sz="0"/>
              <w:bottom w:val="single" w:color="999999" w:sz="4"/>
              <w:right w:val="none" w:color="FFFFFF" w:sz="0"/>
            </w:tcBorders>
            <w:tcMar>
              <w:top w:type="dxa" w:w="50"/>
              <w:left w:type="dxa" w:w="80"/>
              <w:bottom w:type="dxa" w:w="50"/>
              <w:right w:type="dxa" w:w="80"/>
            </w:tcMar>
          </w:tcPr>
          <w:p>
            <w:pPr>
              <w:spacing w:after="0" w:line="252"/>
            </w:pPr>
            <w:r>
              <w:rPr>
                <w:rFonts w:ascii="Times New Roman" w:cs="Times New Roman" w:eastAsia="Times New Roman" w:hAnsi="Times New Roman"/>
                <w:sz w:val="16"/>
                <w:szCs w:val="16"/>
              </w:rPr>
              <w:t xml:space="preserve">Las cinco fuentes de calibración y contraste citadas en el anteproyecto, más las referencias normativas y de método del catálogo, de los tipos de muestra y de los factores de correlación.</w:t>
            </w:r>
          </w:p>
        </w:tc>
      </w:tr>
    </w:tbl>
    <w:sectPr>
      <w:footerReference w:type="default" r:id="rId6"/>
      <w:pgSz w:w="12240" w:h="15840" w:orient="portrait"/>
      <w:pgMar w:top="1418" w:right="1418" w:bottom="1418" w:left="226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777777"/>
        <w:sz w:val="18"/>
        <w:szCs w:val="18"/>
      </w:rPr>
      <w:t xml:space="preserve">Guía de revisión · página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revisión de la carpeta temporal</dc:title>
  <dc:creator>Claude</dc:creator>
  <cp:lastModifiedBy>Un-named</cp:lastModifiedBy>
  <cp:revision>1</cp:revision>
  <dcterms:created xsi:type="dcterms:W3CDTF">2026-10-29T07:55:54.896Z</dcterms:created>
  <dcterms:modified xsi:type="dcterms:W3CDTF">2026-10-29T07:55:54.896Z</dcterms:modified>
</cp:coreProperties>
</file>

<file path=docProps/custom.xml><?xml version="1.0" encoding="utf-8"?>
<Properties xmlns="http://schemas.openxmlformats.org/officeDocument/2006/custom-properties" xmlns:vt="http://schemas.openxmlformats.org/officeDocument/2006/docPropsVTypes"/>
</file>