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Guía para Aldair</w:t>
      </w:r>
    </w:p>
    <w:p>
      <w:pPr>
        <w:spacing w:after="60"/>
        <w:jc w:val="center"/>
      </w:pPr>
      <w:r>
        <w:rPr>
          <w:rFonts w:ascii="Times New Roman" w:cs="Times New Roman" w:eastAsia="Times New Roman" w:hAnsi="Times New Roman"/>
          <w:i/>
          <w:iCs/>
          <w:sz w:val="24"/>
          <w:szCs w:val="24"/>
        </w:rPr>
        <w:t xml:space="preserve">Marco metodológico y tabla de trazabilidad: bloques del martes 27 y del jueves 29 de octubre</w:t>
      </w:r>
    </w:p>
    <w:p>
      <w:pPr>
        <w:pBdr>
          <w:bottom w:val="single" w:color="999999" w:sz="4" w:space="8"/>
        </w:pBdr>
        <w:spacing w:after="240"/>
        <w:jc w:val="center"/>
      </w:pPr>
      <w:r>
        <w:rPr>
          <w:rFonts w:ascii="Times New Roman" w:cs="Times New Roman" w:eastAsia="Times New Roman" w:hAnsi="Times New Roman"/>
          <w:color w:val="555555"/>
          <w:sz w:val="22"/>
          <w:szCs w:val="22"/>
        </w:rPr>
        <w:t xml:space="preserve">Para la reunión de Carlos y Aldair · 29 de octubre de 2026</w:t>
      </w:r>
    </w:p>
    <w:p>
      <w:pPr>
        <w:spacing w:after="120" w:line="288"/>
      </w:pPr>
      <w:r>
        <w:rPr>
          <w:rFonts w:ascii="Times New Roman" w:cs="Times New Roman" w:eastAsia="Times New Roman" w:hAnsi="Times New Roman"/>
          <w:sz w:val="24"/>
          <w:szCs w:val="24"/>
        </w:rPr>
        <w:t xml:space="preserve">Esta guía es para la reunión de hoy. Dice qué te toca en los dos bloques de esta semana, que en el plan son «Metodología · Marco metodológico (1/2)» y «Metodología · Trazabilidad + marco metodológico (2/2)», y de dónde sale cada parte. El marco metodológico describe un trabajo que en buena parte ya está hecho: el laboratorio de referencia, el registro del dataset y los dos primeros bloques del generador del O1 están documentados en laboratorio/docs, y cada parámetro tiene su fuente en el Excel. No hay que inventar nada: hay que contarlo en la tesis, con su formato y con sus citas.</w:t>
      </w:r>
    </w:p>
    <w:p>
      <w:pPr>
        <w:pStyle w:val="Heading1"/>
        <w:keepNext/>
        <w:spacing w:after="120" w:before="280"/>
      </w:pPr>
      <w:r>
        <w:rPr>
          <w:rFonts w:ascii="Times New Roman" w:cs="Times New Roman" w:eastAsia="Times New Roman" w:hAnsi="Times New Roman"/>
          <w:b/>
          <w:bCs/>
          <w:sz w:val="28"/>
          <w:szCs w:val="28"/>
        </w:rPr>
        <w:t xml:space="preserve">1. Qué tiene que quedar listo</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2224"/>
        <w:gridCol w:w="3764"/>
        <w:gridCol w:w="2566"/>
      </w:tblGrid>
      <w:tr>
        <w:trPr>
          <w:tblHeader/>
        </w:trPr>
        <w:tc>
          <w:tcPr>
            <w:tcW w:type="dxa" w:w="2224"/>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20"/>
                <w:szCs w:val="20"/>
              </w:rPr>
              <w:t xml:space="preserve">Qué</w:t>
            </w:r>
          </w:p>
        </w:tc>
        <w:tc>
          <w:tcPr>
            <w:tcW w:type="dxa" w:w="3764"/>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20"/>
                <w:szCs w:val="20"/>
              </w:rPr>
              <w:t xml:space="preserve">Dónde</w:t>
            </w:r>
          </w:p>
        </w:tc>
        <w:tc>
          <w:tcPr>
            <w:tcW w:type="dxa" w:w="2566"/>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20"/>
                <w:szCs w:val="20"/>
              </w:rPr>
              <w:t xml:space="preserve">Para cuándo</w:t>
            </w:r>
          </w:p>
        </w:tc>
      </w:tr>
      <w:tr>
        <w:trPr>
          <w:cantSplit/>
        </w:trPr>
        <w:tc>
          <w:tcPr>
            <w:tcW w:type="dxa" w:w="222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El marco metodológico completo, en borrador</w:t>
            </w:r>
          </w:p>
        </w:tc>
        <w:tc>
          <w:tcPr>
            <w:tcW w:type="dxa" w:w="376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Capítulo MARCO METODOLÓGICO de docs/tesis/Trabajo_de_grado.docx, en lugar del texto resaltado «[Pendiente · Aldair, 27 y 29 de octubre]»</w:t>
            </w:r>
          </w:p>
        </w:tc>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Hoy, al final del bloque. Carlos lo revisa el lunes 2 de noviembre y tú lo ajustas el martes 3.</w:t>
            </w:r>
          </w:p>
        </w:tc>
      </w:tr>
      <w:tr>
        <w:trPr>
          <w:cantSplit/>
        </w:trPr>
        <w:tc>
          <w:tcPr>
            <w:tcW w:type="dxa" w:w="222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Anexo B. Tabla de trazabilidad de parámetros</w:t>
            </w:r>
          </w:p>
        </w:tc>
        <w:tc>
          <w:tcPr>
            <w:tcW w:type="dxa" w:w="376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Sección ANEXOS del mismo documento</w:t>
            </w:r>
          </w:p>
        </w:tc>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Hoy: el plan la pone el 29 de octubre.</w:t>
            </w:r>
          </w:p>
        </w:tc>
      </w:tr>
      <w:tr>
        <w:trPr>
          <w:cantSplit/>
        </w:trPr>
        <w:tc>
          <w:tcPr>
            <w:tcW w:type="dxa" w:w="222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Tus dudas para Bravo</w:t>
            </w:r>
          </w:p>
        </w:tc>
        <w:tc>
          <w:tcPr>
            <w:tcW w:type="dxa" w:w="3764"/>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docs/Bitacora_asesorias.docx, en la asesoría #1</w:t>
            </w:r>
          </w:p>
        </w:tc>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Antes del martes 3 de noviembre.</w:t>
            </w:r>
          </w:p>
        </w:tc>
      </w:tr>
    </w:tbl>
    <w:p>
      <w:pPr>
        <w:spacing w:after="60"/>
      </w:pPr>
    </w:p>
    <w:p>
      <w:pPr>
        <w:spacing w:after="120" w:line="288"/>
      </w:pPr>
      <w:r>
        <w:rPr>
          <w:rFonts w:ascii="Times New Roman" w:cs="Times New Roman" w:eastAsia="Times New Roman" w:hAnsi="Times New Roman"/>
          <w:sz w:val="24"/>
          <w:szCs w:val="24"/>
        </w:rPr>
        <w:t xml:space="preserve">La asesoría #1 es el miércoles 4 de noviembre, de 8:00 a 8:30 p. m., y el plan pide llevar el borrador de metodología. Si hoy no alcanza para todo, lo que no puede faltar es la estructura completa del capítulo, con lo esencial de cada apartado, y la tabla de trazabilidad; el detalle se completa el martes 3.</w:t>
      </w:r>
    </w:p>
    <w:p>
      <w:pPr>
        <w:pStyle w:val="Heading1"/>
        <w:keepNext/>
        <w:spacing w:after="120" w:before="280"/>
      </w:pPr>
      <w:r>
        <w:rPr>
          <w:rFonts w:ascii="Times New Roman" w:cs="Times New Roman" w:eastAsia="Times New Roman" w:hAnsi="Times New Roman"/>
          <w:b/>
          <w:bCs/>
          <w:sz w:val="28"/>
          <w:szCs w:val="28"/>
        </w:rPr>
        <w:t xml:space="preserve">2. Antes de empezar</w:t>
      </w:r>
    </w:p>
    <w:p>
      <w:pPr>
        <w:pStyle w:val="ListParagraph"/>
        <w:numPr>
          <w:ilvl w:val="0"/>
          <w:numId w:val="2"/>
        </w:numPr>
        <w:spacing w:after="80" w:line="276"/>
      </w:pPr>
      <w:r>
        <w:rPr>
          <w:rFonts w:ascii="Times New Roman" w:cs="Times New Roman" w:eastAsia="Times New Roman" w:hAnsi="Times New Roman"/>
          <w:sz w:val="24"/>
          <w:szCs w:val="24"/>
        </w:rPr>
        <w:t xml:space="preserve">Haz git pull. Carlos sube hoy el O1 actualizado: los tres documentos en limpio, el Excel con la hoja «Correlaciones» (21 hojas) y el código con sus 114 pruebas. Si después del pull el Excel no tiene esa hoja, avísale antes de seguir.</w:t>
      </w:r>
    </w:p>
    <w:p>
      <w:pPr>
        <w:pStyle w:val="ListParagraph"/>
        <w:numPr>
          <w:ilvl w:val="0"/>
          <w:numId w:val="2"/>
        </w:numPr>
        <w:spacing w:after="80" w:line="276"/>
      </w:pPr>
      <w:r>
        <w:rPr>
          <w:rFonts w:ascii="Times New Roman" w:cs="Times New Roman" w:eastAsia="Times New Roman" w:hAnsi="Times New Roman"/>
          <w:sz w:val="24"/>
          <w:szCs w:val="24"/>
        </w:rPr>
        <w:t xml:space="preserve">El documento de tesis es un Word, y git no combina los cambios que dos personas hacen en un Word. Ábrelo solo después del pull, haz push apenas lo cierres y avísale a Carlos. Lo mismo vale para la bitácora y para el Excel.</w:t>
      </w:r>
    </w:p>
    <w:p>
      <w:pPr>
        <w:pStyle w:val="ListParagraph"/>
        <w:numPr>
          <w:ilvl w:val="0"/>
          <w:numId w:val="2"/>
        </w:numPr>
        <w:spacing w:after="80" w:line="276"/>
      </w:pPr>
      <w:r>
        <w:rPr>
          <w:rFonts w:ascii="Times New Roman" w:cs="Times New Roman" w:eastAsia="Times New Roman" w:hAnsi="Times New Roman"/>
          <w:sz w:val="24"/>
          <w:szCs w:val="24"/>
        </w:rPr>
        <w:t xml:space="preserve">Lee esto primero (unos 40 minutos). No hace falta leer todo el O1:</w:t>
      </w:r>
    </w:p>
    <w:p>
      <w:pPr>
        <w:pStyle w:val="ListParagraph"/>
        <w:numPr>
          <w:ilvl w:val="0"/>
          <w:numId w:val="3"/>
        </w:numPr>
        <w:spacing w:after="60" w:line="276"/>
      </w:pPr>
      <w:r>
        <w:rPr>
          <w:rFonts w:ascii="Times New Roman" w:cs="Times New Roman" w:eastAsia="Times New Roman" w:hAnsi="Times New Roman"/>
          <w:sz w:val="24"/>
          <w:szCs w:val="24"/>
        </w:rPr>
        <w:t xml:space="preserve">Diseño del laboratorio de referencia: la introducción y las secciones 1.1, 2.1, 3.1, 3.2 y 4.1. Ahí está el caso de estudio: 12 métodos de seis técnicas, cinco tipos de muestra, 70 equipos y 20 analistas en tres turnos.</w:t>
      </w:r>
    </w:p>
    <w:p>
      <w:pPr>
        <w:pStyle w:val="ListParagraph"/>
        <w:numPr>
          <w:ilvl w:val="0"/>
          <w:numId w:val="3"/>
        </w:numPr>
        <w:spacing w:after="60" w:line="276"/>
      </w:pPr>
      <w:r>
        <w:rPr>
          <w:rFonts w:ascii="Times New Roman" w:cs="Times New Roman" w:eastAsia="Times New Roman" w:hAnsi="Times New Roman"/>
          <w:sz w:val="24"/>
          <w:szCs w:val="24"/>
        </w:rPr>
        <w:t xml:space="preserve">Diccionario de datos: las secciones 1.1, 1.5 y 1.6 (qué es un registro, la unidad en las fuentes y el tamaño esperado) y la 3.1, con la Tabla 15, que dice cómo se calcula cada indicador del sistema de variables.</w:t>
      </w:r>
    </w:p>
    <w:p>
      <w:pPr>
        <w:pStyle w:val="ListParagraph"/>
        <w:numPr>
          <w:ilvl w:val="0"/>
          <w:numId w:val="3"/>
        </w:numPr>
        <w:spacing w:after="60" w:line="276"/>
      </w:pPr>
      <w:r>
        <w:rPr>
          <w:rFonts w:ascii="Times New Roman" w:cs="Times New Roman" w:eastAsia="Times New Roman" w:hAnsi="Times New Roman"/>
          <w:sz w:val="24"/>
          <w:szCs w:val="24"/>
        </w:rPr>
        <w:t xml:space="preserve">Generador de datos: la introducción y las secciones 1.1, 1.2, 2.1 y 2.2 (la BetaPERT, la forma λ, qué se correlaciona y cómo se induce).</w:t>
      </w:r>
    </w:p>
    <w:p>
      <w:pPr>
        <w:pStyle w:val="ListParagraph"/>
        <w:numPr>
          <w:ilvl w:val="0"/>
          <w:numId w:val="3"/>
        </w:numPr>
        <w:spacing w:after="60" w:line="276"/>
      </w:pPr>
      <w:r>
        <w:rPr>
          <w:rFonts w:ascii="Times New Roman" w:cs="Times New Roman" w:eastAsia="Times New Roman" w:hAnsi="Times New Roman"/>
          <w:sz w:val="24"/>
          <w:szCs w:val="24"/>
        </w:rPr>
        <w:t xml:space="preserve">En el Excel de parámetros (datos/parametros/Parametros_generador_tesis.xlsx), la hoja «Léeme» y las hojas «Parámetros», «Supuestos» y «Fuentes».</w:t>
      </w:r>
    </w:p>
    <w:p>
      <w:pPr>
        <w:pStyle w:val="ListParagraph"/>
        <w:numPr>
          <w:ilvl w:val="0"/>
          <w:numId w:val="3"/>
        </w:numPr>
        <w:spacing w:after="60" w:line="276"/>
      </w:pPr>
      <w:r>
        <w:rPr>
          <w:rFonts w:ascii="Times New Roman" w:cs="Times New Roman" w:eastAsia="Times New Roman" w:hAnsi="Times New Roman"/>
          <w:sz w:val="24"/>
          <w:szCs w:val="24"/>
        </w:rPr>
        <w:t xml:space="preserve">El README del repositorio, en la parte de «Avance», para ver qué está listo y qué falta.</w:t>
      </w:r>
    </w:p>
    <w:p>
      <w:pPr>
        <w:pStyle w:val="Heading1"/>
        <w:keepNext/>
        <w:spacing w:after="120" w:before="280"/>
      </w:pPr>
      <w:r>
        <w:rPr>
          <w:rFonts w:ascii="Times New Roman" w:cs="Times New Roman" w:eastAsia="Times New Roman" w:hAnsi="Times New Roman"/>
          <w:b/>
          <w:bCs/>
          <w:sz w:val="28"/>
          <w:szCs w:val="28"/>
        </w:rPr>
        <w:t xml:space="preserve">3. Bloque del martes: marco metodológico (1/2)</w:t>
      </w:r>
    </w:p>
    <w:p>
      <w:pPr>
        <w:spacing w:after="120" w:line="288"/>
      </w:pPr>
      <w:r>
        <w:rPr>
          <w:rFonts w:ascii="Times New Roman" w:cs="Times New Roman" w:eastAsia="Times New Roman" w:hAnsi="Times New Roman"/>
          <w:sz w:val="24"/>
          <w:szCs w:val="24"/>
        </w:rPr>
        <w:t xml:space="preserve">El texto pendiente del documento ya trae el orden del capítulo. Te propongo seis apartados, con la numeración del documento: enfoque, tipo y diseño; unidad de análisis y población; técnicas e instrumentos; procedimiento por fases; plan de análisis, y consideraciones éticas y legales. Los tres primeros van en este bloque.</w:t>
      </w:r>
    </w:p>
    <w:p>
      <w:pPr>
        <w:pStyle w:val="Heading2"/>
        <w:keepNext/>
        <w:spacing w:after="80" w:before="200"/>
      </w:pPr>
      <w:r>
        <w:rPr>
          <w:rFonts w:ascii="Times New Roman" w:cs="Times New Roman" w:eastAsia="Times New Roman" w:hAnsi="Times New Roman"/>
          <w:b/>
          <w:bCs/>
          <w:sz w:val="24"/>
          <w:szCs w:val="24"/>
        </w:rPr>
        <w:t xml:space="preserve">Enfoque, tipo y diseño de la investigación</w:t>
      </w:r>
    </w:p>
    <w:p>
      <w:pPr>
        <w:pStyle w:val="ListParagraph"/>
        <w:numPr>
          <w:ilvl w:val="0"/>
          <w:numId w:val="3"/>
        </w:numPr>
        <w:spacing w:after="60" w:line="276"/>
      </w:pPr>
      <w:r>
        <w:rPr>
          <w:rFonts w:ascii="Times New Roman" w:cs="Times New Roman" w:eastAsia="Times New Roman" w:hAnsi="Times New Roman"/>
          <w:sz w:val="24"/>
          <w:szCs w:val="24"/>
        </w:rPr>
        <w:t xml:space="preserve">Enfoque cuantitativo: todo lo que se evalúa se mide con números, desde los 22 indicadores del sistema de variables hasta las métricas de los modelos del O2 y los indicadores de eficiencia del O3.</w:t>
      </w:r>
    </w:p>
    <w:p>
      <w:pPr>
        <w:pStyle w:val="ListParagraph"/>
        <w:numPr>
          <w:ilvl w:val="0"/>
          <w:numId w:val="3"/>
        </w:numPr>
        <w:spacing w:after="60" w:line="276"/>
      </w:pPr>
      <w:r>
        <w:rPr>
          <w:rFonts w:ascii="Times New Roman" w:cs="Times New Roman" w:eastAsia="Times New Roman" w:hAnsi="Times New Roman"/>
          <w:sz w:val="24"/>
          <w:szCs w:val="24"/>
        </w:rPr>
        <w:t xml:space="preserve">Tipo y diseño: tienen que cuadrar con lo que ya dice el anteproyecto, que define un objetivo y una variable de diagnóstico en el sistema de variables y entrega un prototipo. Revisa qué tipología pide la maestría (la guía de trabajos de grado o el formato del anteproyecto) y cita al autor que la propone. Si no está claro, es una de las preguntas para Bravo.</w:t>
      </w:r>
    </w:p>
    <w:p>
      <w:pPr>
        <w:pStyle w:val="ListParagraph"/>
        <w:numPr>
          <w:ilvl w:val="0"/>
          <w:numId w:val="3"/>
        </w:numPr>
        <w:spacing w:after="60" w:line="276"/>
      </w:pPr>
      <w:r>
        <w:rPr>
          <w:rFonts w:ascii="Times New Roman" w:cs="Times New Roman" w:eastAsia="Times New Roman" w:hAnsi="Times New Roman"/>
          <w:sz w:val="24"/>
          <w:szCs w:val="24"/>
        </w:rPr>
        <w:t xml:space="preserve">Lo que ya está decidido y hay que decir: no hay trabajo de campo ni datos de una empresa (anteproyecto, 1.4); los datos se generan por simulación, y en el O2 y el O3 las alternativas se comparan en condiciones controladas, con los mismos escenarios y las mismas semillas para todas (Alcance y limitaciones, III).</w:t>
      </w:r>
    </w:p>
    <w:p>
      <w:pPr>
        <w:pStyle w:val="Heading2"/>
        <w:keepNext/>
        <w:spacing w:after="80" w:before="200"/>
      </w:pPr>
      <w:r>
        <w:rPr>
          <w:rFonts w:ascii="Times New Roman" w:cs="Times New Roman" w:eastAsia="Times New Roman" w:hAnsi="Times New Roman"/>
          <w:b/>
          <w:bCs/>
          <w:sz w:val="24"/>
          <w:szCs w:val="24"/>
        </w:rPr>
        <w:t xml:space="preserve">Unidad de análisis y población</w:t>
      </w:r>
    </w:p>
    <w:p>
      <w:pPr>
        <w:pStyle w:val="ListParagraph"/>
        <w:numPr>
          <w:ilvl w:val="0"/>
          <w:numId w:val="3"/>
        </w:numPr>
        <w:spacing w:after="60" w:line="276"/>
      </w:pPr>
      <w:r>
        <w:rPr>
          <w:rFonts w:ascii="Times New Roman" w:cs="Times New Roman" w:eastAsia="Times New Roman" w:hAnsi="Times New Roman"/>
          <w:sz w:val="24"/>
          <w:szCs w:val="24"/>
        </w:rPr>
        <w:t xml:space="preserve">Unidad de análisis: la actividad analítica individual, es decir, un ensayo sobre una muestra (anteproyecto, 1.4). En el dataset, cada registro es una ejecución de un ensayo sobre una muestra; si el ensayo se repite, por un reanálisis o por una falla del equipo, la repetición es un registro nuevo (diccionario de datos, 1.1 y 1.2; supuesto S27).</w:t>
      </w:r>
    </w:p>
    <w:p>
      <w:pPr>
        <w:pStyle w:val="ListParagraph"/>
        <w:numPr>
          <w:ilvl w:val="0"/>
          <w:numId w:val="3"/>
        </w:numPr>
        <w:spacing w:after="60" w:line="276"/>
      </w:pPr>
      <w:r>
        <w:rPr>
          <w:rFonts w:ascii="Times New Roman" w:cs="Times New Roman" w:eastAsia="Times New Roman" w:hAnsi="Times New Roman"/>
          <w:sz w:val="24"/>
          <w:szCs w:val="24"/>
        </w:rPr>
        <w:t xml:space="preserve">Población: no hay una población real de la cual sacar una muestra. Lo que se estudia es el conjunto de instancias que el generador puede producir para el laboratorio de referencia. Cada corrida es un escenario de carga (baja, base o alta: 0,7, 1 y 1,5 veces la demanda base) con una semilla, y el dataset es un conjunto de corridas.</w:t>
      </w:r>
    </w:p>
    <w:p>
      <w:pPr>
        <w:pStyle w:val="ListParagraph"/>
        <w:numPr>
          <w:ilvl w:val="0"/>
          <w:numId w:val="3"/>
        </w:numPr>
        <w:spacing w:after="60" w:line="276"/>
      </w:pPr>
      <w:r>
        <w:rPr>
          <w:rFonts w:ascii="Times New Roman" w:cs="Times New Roman" w:eastAsia="Times New Roman" w:hAnsi="Times New Roman"/>
          <w:sz w:val="24"/>
          <w:szCs w:val="24"/>
        </w:rPr>
        <w:t xml:space="preserve">Tamaño: en el escenario base, el laboratorio recibe 12 769 muestras y 15 323 ensayos al año (Costigliola et al., 2017, Tabla 4, p. 9018; Cunha et al., 2019, p. 1425), unos 15 600 registros con los reanálisis (diccionario de datos, 1.6). Cuántas corridas y cuánto tiempo simulado tendrá el dataset v1 se decide con la validación del 31 de octubre: todavía no pongas un número.</w:t>
      </w:r>
    </w:p>
    <w:p>
      <w:pPr>
        <w:pStyle w:val="ListParagraph"/>
        <w:numPr>
          <w:ilvl w:val="0"/>
          <w:numId w:val="3"/>
        </w:numPr>
        <w:spacing w:after="60" w:line="276"/>
      </w:pPr>
      <w:r>
        <w:rPr>
          <w:rFonts w:ascii="Times New Roman" w:cs="Times New Roman" w:eastAsia="Times New Roman" w:hAnsi="Times New Roman"/>
          <w:sz w:val="24"/>
          <w:szCs w:val="24"/>
        </w:rPr>
        <w:t xml:space="preserve">Caso de estudio: el laboratorio de referencia del diseño (secciones 1 a 4), con las seis técnicas que modelan Costigliola et al. (2017, p. 9015): HPLC, GC, PSA, KF, DSC y XRPD. Para el contraste estructural se usan las instancias públicas del Test Laboratory Scheduling Problem (Mischek y Musliu, 2021) y las de Martins et al. (2023), como dice el anteproyecto en 1.4.</w:t>
      </w:r>
    </w:p>
    <w:p>
      <w:pPr>
        <w:pStyle w:val="Heading2"/>
        <w:keepNext/>
        <w:spacing w:after="80" w:before="200"/>
      </w:pPr>
      <w:r>
        <w:rPr>
          <w:rFonts w:ascii="Times New Roman" w:cs="Times New Roman" w:eastAsia="Times New Roman" w:hAnsi="Times New Roman"/>
          <w:b/>
          <w:bCs/>
          <w:sz w:val="24"/>
          <w:szCs w:val="24"/>
        </w:rPr>
        <w:t xml:space="preserve">Técnicas e instrumentos</w:t>
      </w:r>
    </w:p>
    <w:p>
      <w:pPr>
        <w:pStyle w:val="ListParagraph"/>
        <w:numPr>
          <w:ilvl w:val="0"/>
          <w:numId w:val="3"/>
        </w:numPr>
        <w:spacing w:after="60" w:line="276"/>
      </w:pPr>
      <w:r>
        <w:rPr>
          <w:rFonts w:ascii="Times New Roman" w:cs="Times New Roman" w:eastAsia="Times New Roman" w:hAnsi="Times New Roman"/>
          <w:sz w:val="24"/>
          <w:szCs w:val="24"/>
        </w:rPr>
        <w:t xml:space="preserve">Simulación de Monte Carlo (O1). Cada tarea de un ensayo tiene tres puntos (optimista, más probable y pesimista), que salen de Costigliola et al. (2017, Tabla 3, p. 9016), y se muestrea con una BetaPERT (generador, sección 1). Las tareas que hace el mismo analista se correlacionan con una cópula gaussiana (generador, 2.2; Clemen y Reilly, 1999).</w:t>
      </w:r>
    </w:p>
    <w:p>
      <w:pPr>
        <w:pStyle w:val="ListParagraph"/>
        <w:numPr>
          <w:ilvl w:val="0"/>
          <w:numId w:val="3"/>
        </w:numPr>
        <w:spacing w:after="60" w:line="276"/>
      </w:pPr>
      <w:r>
        <w:rPr>
          <w:rFonts w:ascii="Times New Roman" w:cs="Times New Roman" w:eastAsia="Times New Roman" w:hAnsi="Times New Roman"/>
          <w:sz w:val="24"/>
          <w:szCs w:val="24"/>
        </w:rPr>
        <w:t xml:space="preserve">Aprendizaje supervisado (O2). Se comparan modelos de regresión para la duración de cada ensayo: Ridge, Lasso, KNN, Random Forest, Gradient Boosting, SVR y una red neuronal (MLP), con MAE, RMSE, MAPE y R² y un protocolo de validación que se define el 4 de noviembre. La referencia es el MAPE de 15,47 % de Elbasheer et al. (2025).</w:t>
      </w:r>
    </w:p>
    <w:p>
      <w:pPr>
        <w:pStyle w:val="ListParagraph"/>
        <w:numPr>
          <w:ilvl w:val="0"/>
          <w:numId w:val="3"/>
        </w:numPr>
        <w:spacing w:after="60" w:line="276"/>
      </w:pPr>
      <w:r>
        <w:rPr>
          <w:rFonts w:ascii="Times New Roman" w:cs="Times New Roman" w:eastAsia="Times New Roman" w:hAnsi="Times New Roman"/>
          <w:sz w:val="24"/>
          <w:szCs w:val="24"/>
        </w:rPr>
        <w:t xml:space="preserve">Simulación de eventos discretos (O3). Un simulador del laboratorio asigna analistas y equipos con cuatro políticas: la regla de despacho informada por las duraciones que estima el O2, FIFO, la asignación aleatoria y una regla experta, en los mismos escenarios y con las mismas semillas.</w:t>
      </w:r>
    </w:p>
    <w:p>
      <w:pPr>
        <w:pStyle w:val="ListParagraph"/>
        <w:numPr>
          <w:ilvl w:val="0"/>
          <w:numId w:val="3"/>
        </w:numPr>
        <w:spacing w:after="60" w:line="276"/>
      </w:pPr>
      <w:r>
        <w:rPr>
          <w:rFonts w:ascii="Times New Roman" w:cs="Times New Roman" w:eastAsia="Times New Roman" w:hAnsi="Times New Roman"/>
          <w:sz w:val="24"/>
          <w:szCs w:val="24"/>
        </w:rPr>
        <w:t xml:space="preserve">Instrumentos: el Excel de parámetros, donde cada valor tiene fuente y página; el código del generador en Python (src/generador), con pruebas automáticas; los cuadernos de análisis, y el diccionario de datos, que va como Anexo A.</w:t>
      </w:r>
    </w:p>
    <w:p>
      <w:pPr>
        <w:pStyle w:val="Heading1"/>
        <w:keepNext/>
        <w:spacing w:after="120" w:before="280"/>
      </w:pPr>
      <w:r>
        <w:rPr>
          <w:rFonts w:ascii="Times New Roman" w:cs="Times New Roman" w:eastAsia="Times New Roman" w:hAnsi="Times New Roman"/>
          <w:b/>
          <w:bCs/>
          <w:sz w:val="28"/>
          <w:szCs w:val="28"/>
        </w:rPr>
        <w:t xml:space="preserve">4. Bloque de hoy: trazabilidad y marco metodológico (2/2)</w:t>
      </w:r>
    </w:p>
    <w:p>
      <w:pPr>
        <w:pStyle w:val="Heading2"/>
        <w:keepNext/>
        <w:spacing w:after="80" w:before="200"/>
      </w:pPr>
      <w:r>
        <w:rPr>
          <w:rFonts w:ascii="Times New Roman" w:cs="Times New Roman" w:eastAsia="Times New Roman" w:hAnsi="Times New Roman"/>
          <w:b/>
          <w:bCs/>
          <w:sz w:val="24"/>
          <w:szCs w:val="24"/>
        </w:rPr>
        <w:t xml:space="preserve">Procedimiento por fases</w:t>
      </w:r>
    </w:p>
    <w:p>
      <w:pPr>
        <w:spacing w:after="120" w:line="288"/>
      </w:pPr>
      <w:r>
        <w:rPr>
          <w:rFonts w:ascii="Times New Roman" w:cs="Times New Roman" w:eastAsia="Times New Roman" w:hAnsi="Times New Roman"/>
          <w:sz w:val="24"/>
          <w:szCs w:val="24"/>
        </w:rPr>
        <w:t xml:space="preserve">Una fase por objetivo específico, con sus pasos en el orden del plan. Las fechas no van en la tesis; el orden sí.</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2053"/>
        <w:gridCol w:w="6501"/>
      </w:tblGrid>
      <w:tr>
        <w:trPr>
          <w:tblHeader/>
        </w:trPr>
        <w:tc>
          <w:tcPr>
            <w:tcW w:type="dxa" w:w="2053"/>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20"/>
                <w:szCs w:val="20"/>
              </w:rPr>
              <w:t xml:space="preserve">Fase</w:t>
            </w:r>
          </w:p>
        </w:tc>
        <w:tc>
          <w:tcPr>
            <w:tcW w:type="dxa" w:w="6501"/>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40" w:line="252"/>
            </w:pPr>
            <w:r>
              <w:rPr>
                <w:rFonts w:ascii="Times New Roman" w:cs="Times New Roman" w:eastAsia="Times New Roman" w:hAnsi="Times New Roman"/>
                <w:b/>
                <w:bCs/>
                <w:sz w:val="20"/>
                <w:szCs w:val="20"/>
              </w:rPr>
              <w:t xml:space="preserve">Pasos</w:t>
            </w:r>
          </w:p>
        </w:tc>
      </w:tr>
      <w:tr>
        <w:trPr>
          <w:cantSplit/>
        </w:trPr>
        <w:tc>
          <w:tcPr>
            <w:tcW w:type="dxa" w:w="205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1. Conjunto de datos sintéticos (O1)</w:t>
            </w:r>
          </w:p>
        </w:tc>
        <w:tc>
          <w:tcPr>
            <w:tcW w:type="dxa" w:w="6501"/>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Extraer los parámetros de la literatura; diseñar el laboratorio de referencia; definir el registro y el diccionario de datos; programar el generador (duraciones, correlación entre tareas, analistas y equipos con sus calendarios, disponibilidad cruzada, llegadas y plazos, perturbaciones, escenarios de carga y semillas); validar con los indicadores del sistema de variables; contrastar la estructura con el TLSP y con Martins et al. (2023), y congelar el dataset v1.</w:t>
            </w:r>
          </w:p>
        </w:tc>
      </w:tr>
      <w:tr>
        <w:trPr>
          <w:cantSplit/>
        </w:trPr>
        <w:tc>
          <w:tcPr>
            <w:tcW w:type="dxa" w:w="205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2. Comparación de algoritmos (O2)</w:t>
            </w:r>
          </w:p>
        </w:tc>
        <w:tc>
          <w:tcPr>
            <w:tcW w:type="dxa" w:w="6501"/>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Definir el protocolo de validación; preprocesar y partir los datos; entrenar los modelos; optimizar los hiperparámetros; evaluar en el conjunto de prueba, con comparación estadística; medir la robustez por escenario de carga y con perturbaciones; interpretar el modelo (SHAP), y seleccionarlo.</w:t>
            </w:r>
          </w:p>
        </w:tc>
      </w:tr>
      <w:tr>
        <w:trPr>
          <w:cantSplit/>
        </w:trPr>
        <w:tc>
          <w:tcPr>
            <w:tcW w:type="dxa" w:w="205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3. Prototipo de asignación (O3)</w:t>
            </w:r>
          </w:p>
        </w:tc>
        <w:tc>
          <w:tcPr>
            <w:tcW w:type="dxa" w:w="6501"/>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40" w:line="252"/>
            </w:pPr>
            <w:r>
              <w:rPr>
                <w:rFonts w:ascii="Times New Roman" w:cs="Times New Roman" w:eastAsia="Times New Roman" w:hAnsi="Times New Roman"/>
                <w:sz w:val="20"/>
                <w:szCs w:val="20"/>
              </w:rPr>
              <w:t xml:space="preserve">Programar el simulador de eventos discretos con las políticas de referencia (FIFO, aleatoria y experta); diseñar la regla de despacho informada con el modelo del O2; correr los experimentos (políticas por escenarios por réplicas); calcular los indicadores y sus pruebas estadísticas, y construir el prototipo (predicción, diagrama de Gantt y comparación de políticas).</w:t>
            </w:r>
          </w:p>
        </w:tc>
      </w:tr>
    </w:tbl>
    <w:p>
      <w:pPr>
        <w:spacing w:after="60"/>
      </w:pPr>
    </w:p>
    <w:p>
      <w:pPr>
        <w:pStyle w:val="Heading2"/>
        <w:keepNext/>
        <w:spacing w:after="80" w:before="200"/>
      </w:pPr>
      <w:r>
        <w:rPr>
          <w:rFonts w:ascii="Times New Roman" w:cs="Times New Roman" w:eastAsia="Times New Roman" w:hAnsi="Times New Roman"/>
          <w:b/>
          <w:bCs/>
          <w:sz w:val="24"/>
          <w:szCs w:val="24"/>
        </w:rPr>
        <w:t xml:space="preserve">Plan de análisis</w:t>
      </w:r>
    </w:p>
    <w:p>
      <w:pPr>
        <w:pStyle w:val="ListParagraph"/>
        <w:numPr>
          <w:ilvl w:val="0"/>
          <w:numId w:val="3"/>
        </w:numPr>
        <w:spacing w:after="60" w:line="276"/>
      </w:pPr>
      <w:r>
        <w:rPr>
          <w:rFonts w:ascii="Times New Roman" w:cs="Times New Roman" w:eastAsia="Times New Roman" w:hAnsi="Times New Roman"/>
          <w:sz w:val="24"/>
          <w:szCs w:val="24"/>
        </w:rPr>
        <w:t xml:space="preserve">O1: los 22 indicadores del sistema de variables, con el cálculo y el criterio de la Tabla 15 del diccionario de datos y de la hoja «Indicadores». Unos son exactos y sirven como pruebas del generador (por ejemplo, el 100 % de las actividades con al menos una combinación factible); otros se comparan con las fuentes, y su tolerancia se acuerda con Bravo. V2, el de las correlaciones, tiene su propia regla (generador, 2.5).</w:t>
      </w:r>
    </w:p>
    <w:p>
      <w:pPr>
        <w:pStyle w:val="ListParagraph"/>
        <w:numPr>
          <w:ilvl w:val="0"/>
          <w:numId w:val="3"/>
        </w:numPr>
        <w:spacing w:after="60" w:line="276"/>
      </w:pPr>
      <w:r>
        <w:rPr>
          <w:rFonts w:ascii="Times New Roman" w:cs="Times New Roman" w:eastAsia="Times New Roman" w:hAnsi="Times New Roman"/>
          <w:sz w:val="24"/>
          <w:szCs w:val="24"/>
        </w:rPr>
        <w:t xml:space="preserve">O2: MAE, RMSE, MAPE y R² en el conjunto de prueba, una prueba estadística para comparar los modelos y la robustez por escenario de carga.</w:t>
      </w:r>
    </w:p>
    <w:p>
      <w:pPr>
        <w:pStyle w:val="ListParagraph"/>
        <w:numPr>
          <w:ilvl w:val="0"/>
          <w:numId w:val="3"/>
        </w:numPr>
        <w:spacing w:after="60" w:line="276"/>
      </w:pPr>
      <w:r>
        <w:rPr>
          <w:rFonts w:ascii="Times New Roman" w:cs="Times New Roman" w:eastAsia="Times New Roman" w:hAnsi="Times New Roman"/>
          <w:sz w:val="24"/>
          <w:szCs w:val="24"/>
        </w:rPr>
        <w:t xml:space="preserve">O3: makespan, utilización de los recursos, tardanza y cumplimiento de plazos de cada política, con pruebas estadísticas, en las mismas condiciones de simulación.</w:t>
      </w:r>
    </w:p>
    <w:p>
      <w:pPr>
        <w:pStyle w:val="ListParagraph"/>
        <w:numPr>
          <w:ilvl w:val="0"/>
          <w:numId w:val="3"/>
        </w:numPr>
        <w:spacing w:after="60" w:line="276"/>
      </w:pPr>
      <w:r>
        <w:rPr>
          <w:rFonts w:ascii="Times New Roman" w:cs="Times New Roman" w:eastAsia="Times New Roman" w:hAnsi="Times New Roman"/>
          <w:sz w:val="24"/>
          <w:szCs w:val="24"/>
        </w:rPr>
        <w:t xml:space="preserve">Se escribe qué se mide y con qué criterio, no los resultados: esos van en el capítulo de RESULTADOS, que es de Carlos.</w:t>
      </w:r>
    </w:p>
    <w:p>
      <w:pPr>
        <w:pStyle w:val="Heading2"/>
        <w:keepNext/>
        <w:spacing w:after="80" w:before="200"/>
      </w:pPr>
      <w:r>
        <w:rPr>
          <w:rFonts w:ascii="Times New Roman" w:cs="Times New Roman" w:eastAsia="Times New Roman" w:hAnsi="Times New Roman"/>
          <w:b/>
          <w:bCs/>
          <w:sz w:val="24"/>
          <w:szCs w:val="24"/>
        </w:rPr>
        <w:t xml:space="preserve">Consideraciones éticas y legales</w:t>
      </w:r>
    </w:p>
    <w:p>
      <w:pPr>
        <w:pStyle w:val="ListParagraph"/>
        <w:numPr>
          <w:ilvl w:val="0"/>
          <w:numId w:val="3"/>
        </w:numPr>
        <w:spacing w:after="60" w:line="276"/>
      </w:pPr>
      <w:r>
        <w:rPr>
          <w:rFonts w:ascii="Times New Roman" w:cs="Times New Roman" w:eastAsia="Times New Roman" w:hAnsi="Times New Roman"/>
          <w:sz w:val="24"/>
          <w:szCs w:val="24"/>
        </w:rPr>
        <w:t xml:space="preserve">No se usan datos de ninguna empresa ni datos personales: los analistas, los equipos y las muestras son generados. El sustento legal ya está en el Marco legal (Decisión 486 de 2000, Ley 256 de 1996 y Ley 1581 de 2012); aquí basta con remitir a él, sin repetirlo.</w:t>
      </w:r>
    </w:p>
    <w:p>
      <w:pPr>
        <w:pStyle w:val="ListParagraph"/>
        <w:numPr>
          <w:ilvl w:val="0"/>
          <w:numId w:val="3"/>
        </w:numPr>
        <w:spacing w:after="60" w:line="276"/>
      </w:pPr>
      <w:r>
        <w:rPr>
          <w:rFonts w:ascii="Times New Roman" w:cs="Times New Roman" w:eastAsia="Times New Roman" w:hAnsi="Times New Roman"/>
          <w:sz w:val="24"/>
          <w:szCs w:val="24"/>
        </w:rPr>
        <w:t xml:space="preserve">Las instancias del TLSP y de Martins et al. (2023) son públicas y se citan como tales. No se suben al repositorio: se descargan con un script (README).</w:t>
      </w:r>
    </w:p>
    <w:p>
      <w:pPr>
        <w:pStyle w:val="ListParagraph"/>
        <w:numPr>
          <w:ilvl w:val="0"/>
          <w:numId w:val="3"/>
        </w:numPr>
        <w:spacing w:after="60" w:line="276"/>
      </w:pPr>
      <w:r>
        <w:rPr>
          <w:rFonts w:ascii="Times New Roman" w:cs="Times New Roman" w:eastAsia="Times New Roman" w:hAnsi="Times New Roman"/>
          <w:sz w:val="24"/>
          <w:szCs w:val="24"/>
        </w:rPr>
        <w:t xml:space="preserve">Reproducibilidad: cada corrida se puede repetir con su semilla, y el código, los parámetros y los cuadernos quedan en el repositorio (Anexo D).</w:t>
      </w:r>
    </w:p>
    <w:p>
      <w:pPr>
        <w:pStyle w:val="ListParagraph"/>
        <w:numPr>
          <w:ilvl w:val="0"/>
          <w:numId w:val="3"/>
        </w:numPr>
        <w:spacing w:after="60" w:line="276"/>
      </w:pPr>
      <w:r>
        <w:rPr>
          <w:rFonts w:ascii="Times New Roman" w:cs="Times New Roman" w:eastAsia="Times New Roman" w:hAnsi="Times New Roman"/>
          <w:sz w:val="24"/>
          <w:szCs w:val="24"/>
        </w:rPr>
        <w:t xml:space="preserve">Alcance de las conclusiones: la evidencia es de viabilidad técnica y no de eficacia en un laboratorio real (Alcance y limitaciones, II y IV).</w:t>
      </w:r>
    </w:p>
    <w:p>
      <w:pPr>
        <w:pStyle w:val="Heading2"/>
        <w:keepNext/>
        <w:spacing w:after="80" w:before="200"/>
      </w:pPr>
      <w:r>
        <w:rPr>
          <w:rFonts w:ascii="Times New Roman" w:cs="Times New Roman" w:eastAsia="Times New Roman" w:hAnsi="Times New Roman"/>
          <w:b/>
          <w:bCs/>
          <w:sz w:val="24"/>
          <w:szCs w:val="24"/>
        </w:rPr>
        <w:t xml:space="preserve">Anexo B. Tabla de trazabilidad de parámetros</w:t>
      </w:r>
    </w:p>
    <w:p>
      <w:pPr>
        <w:spacing w:after="120" w:line="288"/>
      </w:pPr>
      <w:r>
        <w:rPr>
          <w:rFonts w:ascii="Times New Roman" w:cs="Times New Roman" w:eastAsia="Times New Roman" w:hAnsi="Times New Roman"/>
          <w:sz w:val="24"/>
          <w:szCs w:val="24"/>
        </w:rPr>
        <w:t xml:space="preserve">Es la evidencia del indicador V5, «porcentaje de parámetros con trazabilidad bibliográfica». Hoy son 107 entradas: los 79 parámetros de la hoja «Parámetros» (P01 a P79) y los 28 supuestos de la hoja «Supuestos» (S01 a S28). Tienen fuente y página 78, el 73 %: los 74 datos de la literatura y los 4 derivados. Los 29 restantes son los 28 supuestos y P60, los doce métodos del catálogo, que es una elección propia.</w:t>
      </w:r>
    </w:p>
    <w:p>
      <w:pPr>
        <w:pStyle w:val="ListParagraph"/>
        <w:numPr>
          <w:ilvl w:val="0"/>
          <w:numId w:val="4"/>
        </w:numPr>
        <w:spacing w:after="80" w:line="276"/>
      </w:pPr>
      <w:r>
        <w:rPr>
          <w:rFonts w:ascii="Times New Roman" w:cs="Times New Roman" w:eastAsia="Times New Roman" w:hAnsi="Times New Roman"/>
          <w:sz w:val="24"/>
          <w:szCs w:val="24"/>
        </w:rPr>
        <w:t xml:space="preserve">Haz dos tablas: B.1, parámetros, y B.2, supuestos. En B.1 van las columnas ID, Parámetro, Valor, Unidad, Tipo, Fuente y Página de la hoja «Parámetros»; en B.2, ID, Parámetro, Propuesta inicial, Escenarios para sensibilidad y Cómo justificarlo, de la hoja «Supuestos». Las fuentes van como cita (autor y año), y la referencia completa, en la lista de referencias; la hoja «Fuentes» las tiene todas.</w:t>
      </w:r>
    </w:p>
    <w:p>
      <w:pPr>
        <w:pStyle w:val="ListParagraph"/>
        <w:numPr>
          <w:ilvl w:val="0"/>
          <w:numId w:val="4"/>
        </w:numPr>
        <w:spacing w:after="80" w:line="276"/>
      </w:pPr>
      <w:r>
        <w:rPr>
          <w:rFonts w:ascii="Times New Roman" w:cs="Times New Roman" w:eastAsia="Times New Roman" w:hAnsi="Times New Roman"/>
          <w:sz w:val="24"/>
          <w:szCs w:val="24"/>
        </w:rPr>
        <w:t xml:space="preserve">Copia y pega desde el Excel; no vuelvas a escribir ningún número a mano. Si la tabla queda muy ancha, ponla en una página horizontal o con letra de 9 o 10 puntos.</w:t>
      </w:r>
    </w:p>
    <w:p>
      <w:pPr>
        <w:pStyle w:val="ListParagraph"/>
        <w:numPr>
          <w:ilvl w:val="0"/>
          <w:numId w:val="4"/>
        </w:numPr>
        <w:spacing w:after="80" w:line="276"/>
      </w:pPr>
      <w:r>
        <w:rPr>
          <w:rFonts w:ascii="Times New Roman" w:cs="Times New Roman" w:eastAsia="Times New Roman" w:hAnsi="Times New Roman"/>
          <w:sz w:val="24"/>
          <w:szCs w:val="24"/>
        </w:rPr>
        <w:t xml:space="preserve">En el capítulo va un párrafo corto que presente la tabla: qué es cada tipo (dato de la literatura, derivado y supuesto), que cada supuesto tiene escenarios de sensibilidad y que la tabla es la evidencia de V5, con la cifra.</w:t>
      </w:r>
    </w:p>
    <w:p>
      <w:pPr>
        <w:pStyle w:val="ListParagraph"/>
        <w:numPr>
          <w:ilvl w:val="0"/>
          <w:numId w:val="4"/>
        </w:numPr>
        <w:spacing w:after="80" w:line="276"/>
      </w:pPr>
      <w:r>
        <w:rPr>
          <w:rFonts w:ascii="Times New Roman" w:cs="Times New Roman" w:eastAsia="Times New Roman" w:hAnsi="Times New Roman"/>
          <w:sz w:val="24"/>
          <w:szCs w:val="24"/>
        </w:rPr>
        <w:t xml:space="preserve">Los supuestos S01 a S04 todavía pueden cambiar (sección 5). En la tabla van como «propuesta inicial», que es como están en el Excel.</w:t>
      </w:r>
    </w:p>
    <w:p>
      <w:pPr>
        <w:pStyle w:val="Heading1"/>
        <w:keepNext/>
        <w:spacing w:after="120" w:before="280"/>
      </w:pPr>
      <w:r>
        <w:rPr>
          <w:rFonts w:ascii="Times New Roman" w:cs="Times New Roman" w:eastAsia="Times New Roman" w:hAnsi="Times New Roman"/>
          <w:b/>
          <w:bCs/>
          <w:sz w:val="28"/>
          <w:szCs w:val="28"/>
        </w:rPr>
        <w:t xml:space="preserve">5. Cuidado con esto</w:t>
      </w:r>
    </w:p>
    <w:p>
      <w:pPr>
        <w:pStyle w:val="ListParagraph"/>
        <w:numPr>
          <w:ilvl w:val="0"/>
          <w:numId w:val="3"/>
        </w:numPr>
        <w:spacing w:after="60" w:line="276"/>
      </w:pPr>
      <w:r>
        <w:rPr>
          <w:rFonts w:ascii="Times New Roman" w:cs="Times New Roman" w:eastAsia="Times New Roman" w:hAnsi="Times New Roman"/>
          <w:sz w:val="24"/>
          <w:szCs w:val="24"/>
        </w:rPr>
        <w:t xml:space="preserve">No fijes lo que todavía está abierto. La forma λ de la BetaPERT y la correlación ρ entre las tareas del analista (S04) se deciden juntas, con la validación del 31 de octubre y la asesoría del 4 de noviembre; las tasas de reanálisis, fallas y urgentes (S01 a S03) se validan con Bravo, y el tamaño del dataset depende de esas decisiones. Descríbelos como parámetros con un valor inicial y escenarios de sensibilidad.</w:t>
      </w:r>
    </w:p>
    <w:p>
      <w:pPr>
        <w:pStyle w:val="ListParagraph"/>
        <w:numPr>
          <w:ilvl w:val="0"/>
          <w:numId w:val="3"/>
        </w:numPr>
        <w:spacing w:after="60" w:line="276"/>
      </w:pPr>
      <w:r>
        <w:rPr>
          <w:rFonts w:ascii="Times New Roman" w:cs="Times New Roman" w:eastAsia="Times New Roman" w:hAnsi="Times New Roman"/>
          <w:sz w:val="24"/>
          <w:szCs w:val="24"/>
        </w:rPr>
        <w:t xml:space="preserve">Usa los mismos términos de los documentos del O1: ensayo, muestra, método, técnica, registro, ejecución, corrida, escenario de carga, semilla, analista y equipo.</w:t>
      </w:r>
    </w:p>
    <w:p>
      <w:pPr>
        <w:pStyle w:val="ListParagraph"/>
        <w:numPr>
          <w:ilvl w:val="0"/>
          <w:numId w:val="3"/>
        </w:numPr>
        <w:spacing w:after="60" w:line="276"/>
      </w:pPr>
      <w:r>
        <w:rPr>
          <w:rFonts w:ascii="Times New Roman" w:cs="Times New Roman" w:eastAsia="Times New Roman" w:hAnsi="Times New Roman"/>
          <w:sz w:val="24"/>
          <w:szCs w:val="24"/>
        </w:rPr>
        <w:t xml:space="preserve">Cita en APA 7, con la página cuando es un dato. Las fuentes de calibración están en PDF en docs/fuentes.</w:t>
      </w:r>
    </w:p>
    <w:p>
      <w:pPr>
        <w:pStyle w:val="ListParagraph"/>
        <w:numPr>
          <w:ilvl w:val="0"/>
          <w:numId w:val="3"/>
        </w:numPr>
        <w:spacing w:after="60" w:line="276"/>
      </w:pPr>
      <w:r>
        <w:rPr>
          <w:rFonts w:ascii="Times New Roman" w:cs="Times New Roman" w:eastAsia="Times New Roman" w:hAnsi="Times New Roman"/>
          <w:sz w:val="24"/>
          <w:szCs w:val="24"/>
        </w:rPr>
        <w:t xml:space="preserve">Sin rayas (el guion largo) en el documento: Carlos prefiere comas, paréntesis o dos puntos. En lo que ya está escrito quedan 24, en 1.1, 1.2, 1.4, 1.5, 1.6, 5.2, 5.4, 5.5 y en el Marco legal; si te sobra tiempo, cámbialas también. Las 4 de la lista de referencias son parte de títulos publicados y se dejan como están.</w:t>
      </w:r>
    </w:p>
    <w:p>
      <w:pPr>
        <w:pStyle w:val="ListParagraph"/>
        <w:numPr>
          <w:ilvl w:val="0"/>
          <w:numId w:val="3"/>
        </w:numPr>
        <w:spacing w:after="60" w:line="276"/>
      </w:pPr>
      <w:r>
        <w:rPr>
          <w:rFonts w:ascii="Times New Roman" w:cs="Times New Roman" w:eastAsia="Times New Roman" w:hAnsi="Times New Roman"/>
          <w:sz w:val="24"/>
          <w:szCs w:val="24"/>
        </w:rPr>
        <w:t xml:space="preserve">Una corrección de forma del anteproyecto que te toca: en 1.1, 1.5 y 5.1 se dice que, según Costigliola et al. (2017), la gestión se apoya «predominantemente» en la experiencia de los supervisores. La fuente lo dice como contexto general, sin datos (p. 9015). Sería más exacto: «señalan que, en la industria farmacéutica, la gestión del laboratorio suele basarse en la experiencia de los supervisores (Costigliola et al., 2017, p. 9015)».</w:t>
      </w:r>
    </w:p>
    <w:p>
      <w:pPr>
        <w:pStyle w:val="ListParagraph"/>
        <w:numPr>
          <w:ilvl w:val="0"/>
          <w:numId w:val="3"/>
        </w:numPr>
        <w:spacing w:after="60" w:line="276"/>
      </w:pPr>
      <w:r>
        <w:rPr>
          <w:rFonts w:ascii="Times New Roman" w:cs="Times New Roman" w:eastAsia="Times New Roman" w:hAnsi="Times New Roman"/>
          <w:sz w:val="24"/>
          <w:szCs w:val="24"/>
        </w:rPr>
        <w:t xml:space="preserve">No cambies los documentos del O1 ni el capítulo de RESULTADOS. Si algo de lo que escribes no cuadra con el O1, anótalo y pregúntale a Carlos.</w:t>
      </w:r>
    </w:p>
    <w:p>
      <w:pPr>
        <w:pStyle w:val="Heading1"/>
        <w:keepNext/>
        <w:spacing w:after="120" w:before="280"/>
      </w:pPr>
      <w:r>
        <w:rPr>
          <w:rFonts w:ascii="Times New Roman" w:cs="Times New Roman" w:eastAsia="Times New Roman" w:hAnsi="Times New Roman"/>
          <w:b/>
          <w:bCs/>
          <w:sz w:val="28"/>
          <w:szCs w:val="28"/>
        </w:rPr>
        <w:t xml:space="preserve">6. Lista de chequeo</w:t>
      </w:r>
    </w:p>
    <w:p>
      <w:pPr>
        <w:pStyle w:val="ListParagraph"/>
        <w:numPr>
          <w:ilvl w:val="0"/>
          <w:numId w:val="5"/>
        </w:numPr>
        <w:spacing w:after="60" w:line="276"/>
      </w:pPr>
      <w:r>
        <w:rPr>
          <w:rFonts w:ascii="Times New Roman" w:cs="Times New Roman" w:eastAsia="Times New Roman" w:hAnsi="Times New Roman"/>
          <w:sz w:val="24"/>
          <w:szCs w:val="24"/>
        </w:rPr>
        <w:t xml:space="preserve">git pull antes de abrir el documento</w:t>
      </w:r>
    </w:p>
    <w:p>
      <w:pPr>
        <w:pStyle w:val="ListParagraph"/>
        <w:numPr>
          <w:ilvl w:val="0"/>
          <w:numId w:val="5"/>
        </w:numPr>
        <w:spacing w:after="60" w:line="276"/>
      </w:pPr>
      <w:r>
        <w:rPr>
          <w:rFonts w:ascii="Times New Roman" w:cs="Times New Roman" w:eastAsia="Times New Roman" w:hAnsi="Times New Roman"/>
          <w:sz w:val="24"/>
          <w:szCs w:val="24"/>
        </w:rPr>
        <w:t xml:space="preserve">Enfoque, tipo y diseño, con la tipología que pide la maestría</w:t>
      </w:r>
    </w:p>
    <w:p>
      <w:pPr>
        <w:pStyle w:val="ListParagraph"/>
        <w:numPr>
          <w:ilvl w:val="0"/>
          <w:numId w:val="5"/>
        </w:numPr>
        <w:spacing w:after="60" w:line="276"/>
      </w:pPr>
      <w:r>
        <w:rPr>
          <w:rFonts w:ascii="Times New Roman" w:cs="Times New Roman" w:eastAsia="Times New Roman" w:hAnsi="Times New Roman"/>
          <w:sz w:val="24"/>
          <w:szCs w:val="24"/>
        </w:rPr>
        <w:t xml:space="preserve">Unidad de análisis y población</w:t>
      </w:r>
    </w:p>
    <w:p>
      <w:pPr>
        <w:pStyle w:val="ListParagraph"/>
        <w:numPr>
          <w:ilvl w:val="0"/>
          <w:numId w:val="5"/>
        </w:numPr>
        <w:spacing w:after="60" w:line="276"/>
      </w:pPr>
      <w:r>
        <w:rPr>
          <w:rFonts w:ascii="Times New Roman" w:cs="Times New Roman" w:eastAsia="Times New Roman" w:hAnsi="Times New Roman"/>
          <w:sz w:val="24"/>
          <w:szCs w:val="24"/>
        </w:rPr>
        <w:t xml:space="preserve">Técnicas e instrumentos</w:t>
      </w:r>
    </w:p>
    <w:p>
      <w:pPr>
        <w:pStyle w:val="ListParagraph"/>
        <w:numPr>
          <w:ilvl w:val="0"/>
          <w:numId w:val="5"/>
        </w:numPr>
        <w:spacing w:after="60" w:line="276"/>
      </w:pPr>
      <w:r>
        <w:rPr>
          <w:rFonts w:ascii="Times New Roman" w:cs="Times New Roman" w:eastAsia="Times New Roman" w:hAnsi="Times New Roman"/>
          <w:sz w:val="24"/>
          <w:szCs w:val="24"/>
        </w:rPr>
        <w:t xml:space="preserve">Procedimiento por fases</w:t>
      </w:r>
    </w:p>
    <w:p>
      <w:pPr>
        <w:pStyle w:val="ListParagraph"/>
        <w:numPr>
          <w:ilvl w:val="0"/>
          <w:numId w:val="5"/>
        </w:numPr>
        <w:spacing w:after="60" w:line="276"/>
      </w:pPr>
      <w:r>
        <w:rPr>
          <w:rFonts w:ascii="Times New Roman" w:cs="Times New Roman" w:eastAsia="Times New Roman" w:hAnsi="Times New Roman"/>
          <w:sz w:val="24"/>
          <w:szCs w:val="24"/>
        </w:rPr>
        <w:t xml:space="preserve">Plan de análisis</w:t>
      </w:r>
    </w:p>
    <w:p>
      <w:pPr>
        <w:pStyle w:val="ListParagraph"/>
        <w:numPr>
          <w:ilvl w:val="0"/>
          <w:numId w:val="5"/>
        </w:numPr>
        <w:spacing w:after="60" w:line="276"/>
      </w:pPr>
      <w:r>
        <w:rPr>
          <w:rFonts w:ascii="Times New Roman" w:cs="Times New Roman" w:eastAsia="Times New Roman" w:hAnsi="Times New Roman"/>
          <w:sz w:val="24"/>
          <w:szCs w:val="24"/>
        </w:rPr>
        <w:t xml:space="preserve">Consideraciones éticas y legales</w:t>
      </w:r>
    </w:p>
    <w:p>
      <w:pPr>
        <w:pStyle w:val="ListParagraph"/>
        <w:numPr>
          <w:ilvl w:val="0"/>
          <w:numId w:val="5"/>
        </w:numPr>
        <w:spacing w:after="60" w:line="276"/>
      </w:pPr>
      <w:r>
        <w:rPr>
          <w:rFonts w:ascii="Times New Roman" w:cs="Times New Roman" w:eastAsia="Times New Roman" w:hAnsi="Times New Roman"/>
          <w:sz w:val="24"/>
          <w:szCs w:val="24"/>
        </w:rPr>
        <w:t xml:space="preserve">Anexo B (B.1, parámetros, y B.2, supuestos) y su párrafo en el capítulo</w:t>
      </w:r>
    </w:p>
    <w:p>
      <w:pPr>
        <w:pStyle w:val="ListParagraph"/>
        <w:numPr>
          <w:ilvl w:val="0"/>
          <w:numId w:val="5"/>
        </w:numPr>
        <w:spacing w:after="60" w:line="276"/>
      </w:pPr>
      <w:r>
        <w:rPr>
          <w:rFonts w:ascii="Times New Roman" w:cs="Times New Roman" w:eastAsia="Times New Roman" w:hAnsi="Times New Roman"/>
          <w:sz w:val="24"/>
          <w:szCs w:val="24"/>
        </w:rPr>
        <w:t xml:space="preserve">Referencias nuevas en la lista, en APA 7</w:t>
      </w:r>
    </w:p>
    <w:p>
      <w:pPr>
        <w:pStyle w:val="ListParagraph"/>
        <w:numPr>
          <w:ilvl w:val="0"/>
          <w:numId w:val="5"/>
        </w:numPr>
        <w:spacing w:after="60" w:line="276"/>
      </w:pPr>
      <w:r>
        <w:rPr>
          <w:rFonts w:ascii="Times New Roman" w:cs="Times New Roman" w:eastAsia="Times New Roman" w:hAnsi="Times New Roman"/>
          <w:sz w:val="24"/>
          <w:szCs w:val="24"/>
        </w:rPr>
        <w:t xml:space="preserve">Sin rayas en lo nuevo</w:t>
      </w:r>
    </w:p>
    <w:p>
      <w:pPr>
        <w:pStyle w:val="ListParagraph"/>
        <w:numPr>
          <w:ilvl w:val="0"/>
          <w:numId w:val="5"/>
        </w:numPr>
        <w:spacing w:after="60" w:line="276"/>
      </w:pPr>
      <w:r>
        <w:rPr>
          <w:rFonts w:ascii="Times New Roman" w:cs="Times New Roman" w:eastAsia="Times New Roman" w:hAnsi="Times New Roman"/>
          <w:sz w:val="24"/>
          <w:szCs w:val="24"/>
        </w:rPr>
        <w:t xml:space="preserve">Dudas para Bravo en la bitácora</w:t>
      </w:r>
    </w:p>
    <w:p>
      <w:pPr>
        <w:pStyle w:val="ListParagraph"/>
        <w:numPr>
          <w:ilvl w:val="0"/>
          <w:numId w:val="5"/>
        </w:numPr>
        <w:spacing w:after="60" w:line="276"/>
      </w:pPr>
      <w:r>
        <w:rPr>
          <w:rFonts w:ascii="Times New Roman" w:cs="Times New Roman" w:eastAsia="Times New Roman" w:hAnsi="Times New Roman"/>
          <w:sz w:val="24"/>
          <w:szCs w:val="24"/>
        </w:rPr>
        <w:t xml:space="preserve">push y aviso a Carlos</w:t>
      </w:r>
    </w:p>
    <w:sectPr>
      <w:footerReference w:type="default" r:id="rId6"/>
      <w:pgSz w:w="12240" w:h="15840" w:orient="portrait"/>
      <w:pgMar w:top="1418" w:right="1418" w:bottom="1418"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777777"/>
        <w:sz w:val="18"/>
        <w:szCs w:val="18"/>
      </w:rPr>
      <w:t xml:space="preserve">Guía para Aldair · página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Aldair</dc:title>
  <dc:creator>Carlos Campo</dc:creator>
  <cp:lastModifiedBy>Un-named</cp:lastModifiedBy>
  <cp:revision>1</cp:revision>
  <dcterms:created xsi:type="dcterms:W3CDTF">2026-10-30T00:03:08.150Z</dcterms:created>
  <dcterms:modified xsi:type="dcterms:W3CDTF">2026-10-30T00:03:08.156Z</dcterms:modified>
</cp:coreProperties>
</file>

<file path=docProps/custom.xml><?xml version="1.0" encoding="utf-8"?>
<Properties xmlns="http://schemas.openxmlformats.org/officeDocument/2006/custom-properties" xmlns:vt="http://schemas.openxmlformats.org/officeDocument/2006/docPropsVTypes"/>
</file>