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5A5A5A"/>
          <w:sz w:val="18"/>
          <w:szCs w:val="18"/>
        </w:rPr>
        <w:t xml:space="preserve">DESCRIPCIÓN FORMAL DE LA IDEA DE INVESTIGACIÓN — VERSIÓN 7</w:t>
      </w:r>
    </w:p>
    <w:p>
      <w:pPr>
        <w:spacing w:after="140"/>
      </w:pPr>
      <w:r>
        <w:rPr>
          <w:rFonts w:ascii="Calibri" w:cs="Calibri" w:eastAsia="Calibri" w:hAnsi="Calibri"/>
          <w:b/>
          <w:bCs/>
          <w:color w:val="1A4B8C"/>
          <w:sz w:val="27"/>
          <w:szCs w:val="27"/>
        </w:rPr>
        <w:t xml:space="preserve">Modelo predictivo con datos sintéticos para la estimación de tiempos y la asignación de recursos en laboratorios de control de calidad farmacéuticos</w:t>
      </w:r>
    </w:p>
    <w:p>
      <w:pPr>
        <w:spacing w:after="30" w:before="0" w:line="288"/>
        <w:jc w:val="left"/>
      </w:pPr>
      <w:r>
        <w:rPr>
          <w:rFonts w:ascii="Calibri" w:cs="Calibri" w:eastAsia="Calibri" w:hAnsi="Calibri"/>
          <w:color w:val="1A1A1A"/>
          <w:sz w:val="19"/>
          <w:szCs w:val="19"/>
        </w:rPr>
        <w:t xml:space="preserve">Aldair Rafael Cetares Barrios — 3005764182 — aldair.cetares@unisimon.edu.co</w:t>
      </w:r>
    </w:p>
    <w:p>
      <w:pPr>
        <w:spacing w:after="200" w:before="0" w:line="288"/>
        <w:jc w:val="left"/>
      </w:pPr>
      <w:r>
        <w:rPr>
          <w:rFonts w:ascii="Calibri" w:cs="Calibri" w:eastAsia="Calibri" w:hAnsi="Calibri"/>
          <w:color w:val="1A1A1A"/>
          <w:sz w:val="19"/>
          <w:szCs w:val="19"/>
        </w:rPr>
        <w:t xml:space="preserve">Carlos David Campo Urzola — 3045604013 — carlos.campou@unisimon.edu.co</w:t>
      </w:r>
    </w:p>
    <w:p>
      <w:pPr>
        <w:pStyle w:val="Heading1"/>
        <w:spacing w:after="150" w:before="340"/>
      </w:pPr>
      <w:r>
        <w:rPr>
          <w:rFonts w:ascii="Calibri" w:cs="Calibri" w:eastAsia="Calibri" w:hAnsi="Calibri"/>
          <w:b/>
          <w:bCs/>
          <w:color w:val="1A4B8C"/>
          <w:sz w:val="24"/>
          <w:szCs w:val="24"/>
        </w:rPr>
        <w:t xml:space="preserve">Breve descripción de la idea de investigación</w:t>
      </w:r>
    </w:p>
    <w:p>
      <w:pPr>
        <w:spacing w:after="150" w:before="0" w:line="288"/>
        <w:jc w:val="both"/>
      </w:pPr>
      <w:r>
        <w:rPr>
          <w:rFonts w:ascii="Calibri" w:cs="Calibri" w:eastAsia="Calibri" w:hAnsi="Calibri"/>
          <w:color w:val="1A1A1A"/>
          <w:sz w:val="21"/>
          <w:szCs w:val="21"/>
        </w:rPr>
        <w:t xml:space="preserve">Costigliola et al. (2017) destacan que los laboratorios de control de calidad ocupan un rol central dentro del proceso de producción farmacéutica, al asegurar que los medicamentos cumplan con los estándares regulatorios y sanitarios exigidos. Su gestión, sin embargo, representa un desafío significativo: implica coordinar la mano de obra y los equipos analíticos, organizar la planificación y programación de actividades, priorizar los análisis, validar resultados y documentar correctamente los procesos.</w:t>
      </w:r>
    </w:p>
    <w:p>
      <w:pPr>
        <w:spacing w:after="150" w:before="0" w:line="288"/>
        <w:jc w:val="both"/>
      </w:pPr>
      <w:r>
        <w:rPr>
          <w:rFonts w:ascii="Calibri" w:cs="Calibri" w:eastAsia="Calibri" w:hAnsi="Calibri"/>
          <w:color w:val="1A1A1A"/>
          <w:sz w:val="21"/>
          <w:szCs w:val="21"/>
        </w:rPr>
        <w:t xml:space="preserve">Desde una perspectiva conceptual, Juran y Godfrey (1999) plantean que el control de calidad puede entenderse como un proceso recursivo estructurado en tres ejes: planificación de la calidad, actividades de control y mejora continua. No obstante, Costigliola et al. (2017) evidencian que la gestión de estos laboratorios se apoya predominantemente en la experiencia acumulada de supervisores, más que en modelos validados y orientados por datos. Esa dependencia del criterio experto no es un asunto menor: Danzinger et al. (2025) demostraron que el problema de programación subyacente —agrupar tareas en trabajos y asignarles analistas, bancos de trabajo y equipos— es un problema de optimización combinatoria NP-difícil, de modo que la intuición del planificador opera sobre un espacio de soluciones que crece de forma factorial.</w:t>
      </w:r>
    </w:p>
    <w:p>
      <w:pPr>
        <w:spacing w:after="150" w:before="0" w:line="288"/>
        <w:jc w:val="both"/>
      </w:pPr>
      <w:r>
        <w:rPr>
          <w:rFonts w:ascii="Calibri" w:cs="Calibri" w:eastAsia="Calibri" w:hAnsi="Calibri"/>
          <w:color w:val="1A1A1A"/>
          <w:sz w:val="21"/>
          <w:szCs w:val="21"/>
        </w:rPr>
        <w:t xml:space="preserve">En contraste, Dong et al. (2023) evidencian que los modelos basados en datos fortalecen la supervisión y la toma de decisiones operativas. La ausencia de herramientas analíticas formales priva a los responsables del laboratorio de visibilidad sobre la capacidad operativa real, dificulta la identificación de cuellos de botella y limita la asignación eficiente de recursos. En este escenario, se hace necesario desarrollar y evaluar modelos basados en datos que permitan estimar de forma anticipada la duración de los procesos analíticos y apoyar la asignación de recursos humanos y materiales.</w:t>
      </w:r>
    </w:p>
    <w:p>
      <w:pPr>
        <w:pStyle w:val="Heading1"/>
        <w:spacing w:after="150" w:before="340"/>
      </w:pPr>
      <w:r>
        <w:rPr>
          <w:rFonts w:ascii="Calibri" w:cs="Calibri" w:eastAsia="Calibri" w:hAnsi="Calibri"/>
          <w:b/>
          <w:bCs/>
          <w:color w:val="1A4B8C"/>
          <w:sz w:val="24"/>
          <w:szCs w:val="24"/>
        </w:rPr>
        <w:t xml:space="preserve">Propósito</w:t>
      </w:r>
    </w:p>
    <w:p>
      <w:pPr>
        <w:spacing w:after="150" w:before="0" w:line="288"/>
        <w:jc w:val="both"/>
      </w:pPr>
      <w:r>
        <w:rPr>
          <w:rFonts w:ascii="Calibri" w:cs="Calibri" w:eastAsia="Calibri" w:hAnsi="Calibri"/>
          <w:color w:val="1A1A1A"/>
          <w:sz w:val="21"/>
          <w:szCs w:val="21"/>
        </w:rPr>
        <w:t xml:space="preserve">Desarrollar capacidades analíticas predictivas para el estudio de la planificación de laboratorios de control de calidad farmacéuticos en condiciones de acceso restringido a datos reales: un conjunto de datos sintéticos auditable y con supuestos trazables, un modelo de estimación de duraciones de actividades analíticas y un prototipo de recomendación de asignación de recursos evaluado frente a políticas de referencia.</w:t>
      </w:r>
    </w:p>
    <w:p>
      <w:pPr>
        <w:pStyle w:val="Heading1"/>
        <w:spacing w:after="150" w:before="340"/>
      </w:pPr>
      <w:r>
        <w:rPr>
          <w:rFonts w:ascii="Calibri" w:cs="Calibri" w:eastAsia="Calibri" w:hAnsi="Calibri"/>
          <w:b/>
          <w:bCs/>
          <w:color w:val="1A4B8C"/>
          <w:sz w:val="24"/>
          <w:szCs w:val="24"/>
        </w:rPr>
        <w:t xml:space="preserve">Finalidad</w:t>
      </w:r>
    </w:p>
    <w:p>
      <w:pPr>
        <w:spacing w:after="150" w:before="0" w:line="288"/>
        <w:jc w:val="both"/>
      </w:pPr>
      <w:r>
        <w:rPr>
          <w:rFonts w:ascii="Calibri" w:cs="Calibri" w:eastAsia="Calibri" w:hAnsi="Calibri"/>
          <w:color w:val="1A1A1A"/>
          <w:sz w:val="21"/>
          <w:szCs w:val="21"/>
        </w:rPr>
        <w:t xml:space="preserve">Contribuir, en última instancia, a que los laboratorios de control de calidad farmacéuticos transiten de una gestión apoyada exclusivamente en el criterio experto hacia una gestión asistida por datos, aportando la evidencia de viabilidad técnica que una futura validación con registros operativos reales requeriría como paso previo.</w:t>
      </w:r>
    </w:p>
    <w:p>
      <w:pPr>
        <w:pStyle w:val="Heading1"/>
        <w:spacing w:after="150" w:before="340"/>
      </w:pPr>
      <w:r>
        <w:rPr>
          <w:rFonts w:ascii="Calibri" w:cs="Calibri" w:eastAsia="Calibri" w:hAnsi="Calibri"/>
          <w:b/>
          <w:bCs/>
          <w:color w:val="1A4B8C"/>
          <w:sz w:val="24"/>
          <w:szCs w:val="24"/>
        </w:rPr>
        <w:t xml:space="preserve">Producto</w:t>
      </w:r>
    </w:p>
    <w:p>
      <w:pPr>
        <w:pStyle w:val="ListParagraph"/>
        <w:numPr>
          <w:ilvl w:val="0"/>
          <w:numId w:val="2"/>
        </w:numPr>
        <w:spacing w:after="80" w:line="288"/>
        <w:jc w:val="both"/>
      </w:pPr>
      <w:r>
        <w:rPr>
          <w:rFonts w:ascii="Calibri" w:cs="Calibri" w:eastAsia="Calibri" w:hAnsi="Calibri"/>
          <w:color w:val="1A1A1A"/>
          <w:sz w:val="21"/>
          <w:szCs w:val="21"/>
        </w:rPr>
        <w:t xml:space="preserve">Un conjunto de datos sintéticos documentado, con trazabilidad de cada supuesto de generación a su fuente en literatura arbitrada.</w:t>
      </w:r>
    </w:p>
    <w:p>
      <w:pPr>
        <w:pStyle w:val="ListParagraph"/>
        <w:numPr>
          <w:ilvl w:val="0"/>
          <w:numId w:val="2"/>
        </w:numPr>
        <w:spacing w:after="80" w:line="288"/>
        <w:jc w:val="both"/>
      </w:pPr>
      <w:r>
        <w:rPr>
          <w:rFonts w:ascii="Calibri" w:cs="Calibri" w:eastAsia="Calibri" w:hAnsi="Calibri"/>
          <w:color w:val="1A1A1A"/>
          <w:sz w:val="21"/>
          <w:szCs w:val="21"/>
        </w:rPr>
        <w:t xml:space="preserve">Un análisis comparativo del desempeño de algoritmos de aprendizaje automático en la estimación de duraciones, con métricas de error y protocolo de validación declarados.</w:t>
      </w:r>
    </w:p>
    <w:p>
      <w:pPr>
        <w:pStyle w:val="ListParagraph"/>
        <w:numPr>
          <w:ilvl w:val="0"/>
          <w:numId w:val="2"/>
        </w:numPr>
        <w:spacing w:after="80" w:line="288"/>
        <w:jc w:val="both"/>
      </w:pPr>
      <w:r>
        <w:rPr>
          <w:rFonts w:ascii="Calibri" w:cs="Calibri" w:eastAsia="Calibri" w:hAnsi="Calibri"/>
          <w:color w:val="1A1A1A"/>
          <w:sz w:val="21"/>
          <w:szCs w:val="21"/>
        </w:rPr>
        <w:t xml:space="preserve">Un prototipo funcional que integra el modelo seleccionado y genera recomendaciones de asignación de personal calificado y equipos.</w:t>
      </w:r>
    </w:p>
    <w:p>
      <w:pPr>
        <w:pStyle w:val="ListParagraph"/>
        <w:numPr>
          <w:ilvl w:val="0"/>
          <w:numId w:val="2"/>
        </w:numPr>
        <w:spacing w:after="80" w:line="288"/>
        <w:jc w:val="both"/>
      </w:pPr>
      <w:r>
        <w:rPr>
          <w:rFonts w:ascii="Calibri" w:cs="Calibri" w:eastAsia="Calibri" w:hAnsi="Calibri"/>
          <w:color w:val="1A1A1A"/>
          <w:sz w:val="21"/>
          <w:szCs w:val="21"/>
        </w:rPr>
        <w:t xml:space="preserve">Una evaluación del prototipo frente a políticas de asignación de referencia en el entorno de simulación, acompañada de la declaración explícita de alcance y limitaciones.</w:t>
      </w:r>
    </w:p>
    <w:p>
      <w:pPr>
        <w:pStyle w:val="Heading1"/>
        <w:spacing w:after="150" w:before="340"/>
      </w:pPr>
      <w:r>
        <w:rPr>
          <w:rFonts w:ascii="Calibri" w:cs="Calibri" w:eastAsia="Calibri" w:hAnsi="Calibri"/>
          <w:b/>
          <w:bCs/>
          <w:color w:val="1A4B8C"/>
          <w:sz w:val="24"/>
          <w:szCs w:val="24"/>
        </w:rPr>
        <w:t xml:space="preserve">Situación a investigar corresponde con:</w:t>
      </w:r>
    </w:p>
    <w:p>
      <w:pPr>
        <w:spacing w:after="150" w:before="0" w:line="288"/>
        <w:jc w:val="both"/>
      </w:pPr>
      <w:r>
        <w:rPr>
          <w:rFonts w:ascii="Calibri" w:cs="Calibri" w:eastAsia="Calibri" w:hAnsi="Calibri"/>
          <w:color w:val="1A1A1A"/>
          <w:sz w:val="21"/>
          <w:szCs w:val="21"/>
        </w:rPr>
        <w:t xml:space="preserve">Un problema de investigación. Los laboratorios de control de calidad farmacéuticos operan sobre un problema de asignación computacionalmente duro, con visibilidad limitada de su capacidad operativa real y una planificación apoyada en criterios empíricos; a la vez, el desarrollo de herramientas cuantitativas para ese contexto está bloqueado por la inaccesibilidad de los datos operativos, que es tanto de confidencialidad industrial como de inexistencia de registros públicos. El eje central del trabajo se aborda como problema de investigación por su impacto directo en el desempeño de los procesos analíticos.</w:t>
      </w:r>
    </w:p>
    <w:p>
      <w:pPr>
        <w:pStyle w:val="Heading1"/>
        <w:spacing w:after="150" w:before="340"/>
      </w:pPr>
      <w:r>
        <w:rPr>
          <w:rFonts w:ascii="Calibri" w:cs="Calibri" w:eastAsia="Calibri" w:hAnsi="Calibri"/>
          <w:b/>
          <w:bCs/>
          <w:color w:val="1A4B8C"/>
          <w:sz w:val="24"/>
          <w:szCs w:val="24"/>
        </w:rPr>
        <w:t xml:space="preserve">Objeto de estudio</w:t>
      </w:r>
    </w:p>
    <w:p>
      <w:pPr>
        <w:spacing w:after="150" w:before="0" w:line="288"/>
        <w:jc w:val="both"/>
      </w:pPr>
      <w:r>
        <w:rPr>
          <w:rFonts w:ascii="Calibri" w:cs="Calibri" w:eastAsia="Calibri" w:hAnsi="Calibri"/>
          <w:color w:val="1A1A1A"/>
          <w:sz w:val="21"/>
          <w:szCs w:val="21"/>
        </w:rPr>
        <w:t xml:space="preserve">El objeto de estudio es el proceso de ejecución de actividades analíticas en laboratorios de control de calidad farmacéuticos, específicamente los tiempos de ejecución y la asignación de recursos humanos y materiales. Dado que no se dispone de acceso a registros operativos reales ni existe un conjunto de datos público equivalente (ver Justificación), el referente empírico del trabajo es un </w:t>
      </w:r>
      <w:r>
        <w:rPr>
          <w:rFonts w:ascii="Calibri" w:cs="Calibri" w:eastAsia="Calibri" w:hAnsi="Calibri"/>
          <w:b/>
          <w:bCs/>
          <w:color w:val="1A1A1A"/>
          <w:sz w:val="21"/>
          <w:szCs w:val="21"/>
        </w:rPr>
        <w:t xml:space="preserve">laboratorio de referencia simulado</w:t>
      </w:r>
      <w:r>
        <w:rPr>
          <w:rFonts w:ascii="Calibri" w:cs="Calibri" w:eastAsia="Calibri" w:hAnsi="Calibri"/>
          <w:color w:val="1A1A1A"/>
          <w:sz w:val="21"/>
          <w:szCs w:val="21"/>
        </w:rPr>
        <w:t xml:space="preserve">, calibrado con parámetros operativos publicados en literatura arbitrada. El aprendizaje automático y la simulación estocástica constituyen el método con el que se estudia ese objeto, no parte del objeto mismo.</w:t>
      </w:r>
    </w:p>
    <w:p>
      <w:pPr>
        <w:pStyle w:val="Heading1"/>
        <w:spacing w:after="150" w:before="340"/>
      </w:pPr>
      <w:r>
        <w:rPr>
          <w:rFonts w:ascii="Calibri" w:cs="Calibri" w:eastAsia="Calibri" w:hAnsi="Calibri"/>
          <w:b/>
          <w:bCs/>
          <w:color w:val="1A4B8C"/>
          <w:sz w:val="24"/>
          <w:szCs w:val="24"/>
        </w:rPr>
        <w:t xml:space="preserve">Justificación</w:t>
      </w:r>
    </w:p>
    <w:p>
      <w:pPr>
        <w:spacing w:after="150" w:before="0" w:line="288"/>
        <w:jc w:val="both"/>
      </w:pPr>
      <w:r>
        <w:rPr>
          <w:rFonts w:ascii="Calibri" w:cs="Calibri" w:eastAsia="Calibri" w:hAnsi="Calibri"/>
          <w:color w:val="1A1A1A"/>
          <w:sz w:val="21"/>
          <w:szCs w:val="21"/>
        </w:rPr>
        <w:t xml:space="preserve">En los laboratorios de control de calidad farmacéuticos, la gestión de los análisis y la asignación de recursos humanos y materiales son determinantes para el desempeño operativo, el cumplimiento de los plazos y la confiabilidad de los resultados. Estas actividades generan información valiosa —duraciones por tipo de ensayo, disponibilidad de equipos, desempeño del personal—, pero en muchos contextos esa información se utiliza de manera predominantemente descriptiva, de modo que la planificación termina descansando en la experiencia previa y en criterios empíricos.</w:t>
      </w:r>
    </w:p>
    <w:p>
      <w:pPr>
        <w:spacing w:after="100" w:before="220"/>
      </w:pPr>
      <w:r>
        <w:rPr>
          <w:rFonts w:ascii="Calibri" w:cs="Calibri" w:eastAsia="Calibri" w:hAnsi="Calibri"/>
          <w:b/>
          <w:bCs/>
          <w:color w:val="1A1A1A"/>
          <w:sz w:val="21"/>
          <w:szCs w:val="21"/>
        </w:rPr>
        <w:t xml:space="preserve">Antecedentes</w:t>
      </w:r>
    </w:p>
    <w:p>
      <w:pPr>
        <w:spacing w:after="150" w:before="0" w:line="288"/>
        <w:jc w:val="both"/>
      </w:pPr>
      <w:r>
        <w:rPr>
          <w:rFonts w:ascii="Calibri" w:cs="Calibri" w:eastAsia="Calibri" w:hAnsi="Calibri"/>
          <w:color w:val="1A1A1A"/>
          <w:sz w:val="21"/>
          <w:szCs w:val="21"/>
        </w:rPr>
        <w:t xml:space="preserve">La literatura sobre gestión de laboratorios tiene una trayectoria consolidada. Klaessens et al. (1988) modelaron la operación de un laboratorio mediante teoría de colas y compararon planificación centralizada y descentralizada. Boyd y Savory (2001) optimizaron la programación de personal mediante algoritmos genéticos. Schäfer (2004) sistematizó los conceptos del flujo de trabajo analítico y su programación dinámica; Maslaton (2012) propuso un enfoque de dos etapas —planificación de recursos y programación de análisis—; y Dudnikov et al. (2012) desarrollaron un sistema capaz de reorganizar dinámicamente la planificación diaria ante análisis no programados.</w:t>
      </w:r>
    </w:p>
    <w:p>
      <w:pPr>
        <w:spacing w:after="150" w:before="0" w:line="288"/>
        <w:jc w:val="both"/>
      </w:pPr>
      <w:r>
        <w:rPr>
          <w:rFonts w:ascii="Calibri" w:cs="Calibri" w:eastAsia="Calibri" w:hAnsi="Calibri"/>
          <w:color w:val="1A1A1A"/>
          <w:sz w:val="21"/>
          <w:szCs w:val="21"/>
        </w:rPr>
        <w:t xml:space="preserve">La línea más próxima a este trabajo proviene del grupo del Instituto Superior Técnico de Lisboa. Costigliola et al. (2017) construyeron un modelo de simulación de eventos discretos de un laboratorio de control de calidad farmacéutico real, alimentado con datos operativos de la instalación, que computa producción, utilización de equipos y tiempos de procesamiento bajo políticas alternativas de programación. Lopes et al. (2020) extendieron ese trabajo a un gemelo digital del mismo tipo de laboratorio, comparando modelos de gobernanza mediante tiempos de procesamiento de muestras y tasas de utilización de analistas y equipos. Martins et al. (2023), del mismo grupo, abordaron la programación de un laboratorio de control de calidad de gran escala mediante heurísticas de minimización del tiempo total de terminación. En paralelo, Danzinger et al. (2025) formalizaron el problema generalizado de programación de laboratorios de ensayo y lo resolvieron mediante programación con restricciones, y Mischek y Musliu (2024) incorporaron optimización multiobjetivo con explicabilidad mediante valores de Shapley para el apoyo a decisiones de programación. Aunque estos antecedentes provienen de contextos europeos, describen el mismo tipo de proceso regulado por Buenas Prácticas de Manufactura armonizadas con los lineamientos de la OMS, por lo que sus parámetros estructurales son transferibles al caso estudiado; su origen se declara de forma explícita.</w:t>
      </w:r>
    </w:p>
    <w:p>
      <w:pPr>
        <w:spacing w:after="150" w:before="0" w:line="288"/>
        <w:jc w:val="both"/>
      </w:pPr>
      <w:r>
        <w:rPr>
          <w:rFonts w:ascii="Calibri" w:cs="Calibri" w:eastAsia="Calibri" w:hAnsi="Calibri"/>
          <w:color w:val="1A1A1A"/>
          <w:sz w:val="21"/>
          <w:szCs w:val="21"/>
        </w:rPr>
        <w:t xml:space="preserve">En cuanto al método, Dong et al. (2023) documentan el desempeño de técnicas de aprendizaje automático —Redes Neuronales, Random Forest, máquinas de vectores de soporte— en procesos farmacéuticos; Khadivi et al. (2025) sistematizan el uso de aprendizaje por refuerzo profundo en programación de máquinas, mostrando que las políticas aprendidas mediante Deep Q-Network superan de forma consistente a las reglas de despacho heurísticas en entornos dinámicos; y Kodumuru et al. (2025) y Abdulhussain et al. (2026) evidencian, desde revistas indexadas, la integración de inteligencia artificial y analítica avanzada en la manufactura farmacéutica y su aporte a la eficiencia operativa dentro del marco Quality by Digital Design.</w:t>
      </w:r>
    </w:p>
    <w:p>
      <w:pPr>
        <w:spacing w:after="100" w:before="220"/>
      </w:pPr>
      <w:r>
        <w:rPr>
          <w:rFonts w:ascii="Calibri" w:cs="Calibri" w:eastAsia="Calibri" w:hAnsi="Calibri"/>
          <w:b/>
          <w:bCs/>
          <w:color w:val="1A1A1A"/>
          <w:sz w:val="21"/>
          <w:szCs w:val="21"/>
        </w:rPr>
        <w:t xml:space="preserve">Fundamento metodológico de los datos sintéticos</w:t>
      </w:r>
    </w:p>
    <w:p>
      <w:pPr>
        <w:spacing w:after="150" w:before="0" w:line="288"/>
        <w:jc w:val="both"/>
      </w:pPr>
      <w:r>
        <w:rPr>
          <w:rFonts w:ascii="Calibri" w:cs="Calibri" w:eastAsia="Calibri" w:hAnsi="Calibri"/>
          <w:color w:val="1A1A1A"/>
          <w:sz w:val="21"/>
          <w:szCs w:val="21"/>
        </w:rPr>
        <w:t xml:space="preserve">El pilar metodológico del trabajo cuenta con literatura propia. En generación, Patki et al. (2016) formalizaron el enfoque de bóvedas de datos sintéticos (SDV) y Xu et al. (2019) propusieron CTGAN para datos tabulares; la ruta de simulación estocástica —adoptada aquí— está documentada por Hassi et al. (2025), quienes muestran que la simulación de Monte Carlo con estimaciones de tres puntos y factores de correlación reproduce cronogramas bajo incertidumbre, y que la elección de la distribución de probabilidad altera significativamente las estimaciones de duración. En evaluación, la calidad del dato sintético se valora en tres dimensiones consolidadas —fidelidad, utilidad y privacidad— (Figueira y Vaz, 2022; Vallevik et al., 2024; Hernandez et al., 2025), y el protocolo estándar de utilidad es TSTR (entrenar en sintético, evaluar en real), formulado por Esteban et al. (2017). Como marco conceptual general se dispone del informe de la Royal Society y el Alan Turing Institute (Jordon et al., 2022) y del referente clásico de evaluación en datos de salud (Goncalves et al., 2020).</w:t>
      </w:r>
    </w:p>
    <w:p>
      <w:pPr>
        <w:spacing w:after="100" w:before="220"/>
      </w:pPr>
      <w:r>
        <w:rPr>
          <w:rFonts w:ascii="Calibri" w:cs="Calibri" w:eastAsia="Calibri" w:hAnsi="Calibri"/>
          <w:b/>
          <w:bCs/>
          <w:color w:val="1A1A1A"/>
          <w:sz w:val="21"/>
          <w:szCs w:val="21"/>
        </w:rPr>
        <w:t xml:space="preserve">Disponibilidad de datos y decisión metodológica</w:t>
      </w:r>
    </w:p>
    <w:p>
      <w:pPr>
        <w:spacing w:after="150" w:before="0" w:line="288"/>
        <w:jc w:val="both"/>
      </w:pPr>
      <w:r>
        <w:rPr>
          <w:rFonts w:ascii="Calibri" w:cs="Calibri" w:eastAsia="Calibri" w:hAnsi="Calibri"/>
          <w:color w:val="1A1A1A"/>
          <w:sz w:val="21"/>
          <w:szCs w:val="21"/>
        </w:rPr>
        <w:t xml:space="preserve">La búsqueda de un conjunto de datos real u operativo arrojó un resultado negativo verificable: en los repositorios públicos consultados (Kaggle, Zenodo, UCI Machine Learning Repository y Mendeley Data, julio–agosto de 2026) no existe ningún dataset de operación de laboratorios de control de calidad farmacéuticos —registros de sistemas LIMS, duraciones por tipo de método, calificaciones de analistas o utilización de equipos—. Los datos crudos del laboratorio que sustenta los trabajos de Costigliola et al. (2017) y Lopes et al. (2020) nunca fueron publicados; de hecho, el propio grupo debió generar instancias sintéticas calibradas con distribuciones de literatura para su estudio de 2023 (Martins et al., 2023).</w:t>
      </w:r>
    </w:p>
    <w:p>
      <w:pPr>
        <w:spacing w:after="150" w:before="0" w:line="288"/>
        <w:jc w:val="both"/>
      </w:pPr>
      <w:r>
        <w:rPr>
          <w:rFonts w:ascii="Calibri" w:cs="Calibri" w:eastAsia="Calibri" w:hAnsi="Calibri"/>
          <w:color w:val="1A1A1A"/>
          <w:sz w:val="21"/>
          <w:szCs w:val="21"/>
        </w:rPr>
        <w:t xml:space="preserve">En consecuencia, este trabajo no reclama un dataset semilla: declara una </w:t>
      </w:r>
      <w:r>
        <w:rPr>
          <w:rFonts w:ascii="Calibri" w:cs="Calibri" w:eastAsia="Calibri" w:hAnsi="Calibri"/>
          <w:b/>
          <w:bCs/>
          <w:color w:val="1A1A1A"/>
          <w:sz w:val="21"/>
          <w:szCs w:val="21"/>
        </w:rPr>
        <w:t xml:space="preserve">simulación estocástica calibrada con parámetros publicados</w:t>
      </w:r>
      <w:r>
        <w:rPr>
          <w:rFonts w:ascii="Calibri" w:cs="Calibri" w:eastAsia="Calibri" w:hAnsi="Calibri"/>
          <w:color w:val="1A1A1A"/>
          <w:sz w:val="21"/>
          <w:szCs w:val="21"/>
        </w:rPr>
        <w:t xml:space="preserve">. La calibración se apoya en valores de acceso abierto del mismo tipo de laboratorio —Coito et al. (2021) reportan que cada ensayo se estructura en seis tareas y que el 90 % de los ensayos tiene una duración total entre 458 y 786 minutos— y en los indicadores de Costigliola et al. (2017). Como contraste estructural y de validación externa se emplean dos artefactos públicos: las instancias del problema de programación de laboratorios de ensayo (TLSP) publicadas por la Universidad Tecnológica de Viena, que incluyen un conjunto derivado de un laboratorio real anonimizado con tareas, analistas calificados y grupos de equipos, y las instancias con licencia MIT del repositorio de Martins et al. (2023), generadas para un laboratorio de control de calidad farmacéutico. Los enlaces de acceso y verificación de todas las fuentes se listan en el Anexo.</w:t>
      </w:r>
    </w:p>
    <w:p>
      <w:pPr>
        <w:spacing w:after="100" w:before="220"/>
      </w:pPr>
      <w:r>
        <w:rPr>
          <w:rFonts w:ascii="Calibri" w:cs="Calibri" w:eastAsia="Calibri" w:hAnsi="Calibri"/>
          <w:b/>
          <w:bCs/>
          <w:color w:val="1A1A1A"/>
          <w:sz w:val="21"/>
          <w:szCs w:val="21"/>
        </w:rPr>
        <w:t xml:space="preserve">Vacío de investigación</w:t>
      </w:r>
    </w:p>
    <w:p>
      <w:pPr>
        <w:spacing w:after="150" w:before="0" w:line="288"/>
        <w:jc w:val="both"/>
      </w:pPr>
      <w:r>
        <w:rPr>
          <w:rFonts w:ascii="Calibri" w:cs="Calibri" w:eastAsia="Calibri" w:hAnsi="Calibri"/>
          <w:color w:val="1A1A1A"/>
          <w:sz w:val="21"/>
          <w:szCs w:val="21"/>
        </w:rPr>
        <w:t xml:space="preserve">Los trabajos revisados abordan la programación de laboratorios mediante simulación (Klaessens et al., 1988; Costigliola et al., 2017), gemelos digitales (Lopes et al., 2020), optimización del personal (Boyd y Savory, 2001), heurísticas y programación con restricciones (Martins et al., 2023; Danzinger et al., 2025) y planificación dinámica (Schäfer, 2004; Dudnikov et al., 2012), pero lo hacen sobre modelos de reglas o sobre datos operativos propios de cada instalación. No se identificaron trabajos que integren la estimación supervisada de duraciones y la recomendación de asignación de recursos entrenadas exclusivamente con datos sintéticos calibrados con literatura, evaluadas frente a políticas de referencia, en el contexto de laboratorios de control de calidad farmacéuticos. Ese es el vacío que la presente investigación aborda: desde lo aplicado, un marco de apoyo a la planificación operativa; desde lo metodológico, una vía documentada para investigar este dominio cuando el acceso a datos reales está restringido por confidencialidad industrial y por la inexistencia de registros públicos.</w:t>
      </w:r>
    </w:p>
    <w:p>
      <w:pPr>
        <w:pStyle w:val="Heading1"/>
        <w:spacing w:after="150" w:before="340"/>
      </w:pPr>
      <w:r>
        <w:rPr>
          <w:rFonts w:ascii="Calibri" w:cs="Calibri" w:eastAsia="Calibri" w:hAnsi="Calibri"/>
          <w:b/>
          <w:bCs/>
          <w:color w:val="1A4B8C"/>
          <w:sz w:val="24"/>
          <w:szCs w:val="24"/>
        </w:rPr>
        <w:t xml:space="preserve">Formulación de la situación a investigar</w:t>
      </w:r>
    </w:p>
    <w:p>
      <w:pPr>
        <w:spacing w:after="150" w:before="0" w:line="288"/>
        <w:jc w:val="both"/>
      </w:pPr>
      <w:r>
        <w:rPr>
          <w:rFonts w:ascii="Calibri" w:cs="Calibri" w:eastAsia="Calibri" w:hAnsi="Calibri"/>
          <w:color w:val="1A1A1A"/>
          <w:sz w:val="21"/>
          <w:szCs w:val="21"/>
        </w:rPr>
        <w:t xml:space="preserve">La ejecución de actividades analíticas exige estimar duraciones y asignar recursos bajo restricciones cruzadas de calificación del personal, disponibilidad de equipos y plazos de entrega, sobre un problema de programación cuya dureza computacional está demostrada. Cuando esa doble tarea se resuelve solo con criterio experto y sin apoyo predictivo, la capacidad operativa real del laboratorio permanece invisible y los cuellos de botella se identifican tarde. En este marco surge la necesidad de investigar:</w:t>
      </w:r>
    </w:p>
    <w:p>
      <w:pPr>
        <w:pBdr>
          <w:left w:val="single" w:color="1A4B8C" w:sz="12" w:space="10"/>
        </w:pBdr>
        <w:spacing w:after="150" w:before="100" w:line="276"/>
        <w:ind w:left="431"/>
        <w:jc w:val="both"/>
      </w:pPr>
      <w:r>
        <w:rPr>
          <w:rFonts w:ascii="Calibri" w:cs="Calibri" w:eastAsia="Calibri" w:hAnsi="Calibri"/>
          <w:i/>
          <w:iCs/>
          <w:color w:val="5A5A5A"/>
          <w:sz w:val="20"/>
          <w:szCs w:val="20"/>
        </w:rPr>
        <w:t xml:space="preserve">¿Qué nivel de precisión alcanzan distintos algoritmos de aprendizaje automático supervisado, entrenados con datos sintéticos calibrados con parámetros de la literatura, en la estimación de la duración de actividades analíticas de un laboratorio de control de calidad farmacéutico de referencia, y en qué medida una política de asignación de personal y equipos aprendida por refuerzo profundo a partir de dichas estimaciones mejora el makespan, la utilización de recursos y el cumplimiento de plazos frente a políticas de asignación de referencia en el mismo entorno de simulación?</w:t>
      </w:r>
    </w:p>
    <w:p>
      <w:pPr>
        <w:pStyle w:val="Heading1"/>
        <w:spacing w:after="150" w:before="340"/>
      </w:pPr>
      <w:r>
        <w:rPr>
          <w:rFonts w:ascii="Calibri" w:cs="Calibri" w:eastAsia="Calibri" w:hAnsi="Calibri"/>
          <w:b/>
          <w:bCs/>
          <w:color w:val="1A4B8C"/>
          <w:sz w:val="24"/>
          <w:szCs w:val="24"/>
        </w:rPr>
        <w:t xml:space="preserve">Objetivos</w:t>
      </w:r>
    </w:p>
    <w:p>
      <w:pPr>
        <w:spacing w:after="100" w:before="220"/>
      </w:pPr>
      <w:r>
        <w:rPr>
          <w:rFonts w:ascii="Calibri" w:cs="Calibri" w:eastAsia="Calibri" w:hAnsi="Calibri"/>
          <w:b/>
          <w:bCs/>
          <w:color w:val="1A1A1A"/>
          <w:sz w:val="21"/>
          <w:szCs w:val="21"/>
        </w:rPr>
        <w:t xml:space="preserve">General</w:t>
      </w:r>
    </w:p>
    <w:p>
      <w:pPr>
        <w:spacing w:after="150" w:before="0" w:line="288"/>
        <w:jc w:val="both"/>
      </w:pPr>
      <w:r>
        <w:rPr>
          <w:rFonts w:ascii="Calibri" w:cs="Calibri" w:eastAsia="Calibri" w:hAnsi="Calibri"/>
          <w:color w:val="1A1A1A"/>
          <w:sz w:val="21"/>
          <w:szCs w:val="21"/>
        </w:rPr>
        <w:t xml:space="preserve">Desarrollar un prototipo de modelo de aprendizaje automático, entrenado con datos sintéticos calibrados con parámetros de la literatura, que permita la predicción de la duración de actividades analíticas y la recomendación de la asignación de personal calificado y equipos en un laboratorio de control de calidad farmacéutico de referencia.</w:t>
      </w:r>
    </w:p>
    <w:p>
      <w:pPr>
        <w:spacing w:after="100" w:before="220"/>
      </w:pPr>
      <w:r>
        <w:rPr>
          <w:rFonts w:ascii="Calibri" w:cs="Calibri" w:eastAsia="Calibri" w:hAnsi="Calibri"/>
          <w:b/>
          <w:bCs/>
          <w:color w:val="1A1A1A"/>
          <w:sz w:val="21"/>
          <w:szCs w:val="21"/>
        </w:rPr>
        <w:t xml:space="preserve">Específicos</w:t>
      </w:r>
    </w:p>
    <w:p>
      <w:pPr>
        <w:pStyle w:val="ListParagraph"/>
        <w:numPr>
          <w:ilvl w:val="0"/>
          <w:numId w:val="2"/>
        </w:numPr>
        <w:spacing w:after="80" w:line="288"/>
        <w:jc w:val="both"/>
      </w:pPr>
      <w:r>
        <w:rPr>
          <w:rFonts w:ascii="Calibri" w:cs="Calibri" w:eastAsia="Calibri" w:hAnsi="Calibri"/>
          <w:color w:val="1A1A1A"/>
          <w:sz w:val="21"/>
          <w:szCs w:val="21"/>
        </w:rPr>
        <w:t xml:space="preserve">Estructurar un conjunto de datos sintéticos que represente los tiempos de ejecución y la disponibilidad cruzada de recursos humanos y materiales del laboratorio de referencia, mediante simulación estocástica de Monte Carlo con estimaciones de tres puntos (BetaPERT) y factores de correlación, calibrada con parámetros operativos publicados y contrastada estructuralmente con instancias públicas de programación de laboratorios.</w:t>
      </w:r>
    </w:p>
    <w:p>
      <w:pPr>
        <w:pStyle w:val="ListParagraph"/>
        <w:numPr>
          <w:ilvl w:val="0"/>
          <w:numId w:val="2"/>
        </w:numPr>
        <w:spacing w:after="80" w:line="288"/>
        <w:jc w:val="both"/>
      </w:pPr>
      <w:r>
        <w:rPr>
          <w:rFonts w:ascii="Calibri" w:cs="Calibri" w:eastAsia="Calibri" w:hAnsi="Calibri"/>
          <w:color w:val="1A1A1A"/>
          <w:sz w:val="21"/>
          <w:szCs w:val="21"/>
        </w:rPr>
        <w:t xml:space="preserve">Comparar el desempeño de algoritmos de aprendizaje automático supervisado —regresión lineal múltiple como línea base, Random Forest, máquinas de vectores de soporte y ensambles de potenciación de gradiente— en la estimación de la duración de las actividades analíticas, mediante las métricas MAE, RMSE, MAPE y R², con partición 80/20, validación cruzada k-fold y evaluación en regímenes de carga no vistos durante el entrenamiento.</w:t>
      </w:r>
    </w:p>
    <w:p>
      <w:pPr>
        <w:pStyle w:val="ListParagraph"/>
        <w:numPr>
          <w:ilvl w:val="0"/>
          <w:numId w:val="2"/>
        </w:numPr>
        <w:spacing w:after="80" w:line="288"/>
        <w:jc w:val="both"/>
      </w:pPr>
      <w:r>
        <w:rPr>
          <w:rFonts w:ascii="Calibri" w:cs="Calibri" w:eastAsia="Calibri" w:hAnsi="Calibri"/>
          <w:color w:val="1A1A1A"/>
          <w:sz w:val="21"/>
          <w:szCs w:val="21"/>
        </w:rPr>
        <w:t xml:space="preserve">Construir un prototipo funcional que integre el modelo predictivo seleccionado y genere recomendaciones de asignación de personal calificado y equipos mediante una política aprendida por refuerzo profundo (Deep Q-Network), evaluando su desempeño frente a políticas de asignación de referencia (FIFO, asignación aleatoria y regla experta) con indicadores de makespan, tasa de utilización de recursos, tardanza media y porcentaje de análisis fuera de plazo, en el entorno de simulación.</w:t>
      </w:r>
    </w:p>
    <w:p>
      <w:pPr>
        <w:pStyle w:val="Heading1"/>
        <w:spacing w:after="150" w:before="340"/>
      </w:pPr>
      <w:r>
        <w:rPr>
          <w:rFonts w:ascii="Calibri" w:cs="Calibri" w:eastAsia="Calibri" w:hAnsi="Calibri"/>
          <w:b/>
          <w:bCs/>
          <w:color w:val="1A4B8C"/>
          <w:sz w:val="24"/>
          <w:szCs w:val="24"/>
        </w:rPr>
        <w:t xml:space="preserve">Características de los objetivos específicos</w:t>
      </w:r>
    </w:p>
    <w:tbl>
      <w:tblPr>
        <w:tblW w:type="dxa" w:w="9000"/>
        <w:tblBorders>
          <w:top w:val="single" w:color="C9C9C9" w:sz="4"/>
          <w:left w:val="single" w:color="C9C9C9" w:sz="4"/>
          <w:bottom w:val="single" w:color="C9C9C9" w:sz="4"/>
          <w:right w:val="single" w:color="C9C9C9" w:sz="4"/>
          <w:insideH w:val="single" w:color="C9C9C9" w:sz="4"/>
          <w:insideV w:val="single" w:color="C9C9C9" w:sz="4"/>
        </w:tblBorders>
      </w:tblPr>
      <w:tblGrid>
        <w:gridCol w:w="450"/>
        <w:gridCol w:w="1650"/>
        <w:gridCol w:w="2650"/>
        <w:gridCol w:w="4250"/>
      </w:tblGrid>
      <w:tr>
        <w:tc>
          <w:tcPr>
            <w:tcW w:type="dxa" w:w="450"/>
            <w:shd w:fill="ECEEF1" w:color="auto" w:val="clear"/>
            <w:tcMar>
              <w:top w:type="dxa" w:w="80"/>
              <w:left w:type="dxa" w:w="100"/>
              <w:bottom w:type="dxa" w:w="80"/>
              <w:right w:type="dxa" w:w="100"/>
            </w:tcMar>
          </w:tcPr>
          <w:p>
            <w:pPr>
              <w:spacing w:after="40" w:line="256"/>
              <w:jc w:val="left"/>
            </w:pPr>
            <w:r>
              <w:rPr>
                <w:rFonts w:ascii="Calibri" w:cs="Calibri" w:eastAsia="Calibri" w:hAnsi="Calibri"/>
                <w:b/>
                <w:bCs/>
                <w:color w:val="1A1A1A"/>
                <w:sz w:val="17"/>
                <w:szCs w:val="17"/>
              </w:rPr>
              <w:t xml:space="preserve">#</w:t>
            </w:r>
          </w:p>
        </w:tc>
        <w:tc>
          <w:tcPr>
            <w:tcW w:type="dxa" w:w="1650"/>
            <w:shd w:fill="ECEEF1" w:color="auto" w:val="clear"/>
            <w:tcMar>
              <w:top w:type="dxa" w:w="80"/>
              <w:left w:type="dxa" w:w="100"/>
              <w:bottom w:type="dxa" w:w="80"/>
              <w:right w:type="dxa" w:w="100"/>
            </w:tcMar>
          </w:tcPr>
          <w:p>
            <w:pPr>
              <w:spacing w:after="40" w:line="256"/>
              <w:jc w:val="left"/>
            </w:pPr>
            <w:r>
              <w:rPr>
                <w:rFonts w:ascii="Calibri" w:cs="Calibri" w:eastAsia="Calibri" w:hAnsi="Calibri"/>
                <w:b/>
                <w:bCs/>
                <w:color w:val="1A1A1A"/>
                <w:sz w:val="17"/>
                <w:szCs w:val="17"/>
              </w:rPr>
              <w:t xml:space="preserve">Tipo de objetivo</w:t>
            </w:r>
          </w:p>
        </w:tc>
        <w:tc>
          <w:tcPr>
            <w:tcW w:type="dxa" w:w="2650"/>
            <w:shd w:fill="ECEEF1" w:color="auto" w:val="clear"/>
            <w:tcMar>
              <w:top w:type="dxa" w:w="80"/>
              <w:left w:type="dxa" w:w="100"/>
              <w:bottom w:type="dxa" w:w="80"/>
              <w:right w:type="dxa" w:w="100"/>
            </w:tcMar>
          </w:tcPr>
          <w:p>
            <w:pPr>
              <w:spacing w:after="40" w:line="256"/>
              <w:jc w:val="left"/>
            </w:pPr>
            <w:r>
              <w:rPr>
                <w:rFonts w:ascii="Calibri" w:cs="Calibri" w:eastAsia="Calibri" w:hAnsi="Calibri"/>
                <w:b/>
                <w:bCs/>
                <w:color w:val="1A1A1A"/>
                <w:sz w:val="17"/>
                <w:szCs w:val="17"/>
              </w:rPr>
              <w:t xml:space="preserve">Producto parcial</w:t>
            </w:r>
          </w:p>
        </w:tc>
        <w:tc>
          <w:tcPr>
            <w:tcW w:type="dxa" w:w="4250"/>
            <w:shd w:fill="ECEEF1" w:color="auto" w:val="clear"/>
            <w:tcMar>
              <w:top w:type="dxa" w:w="80"/>
              <w:left w:type="dxa" w:w="100"/>
              <w:bottom w:type="dxa" w:w="80"/>
              <w:right w:type="dxa" w:w="100"/>
            </w:tcMar>
          </w:tcPr>
          <w:p>
            <w:pPr>
              <w:spacing w:after="40" w:line="256"/>
              <w:jc w:val="left"/>
            </w:pPr>
            <w:r>
              <w:rPr>
                <w:rFonts w:ascii="Calibri" w:cs="Calibri" w:eastAsia="Calibri" w:hAnsi="Calibri"/>
                <w:b/>
                <w:bCs/>
                <w:color w:val="1A1A1A"/>
                <w:sz w:val="17"/>
                <w:szCs w:val="17"/>
              </w:rPr>
              <w:t xml:space="preserve">Actividades</w:t>
            </w:r>
          </w:p>
        </w:tc>
      </w:tr>
      <w:tr>
        <w:tc>
          <w:tcPr>
            <w:tcW w:type="dxa" w:w="450"/>
            <w:tcMar>
              <w:top w:type="dxa" w:w="80"/>
              <w:left w:type="dxa" w:w="100"/>
              <w:bottom w:type="dxa" w:w="80"/>
              <w:right w:type="dxa" w:w="100"/>
            </w:tcMar>
          </w:tcPr>
          <w:p>
            <w:pPr>
              <w:spacing w:after="40" w:line="256"/>
              <w:jc w:val="left"/>
            </w:pPr>
            <w:r>
              <w:rPr>
                <w:rFonts w:ascii="Calibri" w:cs="Calibri" w:eastAsia="Calibri" w:hAnsi="Calibri"/>
                <w:b/>
                <w:bCs/>
                <w:color w:val="1A1A1A"/>
                <w:sz w:val="17"/>
                <w:szCs w:val="17"/>
              </w:rPr>
              <w:t xml:space="preserve">1</w:t>
            </w:r>
          </w:p>
        </w:tc>
        <w:tc>
          <w:tcPr>
            <w:tcW w:type="dxa" w:w="1650"/>
            <w:tcMar>
              <w:top w:type="dxa" w:w="80"/>
              <w:left w:type="dxa" w:w="100"/>
              <w:bottom w:type="dxa" w:w="80"/>
              <w:right w:type="dxa" w:w="100"/>
            </w:tcMar>
          </w:tcPr>
          <w:p>
            <w:pPr>
              <w:spacing w:after="40" w:line="256"/>
              <w:jc w:val="left"/>
            </w:pPr>
            <w:r>
              <w:rPr>
                <w:rFonts w:ascii="Calibri" w:cs="Calibri" w:eastAsia="Calibri" w:hAnsi="Calibri"/>
                <w:color w:val="1A1A1A"/>
                <w:sz w:val="17"/>
                <w:szCs w:val="17"/>
              </w:rPr>
              <w:t xml:space="preserve">De generación de conocimiento</w:t>
            </w:r>
          </w:p>
        </w:tc>
        <w:tc>
          <w:tcPr>
            <w:tcW w:type="dxa" w:w="2650"/>
            <w:tcMar>
              <w:top w:type="dxa" w:w="80"/>
              <w:left w:type="dxa" w:w="100"/>
              <w:bottom w:type="dxa" w:w="80"/>
              <w:right w:type="dxa" w:w="100"/>
            </w:tcMar>
          </w:tcPr>
          <w:p>
            <w:pPr>
              <w:spacing w:after="40" w:line="256"/>
              <w:jc w:val="left"/>
            </w:pPr>
            <w:r>
              <w:rPr>
                <w:rFonts w:ascii="Calibri" w:cs="Calibri" w:eastAsia="Calibri" w:hAnsi="Calibri"/>
                <w:color w:val="1A1A1A"/>
                <w:sz w:val="17"/>
                <w:szCs w:val="17"/>
              </w:rPr>
              <w:t xml:space="preserve">Conjunto de datos sintéticos documentado, con trazabilidad de cada supuesto de generación a su fuente</w:t>
            </w:r>
          </w:p>
        </w:tc>
        <w:tc>
          <w:tcPr>
            <w:tcW w:type="dxa" w:w="4250"/>
            <w:tcMar>
              <w:top w:type="dxa" w:w="80"/>
              <w:left w:type="dxa" w:w="100"/>
              <w:bottom w:type="dxa" w:w="80"/>
              <w:right w:type="dxa" w:w="100"/>
            </w:tcMar>
          </w:tcPr>
          <w:p>
            <w:pPr>
              <w:spacing w:after="40" w:line="256"/>
              <w:jc w:val="left"/>
            </w:pPr>
            <w:r>
              <w:rPr>
                <w:rFonts w:ascii="Calibri" w:cs="Calibri" w:eastAsia="Calibri" w:hAnsi="Calibri"/>
                <w:color w:val="1A1A1A"/>
                <w:sz w:val="17"/>
                <w:szCs w:val="17"/>
              </w:rPr>
              <w:t xml:space="preserve">• Extracción de parámetros operativos de literatura arbitrada (Costigliola et al., 2017; Coito et al., 2021)</w:t>
            </w:r>
          </w:p>
          <w:p>
            <w:pPr>
              <w:spacing w:after="40" w:line="256"/>
              <w:jc w:val="left"/>
            </w:pPr>
            <w:r>
              <w:rPr>
                <w:rFonts w:ascii="Calibri" w:cs="Calibri" w:eastAsia="Calibri" w:hAnsi="Calibri"/>
                <w:color w:val="1A1A1A"/>
                <w:sz w:val="17"/>
                <w:szCs w:val="17"/>
              </w:rPr>
              <w:t xml:space="preserve">• Definición de variables, restricciones y factores de correlación entre recursos compartidos</w:t>
            </w:r>
          </w:p>
          <w:p>
            <w:pPr>
              <w:spacing w:after="40" w:line="256"/>
              <w:jc w:val="left"/>
            </w:pPr>
            <w:r>
              <w:rPr>
                <w:rFonts w:ascii="Calibri" w:cs="Calibri" w:eastAsia="Calibri" w:hAnsi="Calibri"/>
                <w:color w:val="1A1A1A"/>
                <w:sz w:val="17"/>
                <w:szCs w:val="17"/>
              </w:rPr>
              <w:t xml:space="preserve">• Implementación del generador de Monte Carlo con estimaciones de tres puntos (BetaPERT)</w:t>
            </w:r>
          </w:p>
          <w:p>
            <w:pPr>
              <w:spacing w:after="40" w:line="256"/>
              <w:jc w:val="left"/>
            </w:pPr>
            <w:r>
              <w:rPr>
                <w:rFonts w:ascii="Calibri" w:cs="Calibri" w:eastAsia="Calibri" w:hAnsi="Calibri"/>
                <w:color w:val="1A1A1A"/>
                <w:sz w:val="17"/>
                <w:szCs w:val="17"/>
              </w:rPr>
              <w:t xml:space="preserve">• Análisis de sensibilidad frente a la distribución de probabilidad elegida (Hassi et al., 2025)</w:t>
            </w:r>
          </w:p>
          <w:p>
            <w:pPr>
              <w:spacing w:after="40" w:line="256"/>
              <w:jc w:val="left"/>
            </w:pPr>
            <w:r>
              <w:rPr>
                <w:rFonts w:ascii="Calibri" w:cs="Calibri" w:eastAsia="Calibri" w:hAnsi="Calibri"/>
                <w:color w:val="1A1A1A"/>
                <w:sz w:val="17"/>
                <w:szCs w:val="17"/>
              </w:rPr>
              <w:t xml:space="preserve">• Contraste estructural con las instancias TLSP (TU Wien) y las instancias de Martins et al. (2023)</w:t>
            </w:r>
          </w:p>
          <w:p>
            <w:pPr>
              <w:spacing w:after="40" w:line="256"/>
              <w:jc w:val="left"/>
            </w:pPr>
            <w:r>
              <w:rPr>
                <w:rFonts w:ascii="Calibri" w:cs="Calibri" w:eastAsia="Calibri" w:hAnsi="Calibri"/>
                <w:color w:val="1A1A1A"/>
                <w:sz w:val="17"/>
                <w:szCs w:val="17"/>
              </w:rPr>
              <w:t xml:space="preserve">• Validación de consistencia interna (fidelidad estadística del conjunto generado)</w:t>
            </w:r>
          </w:p>
        </w:tc>
      </w:tr>
      <w:tr>
        <w:tc>
          <w:tcPr>
            <w:tcW w:type="dxa" w:w="450"/>
            <w:tcMar>
              <w:top w:type="dxa" w:w="80"/>
              <w:left w:type="dxa" w:w="100"/>
              <w:bottom w:type="dxa" w:w="80"/>
              <w:right w:type="dxa" w:w="100"/>
            </w:tcMar>
          </w:tcPr>
          <w:p>
            <w:pPr>
              <w:spacing w:after="40" w:line="256"/>
              <w:jc w:val="left"/>
            </w:pPr>
            <w:r>
              <w:rPr>
                <w:rFonts w:ascii="Calibri" w:cs="Calibri" w:eastAsia="Calibri" w:hAnsi="Calibri"/>
                <w:b/>
                <w:bCs/>
                <w:color w:val="1A1A1A"/>
                <w:sz w:val="17"/>
                <w:szCs w:val="17"/>
              </w:rPr>
              <w:t xml:space="preserve">2</w:t>
            </w:r>
          </w:p>
        </w:tc>
        <w:tc>
          <w:tcPr>
            <w:tcW w:type="dxa" w:w="1650"/>
            <w:tcMar>
              <w:top w:type="dxa" w:w="80"/>
              <w:left w:type="dxa" w:w="100"/>
              <w:bottom w:type="dxa" w:w="80"/>
              <w:right w:type="dxa" w:w="100"/>
            </w:tcMar>
          </w:tcPr>
          <w:p>
            <w:pPr>
              <w:spacing w:after="40" w:line="256"/>
              <w:jc w:val="left"/>
            </w:pPr>
            <w:r>
              <w:rPr>
                <w:rFonts w:ascii="Calibri" w:cs="Calibri" w:eastAsia="Calibri" w:hAnsi="Calibri"/>
                <w:color w:val="1A1A1A"/>
                <w:sz w:val="17"/>
                <w:szCs w:val="17"/>
              </w:rPr>
              <w:t xml:space="preserve">De análisis hermenéutico</w:t>
            </w:r>
          </w:p>
        </w:tc>
        <w:tc>
          <w:tcPr>
            <w:tcW w:type="dxa" w:w="2650"/>
            <w:tcMar>
              <w:top w:type="dxa" w:w="80"/>
              <w:left w:type="dxa" w:w="100"/>
              <w:bottom w:type="dxa" w:w="80"/>
              <w:right w:type="dxa" w:w="100"/>
            </w:tcMar>
          </w:tcPr>
          <w:p>
            <w:pPr>
              <w:spacing w:after="40" w:line="256"/>
              <w:jc w:val="left"/>
            </w:pPr>
            <w:r>
              <w:rPr>
                <w:rFonts w:ascii="Calibri" w:cs="Calibri" w:eastAsia="Calibri" w:hAnsi="Calibri"/>
                <w:color w:val="1A1A1A"/>
                <w:sz w:val="17"/>
                <w:szCs w:val="17"/>
              </w:rPr>
              <w:t xml:space="preserve">Comparación de algoritmos de aprendizaje automático y selección justificada del modelo con mejor desempeño</w:t>
            </w:r>
          </w:p>
        </w:tc>
        <w:tc>
          <w:tcPr>
            <w:tcW w:type="dxa" w:w="4250"/>
            <w:tcMar>
              <w:top w:type="dxa" w:w="80"/>
              <w:left w:type="dxa" w:w="100"/>
              <w:bottom w:type="dxa" w:w="80"/>
              <w:right w:type="dxa" w:w="100"/>
            </w:tcMar>
          </w:tcPr>
          <w:p>
            <w:pPr>
              <w:spacing w:after="40" w:line="256"/>
              <w:jc w:val="left"/>
            </w:pPr>
            <w:r>
              <w:rPr>
                <w:rFonts w:ascii="Calibri" w:cs="Calibri" w:eastAsia="Calibri" w:hAnsi="Calibri"/>
                <w:color w:val="1A1A1A"/>
                <w:sz w:val="17"/>
                <w:szCs w:val="17"/>
              </w:rPr>
              <w:t xml:space="preserve">• Entrenamiento de regresión lineal múltiple (línea base), Random Forest, máquinas de vectores de soporte y potenciación de gradiente</w:t>
            </w:r>
          </w:p>
          <w:p>
            <w:pPr>
              <w:spacing w:after="40" w:line="256"/>
              <w:jc w:val="left"/>
            </w:pPr>
            <w:r>
              <w:rPr>
                <w:rFonts w:ascii="Calibri" w:cs="Calibri" w:eastAsia="Calibri" w:hAnsi="Calibri"/>
                <w:color w:val="1A1A1A"/>
                <w:sz w:val="17"/>
                <w:szCs w:val="17"/>
              </w:rPr>
              <w:t xml:space="preserve">• Evaluación con MAE, RMSE, MAPE y R² bajo partición 80/20 y validación cruzada k-fold</w:t>
            </w:r>
          </w:p>
          <w:p>
            <w:pPr>
              <w:spacing w:after="40" w:line="256"/>
              <w:jc w:val="left"/>
            </w:pPr>
            <w:r>
              <w:rPr>
                <w:rFonts w:ascii="Calibri" w:cs="Calibri" w:eastAsia="Calibri" w:hAnsi="Calibri"/>
                <w:color w:val="1A1A1A"/>
                <w:sz w:val="17"/>
                <w:szCs w:val="17"/>
              </w:rPr>
              <w:t xml:space="preserve">• Evaluación adicional en regímenes de carga no vistos durante el entrenamiento</w:t>
            </w:r>
          </w:p>
          <w:p>
            <w:pPr>
              <w:spacing w:after="40" w:line="256"/>
              <w:jc w:val="left"/>
            </w:pPr>
            <w:r>
              <w:rPr>
                <w:rFonts w:ascii="Calibri" w:cs="Calibri" w:eastAsia="Calibri" w:hAnsi="Calibri"/>
                <w:color w:val="1A1A1A"/>
                <w:sz w:val="17"/>
                <w:szCs w:val="17"/>
              </w:rPr>
              <w:t xml:space="preserve">• Selección documentada del modelo para la capa de recomendación</w:t>
            </w:r>
          </w:p>
        </w:tc>
      </w:tr>
      <w:tr>
        <w:tc>
          <w:tcPr>
            <w:tcW w:type="dxa" w:w="450"/>
            <w:tcMar>
              <w:top w:type="dxa" w:w="80"/>
              <w:left w:type="dxa" w:w="100"/>
              <w:bottom w:type="dxa" w:w="80"/>
              <w:right w:type="dxa" w:w="100"/>
            </w:tcMar>
          </w:tcPr>
          <w:p>
            <w:pPr>
              <w:spacing w:after="40" w:line="256"/>
              <w:jc w:val="left"/>
            </w:pPr>
            <w:r>
              <w:rPr>
                <w:rFonts w:ascii="Calibri" w:cs="Calibri" w:eastAsia="Calibri" w:hAnsi="Calibri"/>
                <w:b/>
                <w:bCs/>
                <w:color w:val="1A1A1A"/>
                <w:sz w:val="17"/>
                <w:szCs w:val="17"/>
              </w:rPr>
              <w:t xml:space="preserve">3</w:t>
            </w:r>
          </w:p>
        </w:tc>
        <w:tc>
          <w:tcPr>
            <w:tcW w:type="dxa" w:w="1650"/>
            <w:tcMar>
              <w:top w:type="dxa" w:w="80"/>
              <w:left w:type="dxa" w:w="100"/>
              <w:bottom w:type="dxa" w:w="80"/>
              <w:right w:type="dxa" w:w="100"/>
            </w:tcMar>
          </w:tcPr>
          <w:p>
            <w:pPr>
              <w:spacing w:after="40" w:line="256"/>
              <w:jc w:val="left"/>
            </w:pPr>
            <w:r>
              <w:rPr>
                <w:rFonts w:ascii="Calibri" w:cs="Calibri" w:eastAsia="Calibri" w:hAnsi="Calibri"/>
                <w:color w:val="1A1A1A"/>
                <w:sz w:val="17"/>
                <w:szCs w:val="17"/>
              </w:rPr>
              <w:t xml:space="preserve">De creación heurística</w:t>
            </w:r>
          </w:p>
        </w:tc>
        <w:tc>
          <w:tcPr>
            <w:tcW w:type="dxa" w:w="2650"/>
            <w:tcMar>
              <w:top w:type="dxa" w:w="80"/>
              <w:left w:type="dxa" w:w="100"/>
              <w:bottom w:type="dxa" w:w="80"/>
              <w:right w:type="dxa" w:w="100"/>
            </w:tcMar>
          </w:tcPr>
          <w:p>
            <w:pPr>
              <w:spacing w:after="40" w:line="256"/>
              <w:jc w:val="left"/>
            </w:pPr>
            <w:r>
              <w:rPr>
                <w:rFonts w:ascii="Calibri" w:cs="Calibri" w:eastAsia="Calibri" w:hAnsi="Calibri"/>
                <w:color w:val="1A1A1A"/>
                <w:sz w:val="17"/>
                <w:szCs w:val="17"/>
              </w:rPr>
              <w:t xml:space="preserve">Prototipo funcional de recomendación de asignación, evaluado frente a políticas de referencia</w:t>
            </w:r>
          </w:p>
        </w:tc>
        <w:tc>
          <w:tcPr>
            <w:tcW w:type="dxa" w:w="4250"/>
            <w:tcMar>
              <w:top w:type="dxa" w:w="80"/>
              <w:left w:type="dxa" w:w="100"/>
              <w:bottom w:type="dxa" w:w="80"/>
              <w:right w:type="dxa" w:w="100"/>
            </w:tcMar>
          </w:tcPr>
          <w:p>
            <w:pPr>
              <w:spacing w:after="40" w:line="256"/>
              <w:jc w:val="left"/>
            </w:pPr>
            <w:r>
              <w:rPr>
                <w:rFonts w:ascii="Calibri" w:cs="Calibri" w:eastAsia="Calibri" w:hAnsi="Calibri"/>
                <w:color w:val="1A1A1A"/>
                <w:sz w:val="17"/>
                <w:szCs w:val="17"/>
              </w:rPr>
              <w:t xml:space="preserve">• Formulación del proceso de decisión de Markov (estado: colas, plazos, disponibilidad de recursos y duraciones estimadas por el modelo)</w:t>
            </w:r>
          </w:p>
          <w:p>
            <w:pPr>
              <w:spacing w:after="40" w:line="256"/>
              <w:jc w:val="left"/>
            </w:pPr>
            <w:r>
              <w:rPr>
                <w:rFonts w:ascii="Calibri" w:cs="Calibri" w:eastAsia="Calibri" w:hAnsi="Calibri"/>
                <w:color w:val="1A1A1A"/>
                <w:sz w:val="17"/>
                <w:szCs w:val="17"/>
              </w:rPr>
              <w:t xml:space="preserve">• Entrenamiento de la política de asignación mediante Deep Q-Network (Khadivi et al., 2025)</w:t>
            </w:r>
          </w:p>
          <w:p>
            <w:pPr>
              <w:spacing w:after="40" w:line="256"/>
              <w:jc w:val="left"/>
            </w:pPr>
            <w:r>
              <w:rPr>
                <w:rFonts w:ascii="Calibri" w:cs="Calibri" w:eastAsia="Calibri" w:hAnsi="Calibri"/>
                <w:color w:val="1A1A1A"/>
                <w:sz w:val="17"/>
                <w:szCs w:val="17"/>
              </w:rPr>
              <w:t xml:space="preserve">• Implementación de las políticas de referencia: FIFO, asignación aleatoria y regla experta</w:t>
            </w:r>
          </w:p>
          <w:p>
            <w:pPr>
              <w:spacing w:after="40" w:line="256"/>
              <w:jc w:val="left"/>
            </w:pPr>
            <w:r>
              <w:rPr>
                <w:rFonts w:ascii="Calibri" w:cs="Calibri" w:eastAsia="Calibri" w:hAnsi="Calibri"/>
                <w:color w:val="1A1A1A"/>
                <w:sz w:val="17"/>
                <w:szCs w:val="17"/>
              </w:rPr>
              <w:t xml:space="preserve">• Comparación mediante makespan, utilización, tardanza media y porcentaje de análisis fuera de plazo</w:t>
            </w:r>
          </w:p>
          <w:p>
            <w:pPr>
              <w:spacing w:after="40" w:line="256"/>
              <w:jc w:val="left"/>
            </w:pPr>
            <w:r>
              <w:rPr>
                <w:rFonts w:ascii="Calibri" w:cs="Calibri" w:eastAsia="Calibri" w:hAnsi="Calibri"/>
                <w:color w:val="1A1A1A"/>
                <w:sz w:val="17"/>
                <w:szCs w:val="17"/>
              </w:rPr>
              <w:t xml:space="preserve">• Documentación de resultados, alcance y limitaciones</w:t>
            </w:r>
          </w:p>
        </w:tc>
      </w:tr>
    </w:tbl>
    <w:p>
      <w:pPr>
        <w:pStyle w:val="Heading1"/>
        <w:spacing w:after="150" w:before="340"/>
      </w:pPr>
      <w:r>
        <w:rPr>
          <w:rFonts w:ascii="Calibri" w:cs="Calibri" w:eastAsia="Calibri" w:hAnsi="Calibri"/>
          <w:b/>
          <w:bCs/>
          <w:color w:val="1A4B8C"/>
          <w:sz w:val="24"/>
          <w:szCs w:val="24"/>
        </w:rPr>
        <w:t xml:space="preserve">Alcance y limitaciones</w:t>
      </w:r>
    </w:p>
    <w:p>
      <w:pPr>
        <w:spacing w:after="150" w:before="0" w:line="288"/>
        <w:jc w:val="both"/>
      </w:pPr>
      <w:r>
        <w:rPr>
          <w:rFonts w:ascii="Calibri" w:cs="Calibri" w:eastAsia="Calibri" w:hAnsi="Calibri"/>
          <w:color w:val="1A1A1A"/>
          <w:sz w:val="21"/>
          <w:szCs w:val="21"/>
        </w:rPr>
        <w:t xml:space="preserve">Este trabajo produce evidencia de viabilidad técnica, no de eficacia operativa en un laboratorio concreto. Se declaran de forma explícita las siguientes limitaciones y sus mitigaciones:</w:t>
      </w:r>
    </w:p>
    <w:p>
      <w:pPr>
        <w:pStyle w:val="ListParagraph"/>
        <w:numPr>
          <w:ilvl w:val="0"/>
          <w:numId w:val="2"/>
        </w:numPr>
        <w:spacing w:after="80" w:line="288"/>
        <w:jc w:val="both"/>
      </w:pPr>
      <w:r>
        <w:rPr>
          <w:rFonts w:ascii="Calibri" w:cs="Calibri" w:eastAsia="Calibri" w:hAnsi="Calibri"/>
          <w:b/>
          <w:bCs/>
          <w:color w:val="1A1A1A"/>
          <w:sz w:val="21"/>
          <w:szCs w:val="21"/>
        </w:rPr>
        <w:t xml:space="preserve">Riesgo de circularidad entre generación y aprendizaje. </w:t>
      </w:r>
      <w:r>
        <w:rPr>
          <w:rFonts w:ascii="Calibri" w:cs="Calibri" w:eastAsia="Calibri" w:hAnsi="Calibri"/>
          <w:color w:val="1A1A1A"/>
          <w:sz w:val="21"/>
          <w:szCs w:val="21"/>
        </w:rPr>
        <w:t xml:space="preserve">El modelo se entrena y se evalúa sobre datos generados por reglas definidas en esta investigación, por lo que un desempeño elevado indica, en primera instancia, que los algoritmos recuperan la estructura codificada en el generador. Mitigación triple: (a) los parámetros de generación no se fijan por intuición sino que se calibran con literatura arbitrada externa; (b) se introducen deliberadamente perturbaciones estocásticas no codificadas en las reglas visibles para el modelo —ausencias de personal, indisponibilidad de equipos, reanálisis por resultados fuera de especificación y llegadas urgentes no planificadas—, con el propósito de generar varianza realista y someter el modelo a condiciones que intenten romperlo; (c) la evaluación final se realiza en escenarios de carga distintos de los empleados en el entrenamiento.</w:t>
      </w:r>
    </w:p>
    <w:p>
      <w:pPr>
        <w:pStyle w:val="ListParagraph"/>
        <w:numPr>
          <w:ilvl w:val="0"/>
          <w:numId w:val="2"/>
        </w:numPr>
        <w:spacing w:after="80" w:line="288"/>
        <w:jc w:val="both"/>
      </w:pPr>
      <w:r>
        <w:rPr>
          <w:rFonts w:ascii="Calibri" w:cs="Calibri" w:eastAsia="Calibri" w:hAnsi="Calibri"/>
          <w:b/>
          <w:bCs/>
          <w:color w:val="1A1A1A"/>
          <w:sz w:val="21"/>
          <w:szCs w:val="21"/>
        </w:rPr>
        <w:t xml:space="preserve">Interpretación de las métricas. </w:t>
      </w:r>
      <w:r>
        <w:rPr>
          <w:rFonts w:ascii="Calibri" w:cs="Calibri" w:eastAsia="Calibri" w:hAnsi="Calibri"/>
          <w:color w:val="1A1A1A"/>
          <w:sz w:val="21"/>
          <w:szCs w:val="21"/>
        </w:rPr>
        <w:t xml:space="preserve">Se reconoce que el R² tiende a estar inflado cuando se evalúa sobre datos sintéticos y no permite, por sí solo, una valoración precisa de la capacidad predictiva. Por ello se reportan MAE y MAPE como métricas principales de error y R² como métrica complementaria.</w:t>
      </w:r>
    </w:p>
    <w:p>
      <w:pPr>
        <w:pStyle w:val="ListParagraph"/>
        <w:numPr>
          <w:ilvl w:val="0"/>
          <w:numId w:val="2"/>
        </w:numPr>
        <w:spacing w:after="80" w:line="288"/>
        <w:jc w:val="both"/>
      </w:pPr>
      <w:r>
        <w:rPr>
          <w:rFonts w:ascii="Calibri" w:cs="Calibri" w:eastAsia="Calibri" w:hAnsi="Calibri"/>
          <w:b/>
          <w:bCs/>
          <w:color w:val="1A1A1A"/>
          <w:sz w:val="21"/>
          <w:szCs w:val="21"/>
        </w:rPr>
        <w:t xml:space="preserve">Comparabilidad de las políticas de referencia. </w:t>
      </w:r>
      <w:r>
        <w:rPr>
          <w:rFonts w:ascii="Calibri" w:cs="Calibri" w:eastAsia="Calibri" w:hAnsi="Calibri"/>
          <w:color w:val="1A1A1A"/>
          <w:sz w:val="21"/>
          <w:szCs w:val="21"/>
        </w:rPr>
        <w:t xml:space="preserve">Las políticas de referencia se evalúan dentro del mismo simulador que la política aprendida. La comparación entre políticas es válida y reproducible; la magnitud de la mejora no es extrapolable a un laboratorio real.</w:t>
      </w:r>
    </w:p>
    <w:p>
      <w:pPr>
        <w:pStyle w:val="ListParagraph"/>
        <w:numPr>
          <w:ilvl w:val="0"/>
          <w:numId w:val="2"/>
        </w:numPr>
        <w:spacing w:after="80" w:line="288"/>
        <w:jc w:val="both"/>
      </w:pPr>
      <w:r>
        <w:rPr>
          <w:rFonts w:ascii="Calibri" w:cs="Calibri" w:eastAsia="Calibri" w:hAnsi="Calibri"/>
          <w:b/>
          <w:bCs/>
          <w:color w:val="1A1A1A"/>
          <w:sz w:val="21"/>
          <w:szCs w:val="21"/>
        </w:rPr>
        <w:t xml:space="preserve">Validación externa pendiente. </w:t>
      </w:r>
      <w:r>
        <w:rPr>
          <w:rFonts w:ascii="Calibri" w:cs="Calibri" w:eastAsia="Calibri" w:hAnsi="Calibri"/>
          <w:color w:val="1A1A1A"/>
          <w:sz w:val="21"/>
          <w:szCs w:val="21"/>
        </w:rPr>
        <w:t xml:space="preserve">La contrastación con registros operativos reales bajo el protocolo TSTR —entrenar en sintético, evaluar en real (Esteban et al., 2017)— queda fuera del alcance y se declara como línea de trabajo futuro.</w:t>
      </w:r>
    </w:p>
    <w:p>
      <w:pPr>
        <w:pStyle w:val="Heading1"/>
        <w:spacing w:after="150" w:before="340"/>
      </w:pPr>
      <w:r>
        <w:rPr>
          <w:rFonts w:ascii="Calibri" w:cs="Calibri" w:eastAsia="Calibri" w:hAnsi="Calibri"/>
          <w:b/>
          <w:bCs/>
          <w:color w:val="1A4B8C"/>
          <w:sz w:val="24"/>
          <w:szCs w:val="24"/>
        </w:rPr>
        <w:t xml:space="preserve">Macro-tópicos de investigación</w:t>
      </w:r>
    </w:p>
    <w:p>
      <w:pPr>
        <w:pStyle w:val="ListParagraph"/>
        <w:numPr>
          <w:ilvl w:val="0"/>
          <w:numId w:val="2"/>
        </w:numPr>
        <w:spacing w:after="80" w:line="288"/>
        <w:jc w:val="both"/>
      </w:pPr>
      <w:r>
        <w:rPr>
          <w:rFonts w:ascii="Calibri" w:cs="Calibri" w:eastAsia="Calibri" w:hAnsi="Calibri"/>
          <w:color w:val="1A1A1A"/>
          <w:sz w:val="21"/>
          <w:szCs w:val="21"/>
        </w:rPr>
        <w:t xml:space="preserve">Ciencia de datos aplicada.</w:t>
      </w:r>
    </w:p>
    <w:p>
      <w:pPr>
        <w:pStyle w:val="ListParagraph"/>
        <w:numPr>
          <w:ilvl w:val="0"/>
          <w:numId w:val="2"/>
        </w:numPr>
        <w:spacing w:after="80" w:line="288"/>
        <w:jc w:val="both"/>
      </w:pPr>
      <w:r>
        <w:rPr>
          <w:rFonts w:ascii="Calibri" w:cs="Calibri" w:eastAsia="Calibri" w:hAnsi="Calibri"/>
          <w:color w:val="1A1A1A"/>
          <w:sz w:val="21"/>
          <w:szCs w:val="21"/>
        </w:rPr>
        <w:t xml:space="preserve">Aprendizaje automático (Machine Learning).</w:t>
      </w:r>
    </w:p>
    <w:p>
      <w:pPr>
        <w:pStyle w:val="ListParagraph"/>
        <w:numPr>
          <w:ilvl w:val="0"/>
          <w:numId w:val="2"/>
        </w:numPr>
        <w:spacing w:after="80" w:line="288"/>
        <w:jc w:val="both"/>
      </w:pPr>
      <w:r>
        <w:rPr>
          <w:rFonts w:ascii="Calibri" w:cs="Calibri" w:eastAsia="Calibri" w:hAnsi="Calibri"/>
          <w:color w:val="1A1A1A"/>
          <w:sz w:val="21"/>
          <w:szCs w:val="21"/>
        </w:rPr>
        <w:t xml:space="preserve">Datos sintéticos.</w:t>
      </w:r>
    </w:p>
    <w:p>
      <w:pPr>
        <w:pStyle w:val="ListParagraph"/>
        <w:numPr>
          <w:ilvl w:val="0"/>
          <w:numId w:val="2"/>
        </w:numPr>
        <w:spacing w:after="80" w:line="288"/>
        <w:jc w:val="both"/>
      </w:pPr>
      <w:r>
        <w:rPr>
          <w:rFonts w:ascii="Calibri" w:cs="Calibri" w:eastAsia="Calibri" w:hAnsi="Calibri"/>
          <w:color w:val="1A1A1A"/>
          <w:sz w:val="21"/>
          <w:szCs w:val="21"/>
        </w:rPr>
        <w:t xml:space="preserve">Optimización y programación de operaciones (scheduling).</w:t>
      </w:r>
    </w:p>
    <w:p>
      <w:pPr>
        <w:pStyle w:val="ListParagraph"/>
        <w:numPr>
          <w:ilvl w:val="0"/>
          <w:numId w:val="2"/>
        </w:numPr>
        <w:spacing w:after="80" w:line="288"/>
        <w:jc w:val="both"/>
      </w:pPr>
      <w:r>
        <w:rPr>
          <w:rFonts w:ascii="Calibri" w:cs="Calibri" w:eastAsia="Calibri" w:hAnsi="Calibri"/>
          <w:color w:val="1A1A1A"/>
          <w:sz w:val="21"/>
          <w:szCs w:val="21"/>
        </w:rPr>
        <w:t xml:space="preserve">Analítica aplicada al sector farmacéutico.</w:t>
      </w:r>
    </w:p>
    <w:p>
      <w:pPr>
        <w:pStyle w:val="Heading1"/>
        <w:spacing w:after="150" w:before="340"/>
      </w:pPr>
      <w:r>
        <w:rPr>
          <w:rFonts w:ascii="Calibri" w:cs="Calibri" w:eastAsia="Calibri" w:hAnsi="Calibri"/>
          <w:b/>
          <w:bCs/>
          <w:color w:val="1A4B8C"/>
          <w:sz w:val="24"/>
          <w:szCs w:val="24"/>
        </w:rPr>
        <w:t xml:space="preserve">Bibliografía</w:t>
      </w:r>
    </w:p>
    <w:p>
      <w:pPr>
        <w:spacing w:after="105" w:line="264"/>
        <w:ind w:left="720" w:hanging="720"/>
        <w:jc w:val="left"/>
      </w:pPr>
      <w:r>
        <w:rPr>
          <w:rFonts w:ascii="Calibri" w:cs="Calibri" w:eastAsia="Calibri" w:hAnsi="Calibri"/>
          <w:color w:val="1A1A1A"/>
          <w:sz w:val="19"/>
          <w:szCs w:val="19"/>
        </w:rPr>
        <w:t xml:space="preserve">Abdulhussain, R., Muhamad, H., Fiza, T., Dereiah, S., Mawla, N., Patel, K., Adebisi, A., y Asare-Addo, K. (2026). The integration of artificial intelligence through quality by digital design for sustainable pharmaceutical manufacturing. International Journal of Pharmaceutics, 693, Artículo 126682. https://doi.org/10.1016/j.ijpharm.2026.126682</w:t>
      </w:r>
    </w:p>
    <w:p>
      <w:pPr>
        <w:spacing w:after="105" w:line="264"/>
        <w:ind w:left="720" w:hanging="720"/>
        <w:jc w:val="left"/>
      </w:pPr>
      <w:r>
        <w:rPr>
          <w:rFonts w:ascii="Calibri" w:cs="Calibri" w:eastAsia="Calibri" w:hAnsi="Calibri"/>
          <w:color w:val="1A1A1A"/>
          <w:sz w:val="19"/>
          <w:szCs w:val="19"/>
        </w:rPr>
        <w:t xml:space="preserve">Boyd, J. C., y Savory, J. (2001). Genetic algorithm for scheduling of laboratory personnel. Clinical Chemistry, 47(1), 118–123. https://doi.org/10.1093/clinchem/47.1.118</w:t>
      </w:r>
    </w:p>
    <w:p>
      <w:pPr>
        <w:spacing w:after="105" w:line="264"/>
        <w:ind w:left="720" w:hanging="720"/>
        <w:jc w:val="left"/>
      </w:pPr>
      <w:r>
        <w:rPr>
          <w:rFonts w:ascii="Calibri" w:cs="Calibri" w:eastAsia="Calibri" w:hAnsi="Calibri"/>
          <w:color w:val="1A1A1A"/>
          <w:sz w:val="19"/>
          <w:szCs w:val="19"/>
        </w:rPr>
        <w:t xml:space="preserve">Coito, T., Firme, B., Martins, M. S. E., Vieira, S. M., Figueiredo, J., y Sousa, J. M. C. (2021). Intelligent sensors for real-time decision-making. Automation, 2(2), 62–82. https://doi.org/10.3390/automation2020004</w:t>
      </w:r>
    </w:p>
    <w:p>
      <w:pPr>
        <w:spacing w:after="105" w:line="264"/>
        <w:ind w:left="720" w:hanging="720"/>
        <w:jc w:val="left"/>
      </w:pPr>
      <w:r>
        <w:rPr>
          <w:rFonts w:ascii="Calibri" w:cs="Calibri" w:eastAsia="Calibri" w:hAnsi="Calibri"/>
          <w:color w:val="1A1A1A"/>
          <w:sz w:val="19"/>
          <w:szCs w:val="19"/>
        </w:rPr>
        <w:t xml:space="preserve">Costigliola, A., Ataíde, F. A. P., Vieira, S. M., y Sousa, J. M. C. (2017). Simulation model of a quality control laboratory in pharmaceutical industry. IFAC-PapersOnLine, 50(1), 9014–9019. https://doi.org/10.1016/j.ifacol.2017.08.1582</w:t>
      </w:r>
    </w:p>
    <w:p>
      <w:pPr>
        <w:spacing w:after="105" w:line="264"/>
        <w:ind w:left="720" w:hanging="720"/>
        <w:jc w:val="left"/>
      </w:pPr>
      <w:r>
        <w:rPr>
          <w:rFonts w:ascii="Calibri" w:cs="Calibri" w:eastAsia="Calibri" w:hAnsi="Calibri"/>
          <w:color w:val="1A1A1A"/>
          <w:sz w:val="19"/>
          <w:szCs w:val="19"/>
        </w:rPr>
        <w:t xml:space="preserve">Danzinger, P., Geibinger, T., Mischek, F., y Musliu, N. (2025). Modeling and solving the generalized test laboratory scheduling problem. En G. Tack (Ed.), Integration of constraint programming, artificial intelligence, and operations research (Lecture Notes in Computer Science, Vol. 15762, pp. 188–204). Springer. https://doi.org/10.1007/978-3-031-95973-8_12</w:t>
      </w:r>
    </w:p>
    <w:p>
      <w:pPr>
        <w:spacing w:after="105" w:line="264"/>
        <w:ind w:left="720" w:hanging="720"/>
        <w:jc w:val="left"/>
      </w:pPr>
      <w:r>
        <w:rPr>
          <w:rFonts w:ascii="Calibri" w:cs="Calibri" w:eastAsia="Calibri" w:hAnsi="Calibri"/>
          <w:color w:val="1A1A1A"/>
          <w:sz w:val="19"/>
          <w:szCs w:val="19"/>
        </w:rPr>
        <w:t xml:space="preserve">Dong, Y., Yang, T., Xing, Y., Du, J., y Meng, Q. (2023). Data-driven modeling methods and techniques for pharmaceutical processes. Processes, 11(7), Artículo 2096. https://doi.org/10.3390/pr11072096</w:t>
      </w:r>
    </w:p>
    <w:p>
      <w:pPr>
        <w:spacing w:after="105" w:line="264"/>
        <w:ind w:left="720" w:hanging="720"/>
        <w:jc w:val="left"/>
      </w:pPr>
      <w:r>
        <w:rPr>
          <w:rFonts w:ascii="Calibri" w:cs="Calibri" w:eastAsia="Calibri" w:hAnsi="Calibri"/>
          <w:color w:val="1A1A1A"/>
          <w:sz w:val="19"/>
          <w:szCs w:val="19"/>
        </w:rPr>
        <w:t xml:space="preserve">Dudnikov, E. E., Sidorenko, A. M., y Khobotov, E. N. (2012). Laboratory analysis planning system for industrial enterprises. Automation and Remote Control, 73(11), 1910–1915. https://doi.org/10.1134/S0005117912110124</w:t>
      </w:r>
    </w:p>
    <w:p>
      <w:pPr>
        <w:spacing w:after="105" w:line="264"/>
        <w:ind w:left="720" w:hanging="720"/>
        <w:jc w:val="left"/>
      </w:pPr>
      <w:r>
        <w:rPr>
          <w:rFonts w:ascii="Calibri" w:cs="Calibri" w:eastAsia="Calibri" w:hAnsi="Calibri"/>
          <w:color w:val="1A1A1A"/>
          <w:sz w:val="19"/>
          <w:szCs w:val="19"/>
        </w:rPr>
        <w:t xml:space="preserve">Esteban, C., Hyland, S. L., y Rätsch, G. (2017). Real-valued (medical) time series generation with recurrent conditional GANs (arXiv:1706.02633). arXiv. https://arxiv.org/abs/1706.02633</w:t>
      </w:r>
    </w:p>
    <w:p>
      <w:pPr>
        <w:spacing w:after="105" w:line="264"/>
        <w:ind w:left="720" w:hanging="720"/>
        <w:jc w:val="left"/>
      </w:pPr>
      <w:r>
        <w:rPr>
          <w:rFonts w:ascii="Calibri" w:cs="Calibri" w:eastAsia="Calibri" w:hAnsi="Calibri"/>
          <w:color w:val="1A1A1A"/>
          <w:sz w:val="19"/>
          <w:szCs w:val="19"/>
        </w:rPr>
        <w:t xml:space="preserve">Figueira, A., y Vaz, B. (2022). Survey on synthetic data generation, evaluation methods and GANs. Mathematics, 10(15), Artículo 2733. https://doi.org/10.3390/math10152733</w:t>
      </w:r>
    </w:p>
    <w:p>
      <w:pPr>
        <w:spacing w:after="105" w:line="264"/>
        <w:ind w:left="720" w:hanging="720"/>
        <w:jc w:val="left"/>
      </w:pPr>
      <w:r>
        <w:rPr>
          <w:rFonts w:ascii="Calibri" w:cs="Calibri" w:eastAsia="Calibri" w:hAnsi="Calibri"/>
          <w:color w:val="1A1A1A"/>
          <w:sz w:val="19"/>
          <w:szCs w:val="19"/>
        </w:rPr>
        <w:t xml:space="preserve">Goncalves, A., Ray, P., Soper, B., Stevens, J., Coyle, L., y Sales, A. P. (2020). Generation and evaluation of synthetic patient data. BMC Medical Research Methodology, 20, Artículo 108. https://doi.org/10.1186/s12874-020-00977-1</w:t>
      </w:r>
    </w:p>
    <w:p>
      <w:pPr>
        <w:spacing w:after="105" w:line="264"/>
        <w:ind w:left="720" w:hanging="720"/>
        <w:jc w:val="left"/>
      </w:pPr>
      <w:r>
        <w:rPr>
          <w:rFonts w:ascii="Calibri" w:cs="Calibri" w:eastAsia="Calibri" w:hAnsi="Calibri"/>
          <w:color w:val="1A1A1A"/>
          <w:sz w:val="19"/>
          <w:szCs w:val="19"/>
        </w:rPr>
        <w:t xml:space="preserve">Hassi, H., El Mkhalet, M., y Lamdouar, N. (2025). Scheduling optimization and risk analysis using Monte Carlo simulation for a construction project in Morocco. International Journal of Engineering Trends and Technology, 73(6), 336–349. https://doi.org/10.14445/22315381/IJETT-V73I6P128</w:t>
      </w:r>
    </w:p>
    <w:p>
      <w:pPr>
        <w:spacing w:after="105" w:line="264"/>
        <w:ind w:left="720" w:hanging="720"/>
        <w:jc w:val="left"/>
      </w:pPr>
      <w:r>
        <w:rPr>
          <w:rFonts w:ascii="Calibri" w:cs="Calibri" w:eastAsia="Calibri" w:hAnsi="Calibri"/>
          <w:color w:val="1A1A1A"/>
          <w:sz w:val="19"/>
          <w:szCs w:val="19"/>
        </w:rPr>
        <w:t xml:space="preserve">Hernandez, M., Osorio-Marulanda, P. A., Catalina, M., Loinaz, L., Epelde, G., y Aginako, N. (2025). Comprehensive evaluation framework for synthetic tabular data in health: Fidelity, utility and privacy analysis of generative models with and without privacy guarantees. Frontiers in Digital Health, 7, Artículo 1576290. https://doi.org/10.3389/fdgth.2025.1576290</w:t>
      </w:r>
    </w:p>
    <w:p>
      <w:pPr>
        <w:spacing w:after="105" w:line="264"/>
        <w:ind w:left="720" w:hanging="720"/>
        <w:jc w:val="left"/>
      </w:pPr>
      <w:r>
        <w:rPr>
          <w:rFonts w:ascii="Calibri" w:cs="Calibri" w:eastAsia="Calibri" w:hAnsi="Calibri"/>
          <w:color w:val="1A1A1A"/>
          <w:sz w:val="19"/>
          <w:szCs w:val="19"/>
        </w:rPr>
        <w:t xml:space="preserve">Jordon, J., Szpruch, L., Houssiau, F., Bottarelli, M., Cherubin, G., Maple, C., Cohen, S. N., y Weller, A. (2022). Synthetic data — What, why and how? (arXiv:2205.03257). arXiv. https://arxiv.org/abs/2205.03257</w:t>
      </w:r>
    </w:p>
    <w:p>
      <w:pPr>
        <w:spacing w:after="105" w:line="264"/>
        <w:ind w:left="720" w:hanging="720"/>
        <w:jc w:val="left"/>
      </w:pPr>
      <w:r>
        <w:rPr>
          <w:rFonts w:ascii="Calibri" w:cs="Calibri" w:eastAsia="Calibri" w:hAnsi="Calibri"/>
          <w:color w:val="1A1A1A"/>
          <w:sz w:val="19"/>
          <w:szCs w:val="19"/>
        </w:rPr>
        <w:t xml:space="preserve">Juran, J. M., y Godfrey, A. B. (Eds.). (1999). Juran’s quality handbook (5.ª ed.). McGraw-Hill.</w:t>
      </w:r>
    </w:p>
    <w:p>
      <w:pPr>
        <w:spacing w:after="105" w:line="264"/>
        <w:ind w:left="720" w:hanging="720"/>
        <w:jc w:val="left"/>
      </w:pPr>
      <w:r>
        <w:rPr>
          <w:rFonts w:ascii="Calibri" w:cs="Calibri" w:eastAsia="Calibri" w:hAnsi="Calibri"/>
          <w:color w:val="1A1A1A"/>
          <w:sz w:val="19"/>
          <w:szCs w:val="19"/>
        </w:rPr>
        <w:t xml:space="preserve">Khadivi, M., Charter, T., Yaghoubi, M., Jalayer, M., Ahang, M., Shojaeinasab, A., y Najjaran, H. (2025). Deep reinforcement learning for machine scheduling: Methodology, the state-of-the-art, and future directions. Computers &amp; Industrial Engineering, 200, Artículo 110856. https://doi.org/10.1016/j.cie.2025.110856</w:t>
      </w:r>
    </w:p>
    <w:p>
      <w:pPr>
        <w:spacing w:after="105" w:line="264"/>
        <w:ind w:left="720" w:hanging="720"/>
        <w:jc w:val="left"/>
      </w:pPr>
      <w:r>
        <w:rPr>
          <w:rFonts w:ascii="Calibri" w:cs="Calibri" w:eastAsia="Calibri" w:hAnsi="Calibri"/>
          <w:color w:val="1A1A1A"/>
          <w:sz w:val="19"/>
          <w:szCs w:val="19"/>
        </w:rPr>
        <w:t xml:space="preserve">Klaessens, J., Saris, T., Vandeginste, B. G. M., y Kateman, G. (1988). Expert system for knowledge-based modelling of analytical laboratories as a tool for laboratory management. Journal of Chemometrics, 2(1), 49–65. https://doi.org/10.1002/cem.1180020107</w:t>
      </w:r>
    </w:p>
    <w:p>
      <w:pPr>
        <w:spacing w:after="105" w:line="264"/>
        <w:ind w:left="720" w:hanging="720"/>
        <w:jc w:val="left"/>
      </w:pPr>
      <w:r>
        <w:rPr>
          <w:rFonts w:ascii="Calibri" w:cs="Calibri" w:eastAsia="Calibri" w:hAnsi="Calibri"/>
          <w:color w:val="1A1A1A"/>
          <w:sz w:val="19"/>
          <w:szCs w:val="19"/>
        </w:rPr>
        <w:t xml:space="preserve">Kodumuru, R., Sarkar, S., Parepally, V., y Chandarana, J. (2025). Artificial intelligence and Internet of Things integration in pharmaceutical manufacturing: A smart synergy. Pharmaceutics, 17(3), Artículo 290. https://doi.org/10.3390/pharmaceutics17030290</w:t>
      </w:r>
    </w:p>
    <w:p>
      <w:pPr>
        <w:spacing w:after="105" w:line="264"/>
        <w:ind w:left="720" w:hanging="720"/>
        <w:jc w:val="left"/>
      </w:pPr>
      <w:r>
        <w:rPr>
          <w:rFonts w:ascii="Calibri" w:cs="Calibri" w:eastAsia="Calibri" w:hAnsi="Calibri"/>
          <w:color w:val="1A1A1A"/>
          <w:sz w:val="19"/>
          <w:szCs w:val="19"/>
        </w:rPr>
        <w:t xml:space="preserve">Lopes, M. R., Costigliola, A., Pinto, R., Vieira, S., y Sousa, J. M. C. (2020). Pharmaceutical quality control laboratory digital twin – A novel governance model for resource planning and scheduling. International Journal of Production Research, 58(21), 6553–6567. https://doi.org/10.1080/00207543.2019.1683250</w:t>
      </w:r>
    </w:p>
    <w:p>
      <w:pPr>
        <w:spacing w:after="105" w:line="264"/>
        <w:ind w:left="720" w:hanging="720"/>
        <w:jc w:val="left"/>
      </w:pPr>
      <w:r>
        <w:rPr>
          <w:rFonts w:ascii="Calibri" w:cs="Calibri" w:eastAsia="Calibri" w:hAnsi="Calibri"/>
          <w:color w:val="1A1A1A"/>
          <w:sz w:val="19"/>
          <w:szCs w:val="19"/>
        </w:rPr>
        <w:t xml:space="preserve">Martins, M. S. E., Viegas, J. L., Coito, T., Firme, B., Costigliola, A., Figueiredo, J., Vieira, S. M., y Sousa, J. M. C. (2023). Minimizing total completion time in large-sized pharmaceutical quality control scheduling. Journal of Heuristics, 29(1), 177–206. https://doi.org/10.1007/s10732-023-09509-8</w:t>
      </w:r>
    </w:p>
    <w:p>
      <w:pPr>
        <w:spacing w:after="105" w:line="264"/>
        <w:ind w:left="720" w:hanging="720"/>
        <w:jc w:val="left"/>
      </w:pPr>
      <w:r>
        <w:rPr>
          <w:rFonts w:ascii="Calibri" w:cs="Calibri" w:eastAsia="Calibri" w:hAnsi="Calibri"/>
          <w:color w:val="1A1A1A"/>
          <w:sz w:val="19"/>
          <w:szCs w:val="19"/>
        </w:rPr>
        <w:t xml:space="preserve">Maslaton, R. (2012). Resource scheduling in QC laboratories. Pharmaceutical Engineering, 32(6).</w:t>
      </w:r>
    </w:p>
    <w:p>
      <w:pPr>
        <w:spacing w:after="105" w:line="264"/>
        <w:ind w:left="720" w:hanging="720"/>
        <w:jc w:val="left"/>
      </w:pPr>
      <w:r>
        <w:rPr>
          <w:rFonts w:ascii="Calibri" w:cs="Calibri" w:eastAsia="Calibri" w:hAnsi="Calibri"/>
          <w:color w:val="1A1A1A"/>
          <w:sz w:val="19"/>
          <w:szCs w:val="19"/>
        </w:rPr>
        <w:t xml:space="preserve">Mischek, F., y Musliu, N. (2024). Preference explanation and decision support for multi-objective real-world test laboratory scheduling. Proceedings of the International Conference on Automated Planning and Scheduling, 34(1), 378–386. https://doi.org/10.1609/icaps.v34i1.31497</w:t>
      </w:r>
    </w:p>
    <w:p>
      <w:pPr>
        <w:spacing w:after="105" w:line="264"/>
        <w:ind w:left="720" w:hanging="720"/>
        <w:jc w:val="left"/>
      </w:pPr>
      <w:r>
        <w:rPr>
          <w:rFonts w:ascii="Calibri" w:cs="Calibri" w:eastAsia="Calibri" w:hAnsi="Calibri"/>
          <w:color w:val="1A1A1A"/>
          <w:sz w:val="19"/>
          <w:szCs w:val="19"/>
        </w:rPr>
        <w:t xml:space="preserve">Patki, N., Wedge, R., y Veeramachaneni, K. (2016). The Synthetic Data Vault. En 2016 IEEE International Conference on Data Science and Advanced Analytics (DSAA) (pp. 399–410). IEEE. https://doi.org/10.1109/DSAA.2016.49</w:t>
      </w:r>
    </w:p>
    <w:p>
      <w:pPr>
        <w:spacing w:after="105" w:line="264"/>
        <w:ind w:left="720" w:hanging="720"/>
        <w:jc w:val="left"/>
      </w:pPr>
      <w:r>
        <w:rPr>
          <w:rFonts w:ascii="Calibri" w:cs="Calibri" w:eastAsia="Calibri" w:hAnsi="Calibri"/>
          <w:color w:val="1A1A1A"/>
          <w:sz w:val="19"/>
          <w:szCs w:val="19"/>
        </w:rPr>
        <w:t xml:space="preserve">Schäfer, R. (2004). Concepts for dynamic scheduling in the laboratory. JALA: Journal of the Association for Laboratory Automation, 9(6), 382–397. https://doi.org/10.1016/j.jala.2004.10.001</w:t>
      </w:r>
    </w:p>
    <w:p>
      <w:pPr>
        <w:spacing w:after="105" w:line="264"/>
        <w:ind w:left="720" w:hanging="720"/>
        <w:jc w:val="left"/>
      </w:pPr>
      <w:r>
        <w:rPr>
          <w:rFonts w:ascii="Calibri" w:cs="Calibri" w:eastAsia="Calibri" w:hAnsi="Calibri"/>
          <w:color w:val="1A1A1A"/>
          <w:sz w:val="19"/>
          <w:szCs w:val="19"/>
        </w:rPr>
        <w:t xml:space="preserve">Vallevik, V. B., Babic, A., Marshall, S. E., Elvatun, S., Brøgger, H. M. B., Alagaratnam, S., Edwin, B., Veeraragavan, N. R., Befring, A. K., y Nygård, J. F. (2024). Can I trust my fake data – A comprehensive quality assessment framework for synthetic tabular data in healthcare. International Journal of Medical Informatics, 185, Artículo 105413. https://doi.org/10.1016/j.ijmedinf.2024.105413</w:t>
      </w:r>
    </w:p>
    <w:p>
      <w:pPr>
        <w:spacing w:after="105" w:line="264"/>
        <w:ind w:left="720" w:hanging="720"/>
        <w:jc w:val="left"/>
      </w:pPr>
      <w:r>
        <w:rPr>
          <w:rFonts w:ascii="Calibri" w:cs="Calibri" w:eastAsia="Calibri" w:hAnsi="Calibri"/>
          <w:color w:val="1A1A1A"/>
          <w:sz w:val="19"/>
          <w:szCs w:val="19"/>
        </w:rPr>
        <w:t xml:space="preserve">Xu, L., Skoularidou, M., Cuesta-Infante, A., y Veeramachaneni, K. (2019). Modeling tabular data using conditional GAN. En Advances in Neural Information Processing Systems 32 (NeurIPS 2019). https://arxiv.org/abs/1907.00503</w:t>
      </w:r>
    </w:p>
    <w:p>
      <w:pPr>
        <w:pStyle w:val="Heading1"/>
        <w:spacing w:after="150" w:before="340"/>
      </w:pPr>
      <w:r>
        <w:rPr>
          <w:rFonts w:ascii="Calibri" w:cs="Calibri" w:eastAsia="Calibri" w:hAnsi="Calibri"/>
          <w:b/>
          <w:bCs/>
          <w:color w:val="1A4B8C"/>
          <w:sz w:val="24"/>
          <w:szCs w:val="24"/>
        </w:rPr>
        <w:t xml:space="preserve">Anexo. Enlaces de verificación y recursos públicos</w:t>
      </w:r>
    </w:p>
    <w:p>
      <w:pPr>
        <w:spacing w:after="120" w:before="0" w:line="288"/>
        <w:jc w:val="both"/>
      </w:pPr>
      <w:r>
        <w:rPr>
          <w:rFonts w:ascii="Calibri" w:cs="Calibri" w:eastAsia="Calibri" w:hAnsi="Calibri"/>
          <w:i/>
          <w:iCs/>
          <w:color w:val="5A5A5A"/>
          <w:sz w:val="19"/>
          <w:szCs w:val="19"/>
        </w:rPr>
        <w:t xml:space="preserve">Toda referencia puede verificarse en el enlace indicado. Se marca (AA) el acceso abierto, donde el texto completo puede leerse sin suscripción.</w:t>
      </w:r>
    </w:p>
    <w:tbl>
      <w:tblPr>
        <w:tblW w:type="dxa" w:w="9000"/>
        <w:tblBorders>
          <w:top w:val="single" w:color="C9C9C9" w:sz="4"/>
          <w:left w:val="single" w:color="C9C9C9" w:sz="4"/>
          <w:bottom w:val="single" w:color="C9C9C9" w:sz="4"/>
          <w:right w:val="single" w:color="C9C9C9" w:sz="4"/>
          <w:insideH w:val="single" w:color="C9C9C9" w:sz="4"/>
          <w:insideV w:val="single" w:color="C9C9C9" w:sz="4"/>
        </w:tblBorders>
      </w:tblPr>
      <w:tblGrid>
        <w:gridCol w:w="3300"/>
        <w:gridCol w:w="5700"/>
      </w:tblGrid>
      <w:tr>
        <w:tc>
          <w:tcPr>
            <w:tcW w:type="dxa" w:w="3300"/>
            <w:shd w:fill="ECEEF1" w:color="auto" w:val="clear"/>
            <w:tcMar>
              <w:top w:type="dxa" w:w="80"/>
              <w:left w:type="dxa" w:w="100"/>
              <w:bottom w:type="dxa" w:w="80"/>
              <w:right w:type="dxa" w:w="100"/>
            </w:tcMar>
          </w:tcPr>
          <w:p>
            <w:pPr>
              <w:spacing w:after="40" w:line="256"/>
              <w:jc w:val="left"/>
            </w:pPr>
            <w:r>
              <w:rPr>
                <w:rFonts w:ascii="Calibri" w:cs="Calibri" w:eastAsia="Calibri" w:hAnsi="Calibri"/>
                <w:b/>
                <w:bCs/>
                <w:color w:val="1A1A1A"/>
                <w:sz w:val="16"/>
                <w:szCs w:val="16"/>
              </w:rPr>
              <w:t xml:space="preserve">Referencia</w:t>
            </w:r>
          </w:p>
        </w:tc>
        <w:tc>
          <w:tcPr>
            <w:tcW w:type="dxa" w:w="5700"/>
            <w:shd w:fill="ECEEF1" w:color="auto" w:val="clear"/>
            <w:tcMar>
              <w:top w:type="dxa" w:w="80"/>
              <w:left w:type="dxa" w:w="100"/>
              <w:bottom w:type="dxa" w:w="80"/>
              <w:right w:type="dxa" w:w="100"/>
            </w:tcMar>
          </w:tcPr>
          <w:p>
            <w:pPr>
              <w:spacing w:after="40" w:line="256"/>
              <w:jc w:val="left"/>
            </w:pPr>
            <w:r>
              <w:rPr>
                <w:rFonts w:ascii="Calibri" w:cs="Calibri" w:eastAsia="Calibri" w:hAnsi="Calibri"/>
                <w:b/>
                <w:bCs/>
                <w:color w:val="1A1A1A"/>
                <w:sz w:val="16"/>
                <w:szCs w:val="16"/>
              </w:rPr>
              <w:t xml:space="preserve">Enlace de verificación</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Abdulhussain et al. (2026)</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https://doi.org/10.1016/j.ijpharm.2026.126682</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Boyd y Savory (2001)</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https://doi.org/10.1093/clinchem/47.1.118</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Coito et al. (2021)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https://www.mdpi.com/2673-4052/2/2/4</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Costigliola et al. (2017)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https://doi.org/10.1016/j.ifacol.2017.08.1582</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Danzinger et al. (2025)</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https://doi.org/10.1007/978-3-031-95973-8_12</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Dong et al. (2023)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https://www.mdpi.com/2227-9717/11/7/2096</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Dudnikov et al. (2012)</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https://doi.org/10.1134/S0005117912110124</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Esteban et al. (2017) (AA, preprint)</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https://arxiv.org/abs/1706.02633</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Figueira y Vaz (2022)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https://www.mdpi.com/2227-7390/10/15/2733</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Goncalves et al. (2020)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https://doi.org/10.1186/s12874-020-00977-1</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Hassi et al. (2025)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https://doi.org/10.14445/22315381/IJETT-V73I6P128</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Hernandez et al. (2025)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https://doi.org/10.3389/fdgth.2025.1576290</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Jordon et al. (2022) (AA, informe)</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https://arxiv.org/abs/2205.03257</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Khadivi et al. (2025)</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https://doi.org/10.1016/j.cie.2025.110856</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Klaessens et al. (1988)</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https://doi.org/10.1002/cem.1180020107</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Kodumuru et al. (2025)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https://www.mdpi.com/1999-4923/17/3/290</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Lopes et al. (2020) — resumen</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https://doi.org/10.1080/00207543.2019.1683250</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Martins et al. (2023)</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https://doi.org/10.1007/s10732-023-09509-8</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Maslaton (2012) — índice ISPE</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https://ispe.org/pharmaceutical-engineering/november-december-2012</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Mischek y Musliu (2024)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https://doi.org/10.1609/icaps.v34i1.31497</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Patki et al. (2016)</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https://doi.org/10.1109/DSAA.2016.49</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Schäfer (2004)</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https://doi.org/10.1016/j.jala.2004.10.001</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Vallevik et al. (2024)</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https://doi.org/10.1016/j.ijmedinf.2024.105413</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Xu et al. (2019) (AA)</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https://proceedings.neurips.cc/paper_files/paper/2019/hash/254ed7d2de3b23ab10936522dd547b78-Abstract.html</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Instancias TLSP — TU Wien (recurso público)</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https://www.dbai.tuwien.ac.at/staff/fmischek/TLSP/</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Instancias QC farmacéutico, licencia MIT — repositorio de Martins et al. (2023)</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https://github.com/miguelsem/Minimizing-total-completion-time-in-large-sized-pharmaceutical-quality-control-scheduling</w:t>
            </w:r>
          </w:p>
        </w:tc>
      </w:tr>
      <w:tr>
        <w:tc>
          <w:tcPr>
            <w:tcW w:type="dxa" w:w="33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OR-Library (instancias clásicas de scheduling)</w:t>
            </w:r>
          </w:p>
        </w:tc>
        <w:tc>
          <w:tcPr>
            <w:tcW w:type="dxa" w:w="5700"/>
            <w:tcMar>
              <w:top w:type="dxa" w:w="80"/>
              <w:left w:type="dxa" w:w="100"/>
              <w:bottom w:type="dxa" w:w="80"/>
              <w:right w:type="dxa" w:w="100"/>
            </w:tcMar>
          </w:tcPr>
          <w:p>
            <w:pPr>
              <w:spacing w:after="40" w:line="256"/>
              <w:jc w:val="left"/>
            </w:pPr>
            <w:r>
              <w:rPr>
                <w:rFonts w:ascii="Calibri" w:cs="Calibri" w:eastAsia="Calibri" w:hAnsi="Calibri"/>
                <w:b w:val="false"/>
                <w:bCs w:val="false"/>
                <w:color w:val="1A1A1A"/>
                <w:sz w:val="16"/>
                <w:szCs w:val="16"/>
              </w:rPr>
              <w:t xml:space="preserve">http://people.brunel.ac.uk/~mastjjb/jeb/info.html</w:t>
            </w:r>
          </w:p>
        </w:tc>
      </w:tr>
    </w:tbl>
    <w:sectPr>
      <w:pgSz w:w="12240" w:h="15840" w:orient="portrait"/>
      <w:pgMar w:top="11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formal de la idea de investigación V7</dc:title>
  <dc:creator>Cetares y Campo</dc:creator>
  <cp:lastModifiedBy>Un-named</cp:lastModifiedBy>
  <cp:revision>1</cp:revision>
  <dcterms:created xsi:type="dcterms:W3CDTF">2026-08-08T18:52:59.869Z</dcterms:created>
  <dcterms:modified xsi:type="dcterms:W3CDTF">2026-08-08T18:52:59.884Z</dcterms:modified>
</cp:coreProperties>
</file>

<file path=docProps/custom.xml><?xml version="1.0" encoding="utf-8"?>
<Properties xmlns="http://schemas.openxmlformats.org/officeDocument/2006/custom-properties" xmlns:vt="http://schemas.openxmlformats.org/officeDocument/2006/docPropsVTypes"/>
</file>