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b/>
          <w:bCs/>
          <w:sz w:val="28"/>
          <w:szCs w:val="28"/>
          <w:u w:val="single"/>
        </w:rPr>
      </w:pPr>
      <w:r>
        <w:rPr>
          <w:rFonts w:ascii="Times New Roman" w:hAnsi="Times New Roman"/>
          <w:b/>
          <w:bCs/>
          <w:sz w:val="28"/>
          <w:szCs w:val="28"/>
          <w:u w:val="single"/>
        </w:rPr>
        <w:t xml:space="preserve">Diagramas de casos de uso: RESIDENCIA </w:t>
      </w:r>
      <w:r>
        <w:rPr>
          <w:rFonts w:ascii="Times New Roman" w:hAnsi="Times New Roman"/>
          <w:b/>
          <w:bCs/>
          <w:sz w:val="28"/>
          <w:szCs w:val="28"/>
          <w:u w:val="single"/>
        </w:rPr>
        <w:t>Carlos GN</w:t>
      </w:r>
    </w:p>
    <w:p>
      <w:pPr>
        <w:pStyle w:val="Normal"/>
        <w:rPr>
          <w:rFonts w:ascii="Times New Roman" w:hAnsi="Times New Roman"/>
          <w:b/>
          <w:bCs/>
          <w:sz w:val="28"/>
          <w:szCs w:val="28"/>
        </w:rPr>
      </w:pPr>
      <w:r>
        <w:rPr>
          <w:rFonts w:ascii="Times New Roman" w:hAnsi="Times New Roman"/>
          <w:b/>
          <w:bCs/>
          <w:sz w:val="28"/>
          <w:szCs w:val="28"/>
        </w:rPr>
        <w:t>Actores:</w:t>
      </w:r>
    </w:p>
    <w:p>
      <w:pPr>
        <w:pStyle w:val="ListParagraph"/>
        <w:numPr>
          <w:ilvl w:val="0"/>
          <w:numId w:val="2"/>
        </w:numPr>
        <w:rPr>
          <w:rFonts w:ascii="Times New Roman" w:hAnsi="Times New Roman"/>
        </w:rPr>
      </w:pPr>
      <w:r>
        <w:rPr>
          <w:rFonts w:ascii="Times New Roman" w:hAnsi="Times New Roman"/>
          <w:sz w:val="24"/>
          <w:szCs w:val="24"/>
        </w:rPr>
        <w:t>A01.Residente</w:t>
      </w:r>
    </w:p>
    <w:p>
      <w:pPr>
        <w:pStyle w:val="ListParagraph"/>
        <w:numPr>
          <w:ilvl w:val="0"/>
          <w:numId w:val="2"/>
        </w:numPr>
        <w:rPr>
          <w:rFonts w:ascii="Times New Roman" w:hAnsi="Times New Roman"/>
        </w:rPr>
      </w:pPr>
      <w:r>
        <w:rPr>
          <w:rFonts w:ascii="Times New Roman" w:hAnsi="Times New Roman"/>
          <w:sz w:val="24"/>
          <w:szCs w:val="24"/>
        </w:rPr>
        <w:t>A02.Departamento Económico</w:t>
      </w:r>
    </w:p>
    <w:p>
      <w:pPr>
        <w:pStyle w:val="ListParagraph"/>
        <w:numPr>
          <w:ilvl w:val="0"/>
          <w:numId w:val="2"/>
        </w:numPr>
        <w:rPr>
          <w:rFonts w:ascii="Times New Roman" w:hAnsi="Times New Roman"/>
        </w:rPr>
      </w:pPr>
      <w:r>
        <w:rPr>
          <w:rFonts w:ascii="Times New Roman" w:hAnsi="Times New Roman"/>
          <w:sz w:val="24"/>
          <w:szCs w:val="24"/>
        </w:rPr>
        <w:t>A03.Conserje</w:t>
      </w:r>
    </w:p>
    <w:p>
      <w:pPr>
        <w:pStyle w:val="ListParagraph"/>
        <w:numPr>
          <w:ilvl w:val="0"/>
          <w:numId w:val="2"/>
        </w:numPr>
        <w:rPr>
          <w:rFonts w:ascii="Times New Roman" w:hAnsi="Times New Roman"/>
        </w:rPr>
      </w:pPr>
      <w:r>
        <w:rPr>
          <w:rFonts w:ascii="Times New Roman" w:hAnsi="Times New Roman"/>
          <w:sz w:val="24"/>
          <w:szCs w:val="24"/>
        </w:rPr>
        <w:t>A04.Secretaría</w:t>
      </w:r>
    </w:p>
    <w:p>
      <w:pPr>
        <w:pStyle w:val="ListParagraph"/>
        <w:numPr>
          <w:ilvl w:val="0"/>
          <w:numId w:val="2"/>
        </w:numPr>
        <w:rPr>
          <w:rFonts w:ascii="Times New Roman" w:hAnsi="Times New Roman"/>
        </w:rPr>
      </w:pPr>
      <w:r>
        <w:rPr>
          <w:rFonts w:ascii="Times New Roman" w:hAnsi="Times New Roman"/>
          <w:sz w:val="24"/>
          <w:szCs w:val="24"/>
        </w:rPr>
        <w:t>A05.Director</w:t>
      </w:r>
    </w:p>
    <w:p>
      <w:pPr>
        <w:pStyle w:val="ListParagraph"/>
        <w:numPr>
          <w:ilvl w:val="0"/>
          <w:numId w:val="2"/>
        </w:numPr>
        <w:rPr>
          <w:rFonts w:ascii="Times New Roman" w:hAnsi="Times New Roman"/>
        </w:rPr>
      </w:pPr>
      <w:r>
        <w:rPr>
          <w:rFonts w:ascii="Times New Roman" w:hAnsi="Times New Roman"/>
          <w:sz w:val="24"/>
          <w:szCs w:val="24"/>
        </w:rPr>
        <w:t>A06.Personal Directivo</w:t>
      </w:r>
    </w:p>
    <w:p>
      <w:pPr>
        <w:pStyle w:val="ListParagraph"/>
        <w:numPr>
          <w:ilvl w:val="0"/>
          <w:numId w:val="0"/>
        </w:numPr>
        <w:ind w:hanging="0" w:start="720"/>
        <w:rPr>
          <w:rFonts w:ascii="Times New Roman" w:hAnsi="Times New Roman"/>
          <w:sz w:val="24"/>
          <w:szCs w:val="24"/>
        </w:rPr>
      </w:pPr>
      <w:r>
        <w:rPr>
          <w:rFonts w:ascii="Times New Roman" w:hAnsi="Times New Roman"/>
          <w:sz w:val="24"/>
          <w:szCs w:val="24"/>
        </w:rPr>
      </w:r>
    </w:p>
    <w:p>
      <w:pPr>
        <w:pStyle w:val="Normal"/>
        <w:rPr>
          <w:rFonts w:ascii="Times New Roman" w:hAnsi="Times New Roman"/>
          <w:b/>
          <w:bCs/>
        </w:rPr>
      </w:pPr>
      <w:r>
        <w:rPr>
          <w:rFonts w:ascii="Times New Roman" w:hAnsi="Times New Roman"/>
          <w:b/>
          <w:bCs/>
          <w:sz w:val="28"/>
          <w:szCs w:val="28"/>
        </w:rPr>
        <w:t>Casos de usos:</w:t>
      </w:r>
    </w:p>
    <w:p>
      <w:pPr>
        <w:pStyle w:val="ListParagraph"/>
        <w:numPr>
          <w:ilvl w:val="0"/>
          <w:numId w:val="1"/>
        </w:numPr>
        <w:rPr>
          <w:rFonts w:ascii="Times New Roman" w:hAnsi="Times New Roman"/>
        </w:rPr>
      </w:pPr>
      <w:r>
        <w:rPr>
          <w:rFonts w:eastAsia="Aptos" w:cs="Aptos" w:ascii="Times New Roman" w:hAnsi="Times New Roman"/>
          <w:sz w:val="24"/>
          <w:szCs w:val="24"/>
        </w:rPr>
        <w:t>CU01.Controlar acceso al recinto</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CU02.Controlar servicios contratados</w:t>
      </w:r>
    </w:p>
    <w:p>
      <w:pPr>
        <w:pStyle w:val="ListParagraph"/>
        <w:numPr>
          <w:ilvl w:val="0"/>
          <w:numId w:val="1"/>
        </w:numPr>
        <w:rPr>
          <w:rFonts w:ascii="Times New Roman" w:hAnsi="Times New Roman"/>
        </w:rPr>
      </w:pPr>
      <w:r>
        <w:rPr>
          <w:rFonts w:eastAsia="Aptos" w:cs="Aptos" w:ascii="Times New Roman" w:hAnsi="Times New Roman"/>
          <w:sz w:val="24"/>
          <w:szCs w:val="24"/>
        </w:rPr>
        <w:t>CU03.Consultar servicios contratados</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CU04.Desactivar servicios</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CU05.Asignar tarjeta RFID</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CU06.Activar servicios</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CU07.Emitir remesa de cobros</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CU08.Generar informe contratación</w:t>
      </w:r>
    </w:p>
    <w:p>
      <w:pPr>
        <w:pStyle w:val="ListParagraph"/>
        <w:numPr>
          <w:ilvl w:val="0"/>
          <w:numId w:val="1"/>
        </w:numPr>
        <w:rPr>
          <w:rFonts w:ascii="Times New Roman" w:hAnsi="Times New Roman"/>
        </w:rPr>
      </w:pPr>
      <w:r>
        <w:rPr>
          <w:rFonts w:eastAsia="Aptos" w:cs="Aptos" w:ascii="Times New Roman" w:hAnsi="Times New Roman"/>
          <w:sz w:val="24"/>
          <w:szCs w:val="24"/>
        </w:rPr>
        <w:t>CU09.Generar informe ocupación</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CU10.Consultar datos residente</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CU11.Ver estado ocupación</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CU12.Generar informe permanencia</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CU13.Enviar notificación</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CU14.Solicitar informe de ocupación anónimo</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CU15.Realizar copia seguridad</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CU16.Proceder remesa</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CU17.Guardar copia seguridad</w:t>
      </w:r>
      <w:r>
        <w:rPr>
          <w:rFonts w:ascii="Times New Roman" w:hAnsi="Times New Roman"/>
        </w:rPr>
        <w:tab/>
      </w:r>
    </w:p>
    <w:p>
      <w:pPr>
        <w:pStyle w:val="ListParagraph"/>
        <w:numPr>
          <w:ilvl w:val="0"/>
          <w:numId w:val="1"/>
        </w:numPr>
        <w:rPr>
          <w:rFonts w:ascii="Times New Roman" w:hAnsi="Times New Roman"/>
        </w:rPr>
      </w:pPr>
      <w:r>
        <w:rPr>
          <w:rFonts w:eastAsia="Aptos" w:cs="Aptos" w:ascii="Times New Roman" w:hAnsi="Times New Roman"/>
          <w:sz w:val="24"/>
          <w:szCs w:val="24"/>
        </w:rPr>
        <w:t>CU18.Comunicar residente</w:t>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u w:val="single"/>
        </w:rPr>
      </w:pPr>
      <w:r>
        <w:rPr>
          <w:rFonts w:eastAsia="Aptos" w:cs="Aptos" w:ascii="Times New Roman" w:hAnsi="Times New Roman"/>
          <w:sz w:val="24"/>
          <w:szCs w:val="24"/>
          <w:u w:val="single"/>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b/>
          <w:bCs/>
          <w:sz w:val="28"/>
          <w:szCs w:val="28"/>
        </w:rPr>
      </w:pPr>
      <w:r>
        <w:rPr>
          <w:rFonts w:eastAsia="Aptos" w:cs="Aptos" w:ascii="Times New Roman" w:hAnsi="Times New Roman"/>
          <w:b/>
          <w:bCs/>
          <w:sz w:val="28"/>
          <w:szCs w:val="28"/>
        </w:rPr>
        <w:t>Diagrama casos usos:</w:t>
      </w:r>
    </w:p>
    <w:p>
      <w:pPr>
        <w:pStyle w:val="Normal"/>
        <w:rPr>
          <w:rFonts w:ascii="Times New Roman" w:hAnsi="Times New Roman"/>
        </w:rPr>
      </w:pPr>
      <w:r>
        <w:rPr>
          <w:rFonts w:ascii="Times New Roman" w:hAnsi="Times New Roman"/>
        </w:rPr>
        <w:drawing>
          <wp:inline distT="0" distB="0" distL="0" distR="0">
            <wp:extent cx="5724525" cy="472440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5724525" cy="4724400"/>
                    </a:xfrm>
                    <a:prstGeom prst="rect">
                      <a:avLst/>
                    </a:prstGeom>
                    <a:noFill/>
                  </pic:spPr>
                </pic:pic>
              </a:graphicData>
            </a:graphic>
          </wp:inline>
        </w:drawing>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rPr>
      </w:pPr>
      <w:r>
        <w:rPr>
          <w:rFonts w:eastAsia="Aptos" w:cs="Aptos" w:ascii="Times New Roman" w:hAnsi="Times New Roman"/>
          <w:b/>
          <w:bCs/>
          <w:sz w:val="28"/>
          <w:szCs w:val="28"/>
        </w:rPr>
        <w:t xml:space="preserve">Documentación caso de uso: </w:t>
      </w:r>
    </w:p>
    <w:p>
      <w:pPr>
        <w:pStyle w:val="Normal"/>
        <w:rPr>
          <w:rFonts w:ascii="Times New Roman" w:hAnsi="Times New Roman"/>
          <w:sz w:val="24"/>
          <w:szCs w:val="24"/>
        </w:rPr>
      </w:pPr>
      <w:r>
        <w:rPr>
          <w:rFonts w:eastAsia="Aptos" w:cs="Aptos" w:ascii="Times New Roman" w:hAnsi="Times New Roman"/>
          <w:sz w:val="24"/>
          <w:szCs w:val="24"/>
        </w:rPr>
        <w:t>CU07 – Emitir remesa</w:t>
      </w:r>
    </w:p>
    <w:p>
      <w:pPr>
        <w:pStyle w:val="Normal"/>
        <w:rPr>
          <w:rFonts w:ascii="Times New Roman" w:hAnsi="Times New Roman"/>
          <w:sz w:val="24"/>
          <w:szCs w:val="24"/>
        </w:rPr>
      </w:pPr>
      <w:r>
        <w:rPr>
          <w:rFonts w:eastAsia="Aptos" w:cs="Aptos" w:ascii="Times New Roman" w:hAnsi="Times New Roman"/>
          <w:sz w:val="24"/>
          <w:szCs w:val="24"/>
        </w:rPr>
        <w:t>Descripción: El sistema permite al Departamento Económico generar la remesa mensual de cobros de los servicios contratados por los residentes. El proceso incluye la conexión automática con el sistema bancario (API REST) para enviar la información y procesar los cobros.</w:t>
      </w:r>
    </w:p>
    <w:p>
      <w:pPr>
        <w:pStyle w:val="Normal"/>
        <w:rPr>
          <w:rFonts w:ascii="Times New Roman" w:hAnsi="Times New Roman"/>
          <w:sz w:val="24"/>
          <w:szCs w:val="24"/>
        </w:rPr>
      </w:pPr>
      <w:r>
        <w:rPr>
          <w:rFonts w:eastAsia="Aptos" w:cs="Aptos" w:ascii="Times New Roman" w:hAnsi="Times New Roman"/>
          <w:sz w:val="24"/>
          <w:szCs w:val="24"/>
        </w:rPr>
        <w:t xml:space="preserve"> </w:t>
      </w:r>
    </w:p>
    <w:p>
      <w:pPr>
        <w:pStyle w:val="Normal"/>
        <w:rPr>
          <w:rFonts w:ascii="Times New Roman" w:hAnsi="Times New Roman"/>
          <w:sz w:val="24"/>
          <w:szCs w:val="24"/>
        </w:rPr>
      </w:pPr>
      <w:r>
        <w:rPr>
          <w:rFonts w:eastAsia="Aptos" w:cs="Aptos" w:ascii="Times New Roman" w:hAnsi="Times New Roman"/>
          <w:sz w:val="24"/>
          <w:szCs w:val="24"/>
        </w:rPr>
        <w:t>Actor principal: Departamento Económico</w:t>
      </w:r>
    </w:p>
    <w:p>
      <w:pPr>
        <w:pStyle w:val="Normal"/>
        <w:rPr>
          <w:rFonts w:ascii="Times New Roman" w:hAnsi="Times New Roman" w:eastAsia="Aptos" w:cs="Aptos"/>
          <w:sz w:val="24"/>
          <w:szCs w:val="24"/>
        </w:rPr>
      </w:pPr>
      <w:r>
        <w:rPr>
          <w:rFonts w:eastAsia="Aptos" w:cs="Aptos" w:ascii="Times New Roman" w:hAnsi="Times New Roman"/>
          <w:sz w:val="24"/>
          <w:szCs w:val="24"/>
        </w:rPr>
      </w:r>
    </w:p>
    <w:p>
      <w:pPr>
        <w:pStyle w:val="Normal"/>
        <w:rPr>
          <w:rFonts w:ascii="Times New Roman" w:hAnsi="Times New Roman"/>
          <w:sz w:val="24"/>
          <w:szCs w:val="24"/>
        </w:rPr>
      </w:pPr>
      <w:r>
        <w:rPr>
          <w:rFonts w:eastAsia="Aptos" w:cs="Aptos" w:ascii="Times New Roman" w:hAnsi="Times New Roman"/>
          <w:sz w:val="24"/>
          <w:szCs w:val="24"/>
        </w:rPr>
        <w:t xml:space="preserve"> </w:t>
      </w:r>
      <w:r>
        <w:rPr>
          <w:rFonts w:eastAsia="Aptos" w:cs="Aptos" w:ascii="Times New Roman" w:hAnsi="Times New Roman"/>
          <w:sz w:val="24"/>
          <w:szCs w:val="24"/>
        </w:rPr>
        <w:t>Actores secundarios: Sistema Bancario (API REST)</w:t>
      </w:r>
    </w:p>
    <w:p>
      <w:pPr>
        <w:pStyle w:val="Normal"/>
        <w:rPr>
          <w:rFonts w:ascii="Times New Roman" w:hAnsi="Times New Roman"/>
          <w:sz w:val="24"/>
          <w:szCs w:val="24"/>
        </w:rPr>
      </w:pPr>
      <w:r>
        <w:rPr>
          <w:rFonts w:eastAsia="Aptos" w:cs="Aptos" w:ascii="Times New Roman" w:hAnsi="Times New Roman"/>
          <w:sz w:val="24"/>
          <w:szCs w:val="24"/>
        </w:rPr>
        <w:t xml:space="preserve"> </w:t>
      </w:r>
    </w:p>
    <w:p>
      <w:pPr>
        <w:pStyle w:val="Normal"/>
        <w:rPr>
          <w:rFonts w:ascii="Times New Roman" w:hAnsi="Times New Roman"/>
          <w:sz w:val="24"/>
          <w:szCs w:val="24"/>
        </w:rPr>
      </w:pPr>
      <w:r>
        <w:rPr>
          <w:rFonts w:eastAsia="Aptos" w:cs="Aptos" w:ascii="Times New Roman" w:hAnsi="Times New Roman"/>
          <w:sz w:val="24"/>
          <w:szCs w:val="24"/>
        </w:rPr>
        <w:t>Curso normal de los acontecimientos: El Departamento Económico selecciona la opción “Emitir remesa”. El sistema recopila la información de los servicios contratados y los importes asociados. El sistema genera el archivo de remesa con los datos de cobro.  El sistema se comunica mediante API REST con el sistema bancario. El sistema bancario realiza el procesamiento de la remesa.</w:t>
      </w:r>
    </w:p>
    <w:p>
      <w:pPr>
        <w:pStyle w:val="Normal"/>
        <w:spacing w:before="0" w:after="160"/>
        <w:rPr>
          <w:rFonts w:ascii="Times New Roman" w:hAnsi="Times New Roman"/>
        </w:rPr>
      </w:pPr>
      <w:r>
        <w:rPr>
          <w:rFonts w:eastAsia="Aptos" w:cs="Aptos" w:ascii="Times New Roman" w:hAnsi="Times New Roman"/>
          <w:sz w:val="24"/>
          <w:szCs w:val="24"/>
        </w:rPr>
        <w:t xml:space="preserve">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0"/>
      <w:sz w:val="24"/>
      <w:szCs w:val="24"/>
      <w:lang w:val="es-ES" w:eastAsia="en-US" w:bidi="ar-SA"/>
    </w:rPr>
  </w:style>
  <w:style w:type="paragraph" w:styleId="Heading1">
    <w:name w:val="heading 1"/>
    <w:basedOn w:val="Ttulo"/>
    <w:next w:val="BodyText"/>
    <w:qFormat/>
    <w:pPr>
      <w:spacing w:before="240" w:after="120"/>
      <w:outlineLvl w:val="0"/>
    </w:pPr>
    <w:rPr>
      <w:rFonts w:ascii="Liberation Serif" w:hAnsi="Liberation Serif" w:eastAsia="Segoe UI" w:cs="Tahoma"/>
      <w:b/>
      <w:bCs/>
      <w:sz w:val="48"/>
      <w:szCs w:val="48"/>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34"/>
    <w:qFormat/>
    <w:rsid w:val="2e289172"/>
    <w:pPr>
      <w:spacing w:before="0" w:after="160"/>
      <w:ind w:start="720"/>
      <w:contextualSpacing/>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LibreOffice/25.8.2.2$Windows_X86_64 LibreOffice_project/d401f2107ccab8f924a8e2df40f573aab7605b6f</Application>
  <AppVersion>15.0000</AppVersion>
  <Pages>3</Pages>
  <Words>216</Words>
  <Characters>1357</Characters>
  <CharactersWithSpaces>1537</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2025-11-13T17:06:52Z</dcterms:created>
  <dc:creator>Carlos Guaraca</dc:creator>
  <dc:description/>
  <dc:language>es-ES</dc:language>
  <cp:lastModifiedBy/>
  <cp:lastPrinted>2025-11-13T19:56:03Z</cp:lastPrinted>
  <dcterms:modified xsi:type="dcterms:W3CDTF">2025-11-13T19:56:26Z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