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b/>
          <w:bCs/>
          <w:sz w:val="28"/>
          <w:szCs w:val="28"/>
          <w:u w:val="none"/>
        </w:rPr>
      </w:pPr>
      <w:r>
        <w:rPr>
          <w:rFonts w:ascii="Times New Roman" w:hAnsi="Times New Roman"/>
          <w:b/>
          <w:bCs/>
          <w:sz w:val="28"/>
          <w:szCs w:val="28"/>
          <w:u w:val="single"/>
        </w:rPr>
        <w:t>Diagramas de casos de uso: RESIDENCIA Carlos GN</w:t>
      </w:r>
      <w:r>
        <w:rPr>
          <w:rFonts w:ascii="Times New Roman" w:hAnsi="Times New Roman"/>
          <w:b/>
          <w:bCs/>
          <w:sz w:val="28"/>
          <w:szCs w:val="28"/>
          <w:u w:val="none"/>
        </w:rPr>
        <w:t xml:space="preserve"> (Intento 2)</w:t>
      </w:r>
    </w:p>
    <w:p>
      <w:pPr>
        <w:pStyle w:val="Normal"/>
        <w:rPr>
          <w:rFonts w:ascii="Times New Roman" w:hAnsi="Times New Roman"/>
          <w:b/>
          <w:bCs/>
          <w:sz w:val="28"/>
          <w:szCs w:val="28"/>
        </w:rPr>
      </w:pPr>
      <w:r>
        <w:rPr>
          <w:rFonts w:ascii="Times New Roman" w:hAnsi="Times New Roman"/>
          <w:b/>
          <w:bCs/>
          <w:sz w:val="28"/>
          <w:szCs w:val="28"/>
        </w:rPr>
        <w:t>Actores:</w:t>
      </w:r>
    </w:p>
    <w:p>
      <w:pPr>
        <w:pStyle w:val="ListParagraph"/>
        <w:numPr>
          <w:ilvl w:val="0"/>
          <w:numId w:val="2"/>
        </w:numPr>
        <w:rPr>
          <w:rFonts w:ascii="Times New Roman" w:hAnsi="Times New Roman"/>
        </w:rPr>
      </w:pPr>
      <w:r>
        <w:rPr>
          <w:rFonts w:ascii="Times New Roman" w:hAnsi="Times New Roman"/>
          <w:sz w:val="24"/>
          <w:szCs w:val="24"/>
        </w:rPr>
        <w:t>A01.Residente</w:t>
      </w:r>
    </w:p>
    <w:p>
      <w:pPr>
        <w:pStyle w:val="ListParagraph"/>
        <w:numPr>
          <w:ilvl w:val="0"/>
          <w:numId w:val="2"/>
        </w:numPr>
        <w:rPr>
          <w:rFonts w:ascii="Times New Roman" w:hAnsi="Times New Roman"/>
        </w:rPr>
      </w:pPr>
      <w:r>
        <w:rPr>
          <w:rFonts w:ascii="Times New Roman" w:hAnsi="Times New Roman"/>
          <w:sz w:val="24"/>
          <w:szCs w:val="24"/>
        </w:rPr>
        <w:t>A02.Departamento Económico</w:t>
      </w:r>
    </w:p>
    <w:p>
      <w:pPr>
        <w:pStyle w:val="ListParagraph"/>
        <w:numPr>
          <w:ilvl w:val="0"/>
          <w:numId w:val="2"/>
        </w:numPr>
        <w:rPr>
          <w:rFonts w:ascii="Times New Roman" w:hAnsi="Times New Roman"/>
        </w:rPr>
      </w:pPr>
      <w:r>
        <w:rPr>
          <w:rFonts w:ascii="Times New Roman" w:hAnsi="Times New Roman"/>
          <w:sz w:val="24"/>
          <w:szCs w:val="24"/>
        </w:rPr>
        <w:t>A03.Conserje</w:t>
      </w:r>
    </w:p>
    <w:p>
      <w:pPr>
        <w:pStyle w:val="ListParagraph"/>
        <w:numPr>
          <w:ilvl w:val="0"/>
          <w:numId w:val="2"/>
        </w:numPr>
        <w:rPr>
          <w:rFonts w:ascii="Times New Roman" w:hAnsi="Times New Roman"/>
        </w:rPr>
      </w:pPr>
      <w:r>
        <w:rPr>
          <w:rFonts w:ascii="Times New Roman" w:hAnsi="Times New Roman"/>
          <w:sz w:val="24"/>
          <w:szCs w:val="24"/>
        </w:rPr>
        <w:t>A04.Secretaría</w:t>
      </w:r>
    </w:p>
    <w:p>
      <w:pPr>
        <w:pStyle w:val="ListParagraph"/>
        <w:numPr>
          <w:ilvl w:val="0"/>
          <w:numId w:val="2"/>
        </w:numPr>
        <w:rPr>
          <w:rFonts w:ascii="Times New Roman" w:hAnsi="Times New Roman"/>
        </w:rPr>
      </w:pPr>
      <w:r>
        <w:rPr>
          <w:rFonts w:ascii="Times New Roman" w:hAnsi="Times New Roman"/>
          <w:sz w:val="24"/>
          <w:szCs w:val="24"/>
        </w:rPr>
        <w:t>A05.Director</w:t>
      </w:r>
    </w:p>
    <w:p>
      <w:pPr>
        <w:pStyle w:val="ListParagraph"/>
        <w:numPr>
          <w:ilvl w:val="0"/>
          <w:numId w:val="2"/>
        </w:numPr>
        <w:rPr>
          <w:rFonts w:ascii="Times New Roman" w:hAnsi="Times New Roman"/>
        </w:rPr>
      </w:pPr>
      <w:r>
        <w:rPr>
          <w:rFonts w:ascii="Times New Roman" w:hAnsi="Times New Roman"/>
          <w:sz w:val="24"/>
          <w:szCs w:val="24"/>
        </w:rPr>
        <w:t>A06.Personal Directivo</w:t>
      </w:r>
    </w:p>
    <w:p>
      <w:pPr>
        <w:pStyle w:val="ListParagraph"/>
        <w:rPr>
          <w:rFonts w:ascii="Times New Roman" w:hAnsi="Times New Roman"/>
        </w:rPr>
      </w:pPr>
      <w:r>
        <w:rPr>
          <w:rFonts w:ascii="Times New Roman" w:hAnsi="Times New Roman"/>
        </w:rPr>
      </w:r>
    </w:p>
    <w:p>
      <w:pPr>
        <w:pStyle w:val="ListParagraph"/>
        <w:numPr>
          <w:ilvl w:val="0"/>
          <w:numId w:val="2"/>
        </w:numPr>
        <w:rPr>
          <w:rFonts w:ascii="Times New Roman" w:hAnsi="Times New Roman"/>
          <w:color w:val="FF0000"/>
          <w:sz w:val="24"/>
          <w:szCs w:val="24"/>
        </w:rPr>
      </w:pPr>
      <w:r>
        <w:rPr>
          <w:rFonts w:ascii="Times New Roman" w:hAnsi="Times New Roman"/>
          <w:color w:val="FF0000"/>
          <w:sz w:val="24"/>
          <w:szCs w:val="24"/>
        </w:rPr>
        <w:t>A07.Google Cloud</w:t>
      </w:r>
    </w:p>
    <w:p>
      <w:pPr>
        <w:pStyle w:val="ListParagraph"/>
        <w:numPr>
          <w:ilvl w:val="0"/>
          <w:numId w:val="2"/>
        </w:numPr>
        <w:rPr>
          <w:rFonts w:ascii="Times New Roman" w:hAnsi="Times New Roman"/>
          <w:color w:val="FF0000"/>
          <w:sz w:val="24"/>
          <w:szCs w:val="24"/>
        </w:rPr>
      </w:pPr>
      <w:r>
        <w:rPr>
          <w:rFonts w:ascii="Times New Roman" w:hAnsi="Times New Roman"/>
          <w:color w:val="FF0000"/>
          <w:sz w:val="24"/>
          <w:szCs w:val="24"/>
        </w:rPr>
        <w:t>A08.API REST</w:t>
      </w:r>
    </w:p>
    <w:p>
      <w:pPr>
        <w:pStyle w:val="ListParagraph"/>
        <w:numPr>
          <w:ilvl w:val="0"/>
          <w:numId w:val="2"/>
        </w:numPr>
        <w:rPr>
          <w:rFonts w:ascii="Times New Roman" w:hAnsi="Times New Roman"/>
          <w:color w:val="FF0000"/>
          <w:sz w:val="24"/>
          <w:szCs w:val="24"/>
        </w:rPr>
      </w:pPr>
      <w:r>
        <w:rPr>
          <w:rFonts w:ascii="Times New Roman" w:hAnsi="Times New Roman"/>
          <w:color w:val="FF0000"/>
          <w:sz w:val="24"/>
          <w:szCs w:val="24"/>
        </w:rPr>
        <w:t>A09.Base de Datos SCR</w:t>
      </w:r>
    </w:p>
    <w:p>
      <w:pPr>
        <w:pStyle w:val="ListParagraph"/>
        <w:numPr>
          <w:ilvl w:val="0"/>
          <w:numId w:val="0"/>
        </w:numPr>
        <w:ind w:hanging="0" w:start="720"/>
        <w:rPr>
          <w:rFonts w:ascii="Times New Roman" w:hAnsi="Times New Roman"/>
          <w:sz w:val="24"/>
          <w:szCs w:val="24"/>
        </w:rPr>
      </w:pPr>
      <w:r>
        <w:rPr>
          <w:rFonts w:ascii="Times New Roman" w:hAnsi="Times New Roman"/>
          <w:sz w:val="24"/>
          <w:szCs w:val="24"/>
        </w:rPr>
      </w:r>
    </w:p>
    <w:p>
      <w:pPr>
        <w:pStyle w:val="Normal"/>
        <w:rPr>
          <w:rFonts w:ascii="Times New Roman" w:hAnsi="Times New Roman"/>
          <w:b/>
          <w:bCs/>
        </w:rPr>
      </w:pPr>
      <w:r>
        <w:rPr>
          <w:rFonts w:ascii="Times New Roman" w:hAnsi="Times New Roman"/>
          <w:b/>
          <w:bCs/>
          <w:sz w:val="28"/>
          <w:szCs w:val="28"/>
        </w:rPr>
        <w:t>Casos de usos:</w:t>
      </w:r>
    </w:p>
    <w:p>
      <w:pPr>
        <w:pStyle w:val="ListParagraph"/>
        <w:numPr>
          <w:ilvl w:val="0"/>
          <w:numId w:val="1"/>
        </w:numPr>
        <w:rPr>
          <w:rFonts w:ascii="Times New Roman" w:hAnsi="Times New Roman"/>
        </w:rPr>
      </w:pPr>
      <w:r>
        <w:rPr>
          <w:rFonts w:eastAsia="Aptos" w:cs="Aptos" w:ascii="Times New Roman" w:hAnsi="Times New Roman"/>
          <w:sz w:val="24"/>
          <w:szCs w:val="24"/>
        </w:rPr>
        <w:t>CU01.Controlar acceso al recinto</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CU02.Controlar servicios contratados</w:t>
      </w:r>
    </w:p>
    <w:p>
      <w:pPr>
        <w:pStyle w:val="ListParagraph"/>
        <w:numPr>
          <w:ilvl w:val="0"/>
          <w:numId w:val="1"/>
        </w:numPr>
        <w:rPr>
          <w:rFonts w:ascii="Times New Roman" w:hAnsi="Times New Roman"/>
        </w:rPr>
      </w:pPr>
      <w:r>
        <w:rPr>
          <w:rFonts w:eastAsia="Aptos" w:cs="Aptos" w:ascii="Times New Roman" w:hAnsi="Times New Roman"/>
          <w:sz w:val="24"/>
          <w:szCs w:val="24"/>
        </w:rPr>
        <w:t>CU03.Consultar servicios contratados</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CU04.Desactivar servicios</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CU05.Asignar tarjeta RFID</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CU06.Activar servicios</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CU07.Emitir remesa de cobros</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CU08.Generar informe contratación</w:t>
      </w:r>
    </w:p>
    <w:p>
      <w:pPr>
        <w:pStyle w:val="ListParagraph"/>
        <w:numPr>
          <w:ilvl w:val="0"/>
          <w:numId w:val="1"/>
        </w:numPr>
        <w:rPr>
          <w:rFonts w:ascii="Times New Roman" w:hAnsi="Times New Roman"/>
        </w:rPr>
      </w:pPr>
      <w:r>
        <w:rPr>
          <w:rFonts w:eastAsia="Aptos" w:cs="Aptos" w:ascii="Times New Roman" w:hAnsi="Times New Roman"/>
          <w:sz w:val="24"/>
          <w:szCs w:val="24"/>
        </w:rPr>
        <w:t>CU09.Generar informe ocupación</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CU10.Consultar datos residente</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CU11.Ver estado ocupación</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CU12.Generar informe permanencia</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CU13.Enviar notificación</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CU14.Solicitar informe de ocupación anónimo</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CU15.Realizar copia seguridad</w:t>
      </w:r>
      <w:r>
        <w:rPr>
          <w:rFonts w:ascii="Times New Roman" w:hAnsi="Times New Roman"/>
        </w:rPr>
        <w:tab/>
      </w:r>
    </w:p>
    <w:p>
      <w:pPr>
        <w:pStyle w:val="ListParagraph"/>
        <w:numPr>
          <w:ilvl w:val="0"/>
          <w:numId w:val="0"/>
        </w:numPr>
        <w:ind w:hanging="0" w:start="0"/>
        <w:rPr/>
      </w:pPr>
      <w:r>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u w:val="single"/>
        </w:rPr>
      </w:pPr>
      <w:r>
        <w:rPr>
          <w:rFonts w:eastAsia="Aptos" w:cs="Aptos" w:ascii="Times New Roman" w:hAnsi="Times New Roman"/>
          <w:sz w:val="24"/>
          <w:szCs w:val="24"/>
          <w:u w:val="single"/>
        </w:rPr>
      </w:r>
    </w:p>
    <w:p>
      <w:pPr>
        <w:pStyle w:val="Normal"/>
        <w:rPr>
          <w:rFonts w:ascii="Times New Roman" w:hAnsi="Times New Roman"/>
          <w:b/>
          <w:bCs/>
          <w:sz w:val="28"/>
          <w:szCs w:val="28"/>
        </w:rPr>
      </w:pPr>
      <w:r>
        <w:rPr>
          <w:rFonts w:eastAsia="Aptos" w:cs="Aptos" w:ascii="Times New Roman" w:hAnsi="Times New Roman"/>
          <w:b/>
          <w:bCs/>
          <w:sz w:val="28"/>
          <w:szCs w:val="28"/>
        </w:rPr>
        <w:t>Diagrama casos usos:</w:t>
      </w:r>
    </w:p>
    <w:p>
      <w:pPr>
        <w:pStyle w:val="Normal"/>
        <w:rPr>
          <w:rFonts w:ascii="Times New Roman" w:hAnsi="Times New Roman"/>
        </w:rPr>
      </w:pPr>
      <w:r>
        <w:rPr/>
        <w:drawing>
          <wp:inline distT="0" distB="0" distL="0" distR="0">
            <wp:extent cx="6456680" cy="4652645"/>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6456680" cy="4652645"/>
                    </a:xfrm>
                    <a:prstGeom prst="rect">
                      <a:avLst/>
                    </a:prstGeom>
                    <a:noFill/>
                  </pic:spPr>
                </pic:pic>
              </a:graphicData>
            </a:graphic>
          </wp:inline>
        </w:drawing>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color w:val="FF0000"/>
          <w:sz w:val="24"/>
          <w:szCs w:val="24"/>
        </w:rPr>
      </w:pPr>
      <w:r>
        <w:rPr>
          <w:rFonts w:eastAsia="Aptos" w:cs="Aptos" w:ascii="Times New Roman" w:hAnsi="Times New Roman"/>
          <w:color w:val="FF0000"/>
          <w:sz w:val="24"/>
          <w:szCs w:val="24"/>
        </w:rPr>
        <w:t>¿Que diferencia hay entre director y personal directivo?</w:t>
      </w:r>
    </w:p>
    <w:p>
      <w:pPr>
        <w:pStyle w:val="Normal"/>
        <w:rPr>
          <w:rFonts w:ascii="Times New Roman" w:hAnsi="Times New Roman" w:eastAsia="Aptos" w:cs="Aptos"/>
          <w:sz w:val="24"/>
          <w:szCs w:val="24"/>
        </w:rPr>
      </w:pPr>
      <w:r>
        <w:rPr>
          <w:rFonts w:eastAsia="Aptos" w:cs="Aptos" w:ascii="Times New Roman" w:hAnsi="Times New Roman"/>
          <w:sz w:val="24"/>
          <w:szCs w:val="24"/>
        </w:rPr>
        <w:t>Para empezar, los dos cosas totalmente distintas. El personal directivo se se encargar de tomar decisiones posteriores al haber recibido la información del TCES (Como bien dice en el trabajo). Sin embargo,  del director no se dice prácticamente nada, salvo que puede ver los estado de ocupación de la residencia en tiempo real y colaborar con los conserjes y secretarios (realizando sus funciones). Puede que estos dos actores den a confusión debido al parecido de sus nombres, pero se descartamos al personal directivo y dejamos unicamente al director, habría un caso de uso que no se estaría interpretando en el diagrama de casos de usos (CU12.Generar informe permanencia), puesto que este no es hecho por el director ni ninguno de los demás actores. Por esa razón creo imprescindible es establecerlo en este caso de uso</w:t>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rPr>
      </w:pPr>
      <w:r>
        <w:rPr>
          <w:rFonts w:eastAsia="Aptos" w:cs="Aptos" w:ascii="Times New Roman" w:hAnsi="Times New Roman"/>
          <w:b/>
          <w:bCs/>
          <w:color w:val="FF0000"/>
          <w:sz w:val="28"/>
          <w:szCs w:val="28"/>
        </w:rPr>
        <w:t>Documentación caso de uso:</w:t>
      </w:r>
      <w:r>
        <w:rPr>
          <w:rFonts w:eastAsia="Aptos" w:cs="Aptos" w:ascii="Times New Roman" w:hAnsi="Times New Roman"/>
          <w:b/>
          <w:bCs/>
          <w:sz w:val="28"/>
          <w:szCs w:val="28"/>
        </w:rPr>
        <w:t xml:space="preserve"> </w:t>
      </w:r>
    </w:p>
    <w:tbl>
      <w:tblPr>
        <w:tblW w:w="9409" w:type="dxa"/>
        <w:jc w:val="start"/>
        <w:tblInd w:w="5" w:type="dxa"/>
        <w:tblLayout w:type="fixed"/>
        <w:tblCellMar>
          <w:top w:w="55" w:type="dxa"/>
          <w:start w:w="55" w:type="dxa"/>
          <w:bottom w:w="55" w:type="dxa"/>
          <w:end w:w="55" w:type="dxa"/>
        </w:tblCellMar>
      </w:tblPr>
      <w:tblGrid>
        <w:gridCol w:w="2603"/>
        <w:gridCol w:w="6806"/>
      </w:tblGrid>
      <w:tr>
        <w:trPr/>
        <w:tc>
          <w:tcPr>
            <w:tcW w:w="9409" w:type="dxa"/>
            <w:gridSpan w:val="2"/>
            <w:tcBorders>
              <w:top w:val="single" w:sz="4" w:space="0" w:color="81D41A"/>
              <w:start w:val="single" w:sz="4" w:space="0" w:color="81D41A"/>
              <w:bottom w:val="single" w:sz="4" w:space="0" w:color="81D41A"/>
              <w:end w:val="single" w:sz="4" w:space="0" w:color="81D41A"/>
            </w:tcBorders>
            <w:shd w:fill="81D41A" w:val="clear"/>
          </w:tcPr>
          <w:p>
            <w:pPr>
              <w:pStyle w:val="Contenidodelatablauser"/>
              <w:spacing w:before="0" w:after="160"/>
              <w:rPr>
                <w:color w:val="FFFFFF"/>
              </w:rPr>
            </w:pPr>
            <w:r>
              <w:rPr>
                <w:color w:val="FFFFFF"/>
              </w:rPr>
              <w:t>Sistema de control de acceso Colegio Mayor</w:t>
            </w:r>
          </w:p>
        </w:tc>
      </w:tr>
      <w:tr>
        <w:trPr/>
        <w:tc>
          <w:tcPr>
            <w:tcW w:w="9409" w:type="dxa"/>
            <w:gridSpan w:val="2"/>
            <w:tcBorders>
              <w:start w:val="single" w:sz="4" w:space="0" w:color="81D41A"/>
              <w:bottom w:val="single" w:sz="4" w:space="0" w:color="81D41A"/>
              <w:end w:val="single" w:sz="4" w:space="0" w:color="81D41A"/>
            </w:tcBorders>
          </w:tcPr>
          <w:p>
            <w:pPr>
              <w:pStyle w:val="Normal"/>
              <w:spacing w:before="0" w:after="160"/>
              <w:rPr>
                <w:b/>
                <w:bCs/>
              </w:rPr>
            </w:pPr>
            <w:r>
              <w:rPr>
                <w:rFonts w:eastAsia="Aptos" w:cs="Aptos" w:ascii="Times New Roman" w:hAnsi="Times New Roman"/>
                <w:b/>
                <w:bCs/>
                <w:sz w:val="24"/>
                <w:szCs w:val="24"/>
              </w:rPr>
              <w:t>ID: CU07 – Emitir remesa de cobros</w:t>
            </w:r>
          </w:p>
        </w:tc>
      </w:tr>
      <w:tr>
        <w:trPr>
          <w:trHeight w:val="1582" w:hRule="atLeast"/>
        </w:trPr>
        <w:tc>
          <w:tcPr>
            <w:tcW w:w="2603" w:type="dxa"/>
            <w:tcBorders>
              <w:start w:val="single" w:sz="4" w:space="0" w:color="81D41A"/>
              <w:bottom w:val="single" w:sz="4" w:space="0" w:color="81D41A"/>
            </w:tcBorders>
          </w:tcPr>
          <w:p>
            <w:pPr>
              <w:pStyle w:val="Normal"/>
              <w:spacing w:before="0" w:after="160"/>
              <w:rPr/>
            </w:pPr>
            <w:r>
              <w:rPr>
                <w:rFonts w:eastAsia="Aptos" w:cs="Aptos" w:ascii="Times New Roman" w:hAnsi="Times New Roman"/>
                <w:b/>
                <w:bCs/>
                <w:sz w:val="24"/>
                <w:szCs w:val="24"/>
              </w:rPr>
              <w:t>Descripción:</w:t>
            </w:r>
            <w:r>
              <w:rPr>
                <w:rFonts w:eastAsia="Aptos" w:cs="Aptos" w:ascii="Times New Roman" w:hAnsi="Times New Roman"/>
                <w:sz w:val="24"/>
                <w:szCs w:val="24"/>
              </w:rPr>
              <w:t xml:space="preserve"> </w:t>
            </w:r>
          </w:p>
        </w:tc>
        <w:tc>
          <w:tcPr>
            <w:tcW w:w="6806" w:type="dxa"/>
            <w:tcBorders>
              <w:start w:val="single" w:sz="4" w:space="0" w:color="81D41A"/>
              <w:bottom w:val="single" w:sz="4" w:space="0" w:color="81D41A"/>
              <w:end w:val="single" w:sz="4" w:space="0" w:color="81D41A"/>
            </w:tcBorders>
          </w:tcPr>
          <w:p>
            <w:pPr>
              <w:pStyle w:val="Normal"/>
              <w:spacing w:before="0" w:after="160"/>
              <w:rPr/>
            </w:pPr>
            <w:r>
              <w:rPr>
                <w:rFonts w:eastAsia="Aptos" w:cs="Aptos" w:ascii="Times New Roman" w:hAnsi="Times New Roman"/>
                <w:sz w:val="24"/>
                <w:szCs w:val="24"/>
              </w:rPr>
              <w:t>El sistema permite al Departamento Económico generar la remesa mensual de cobros de los servicios contratados por los residentes. El proceso incluye la conexión automática con el sistema bancario (API REST) para enviar la información y procesar los cobros.</w:t>
            </w:r>
          </w:p>
        </w:tc>
      </w:tr>
      <w:tr>
        <w:trPr/>
        <w:tc>
          <w:tcPr>
            <w:tcW w:w="2603" w:type="dxa"/>
            <w:tcBorders>
              <w:start w:val="single" w:sz="4" w:space="0" w:color="81D41A"/>
              <w:bottom w:val="single" w:sz="4" w:space="0" w:color="81D41A"/>
            </w:tcBorders>
          </w:tcPr>
          <w:p>
            <w:pPr>
              <w:pStyle w:val="Normal"/>
              <w:spacing w:before="0" w:after="160"/>
              <w:rPr>
                <w:rFonts w:ascii="Times New Roman" w:hAnsi="Times New Roman"/>
                <w:sz w:val="24"/>
                <w:szCs w:val="24"/>
              </w:rPr>
            </w:pPr>
            <w:r>
              <w:rPr>
                <w:rFonts w:eastAsia="Aptos" w:cs="Aptos" w:ascii="Times New Roman" w:hAnsi="Times New Roman"/>
                <w:b/>
                <w:bCs/>
                <w:sz w:val="24"/>
                <w:szCs w:val="24"/>
              </w:rPr>
              <w:t>Actor principal:</w:t>
            </w:r>
            <w:r>
              <w:rPr>
                <w:rFonts w:eastAsia="Aptos" w:cs="Aptos" w:ascii="Times New Roman" w:hAnsi="Times New Roman"/>
                <w:sz w:val="24"/>
                <w:szCs w:val="24"/>
              </w:rPr>
              <w:t xml:space="preserve"> </w:t>
            </w:r>
          </w:p>
        </w:tc>
        <w:tc>
          <w:tcPr>
            <w:tcW w:w="6806" w:type="dxa"/>
            <w:tcBorders>
              <w:start w:val="single" w:sz="4" w:space="0" w:color="81D41A"/>
              <w:bottom w:val="single" w:sz="4" w:space="0" w:color="81D41A"/>
              <w:end w:val="single" w:sz="4" w:space="0" w:color="81D41A"/>
            </w:tcBorders>
          </w:tcPr>
          <w:p>
            <w:pPr>
              <w:pStyle w:val="Normal"/>
              <w:spacing w:before="0" w:after="160"/>
              <w:rPr>
                <w:rFonts w:ascii="Times New Roman" w:hAnsi="Times New Roman"/>
                <w:sz w:val="24"/>
                <w:szCs w:val="24"/>
              </w:rPr>
            </w:pPr>
            <w:r>
              <w:rPr>
                <w:rFonts w:eastAsia="Aptos" w:cs="Aptos" w:ascii="Times New Roman" w:hAnsi="Times New Roman"/>
                <w:sz w:val="24"/>
                <w:szCs w:val="24"/>
              </w:rPr>
              <w:t>A02.Departamento Económico</w:t>
            </w:r>
          </w:p>
        </w:tc>
      </w:tr>
      <w:tr>
        <w:trPr/>
        <w:tc>
          <w:tcPr>
            <w:tcW w:w="2603" w:type="dxa"/>
            <w:tcBorders>
              <w:start w:val="single" w:sz="4" w:space="0" w:color="81D41A"/>
              <w:bottom w:val="single" w:sz="4" w:space="0" w:color="81D41A"/>
            </w:tcBorders>
          </w:tcPr>
          <w:p>
            <w:pPr>
              <w:pStyle w:val="Normal"/>
              <w:spacing w:before="0" w:after="160"/>
              <w:rPr>
                <w:rFonts w:ascii="Times New Roman" w:hAnsi="Times New Roman"/>
                <w:sz w:val="24"/>
                <w:szCs w:val="24"/>
              </w:rPr>
            </w:pPr>
            <w:r>
              <w:rPr>
                <w:rFonts w:eastAsia="Aptos" w:cs="Aptos" w:ascii="Times New Roman" w:hAnsi="Times New Roman"/>
                <w:sz w:val="24"/>
                <w:szCs w:val="24"/>
              </w:rPr>
              <w:t xml:space="preserve"> </w:t>
            </w:r>
            <w:r>
              <w:rPr>
                <w:rFonts w:eastAsia="Aptos" w:cs="Aptos" w:ascii="Times New Roman" w:hAnsi="Times New Roman"/>
                <w:b/>
                <w:bCs/>
                <w:sz w:val="24"/>
                <w:szCs w:val="24"/>
              </w:rPr>
              <w:t>Actores secundarios:</w:t>
            </w:r>
          </w:p>
        </w:tc>
        <w:tc>
          <w:tcPr>
            <w:tcW w:w="6806" w:type="dxa"/>
            <w:tcBorders>
              <w:start w:val="single" w:sz="4" w:space="0" w:color="81D41A"/>
              <w:bottom w:val="single" w:sz="4" w:space="0" w:color="81D41A"/>
              <w:end w:val="single" w:sz="4" w:space="0" w:color="81D41A"/>
            </w:tcBorders>
          </w:tcPr>
          <w:p>
            <w:pPr>
              <w:pStyle w:val="Normal"/>
              <w:spacing w:before="0" w:after="160"/>
              <w:rPr>
                <w:rFonts w:ascii="Times New Roman" w:hAnsi="Times New Roman"/>
                <w:sz w:val="24"/>
                <w:szCs w:val="24"/>
              </w:rPr>
            </w:pPr>
            <w:r>
              <w:rPr>
                <w:rFonts w:eastAsia="Aptos" w:cs="Aptos" w:ascii="Times New Roman" w:hAnsi="Times New Roman"/>
                <w:sz w:val="24"/>
                <w:szCs w:val="24"/>
              </w:rPr>
              <w:t>A08.Sistema Bancario (API REST)</w:t>
            </w:r>
          </w:p>
        </w:tc>
      </w:tr>
      <w:tr>
        <w:trPr/>
        <w:tc>
          <w:tcPr>
            <w:tcW w:w="2603" w:type="dxa"/>
            <w:tcBorders>
              <w:start w:val="single" w:sz="4" w:space="0" w:color="81D41A"/>
              <w:bottom w:val="single" w:sz="4" w:space="0" w:color="81D41A"/>
            </w:tcBorders>
          </w:tcPr>
          <w:p>
            <w:pPr>
              <w:pStyle w:val="Normal"/>
              <w:spacing w:before="0" w:after="160"/>
              <w:rPr>
                <w:b/>
                <w:bCs/>
              </w:rPr>
            </w:pPr>
            <w:r>
              <w:rPr>
                <w:rFonts w:eastAsia="Aptos" w:cs="Aptos" w:ascii="Times New Roman" w:hAnsi="Times New Roman"/>
                <w:b/>
                <w:bCs/>
                <w:sz w:val="24"/>
                <w:szCs w:val="24"/>
              </w:rPr>
              <w:t>Curso normal de los acontecimientos:</w:t>
            </w:r>
          </w:p>
        </w:tc>
        <w:tc>
          <w:tcPr>
            <w:tcW w:w="6806" w:type="dxa"/>
            <w:tcBorders>
              <w:start w:val="single" w:sz="4" w:space="0" w:color="81D41A"/>
              <w:bottom w:val="single" w:sz="4" w:space="0" w:color="81D41A"/>
              <w:end w:val="single" w:sz="4" w:space="0" w:color="81D41A"/>
            </w:tcBorders>
          </w:tcPr>
          <w:p>
            <w:pPr>
              <w:pStyle w:val="Normal"/>
              <w:rPr>
                <w:rFonts w:ascii="Times New Roman" w:hAnsi="Times New Roman"/>
                <w:sz w:val="24"/>
                <w:szCs w:val="24"/>
              </w:rPr>
            </w:pPr>
            <w:r>
              <w:rPr>
                <w:rFonts w:eastAsia="Aptos" w:cs="Aptos" w:ascii="Times New Roman" w:hAnsi="Times New Roman"/>
                <w:sz w:val="24"/>
                <w:szCs w:val="24"/>
              </w:rPr>
              <w:t>1. El Departamento Económico selecciona la opción “Emitir remesa”.</w:t>
            </w:r>
          </w:p>
          <w:p>
            <w:pPr>
              <w:pStyle w:val="Normal"/>
              <w:rPr>
                <w:rFonts w:ascii="Times New Roman" w:hAnsi="Times New Roman"/>
                <w:sz w:val="24"/>
                <w:szCs w:val="24"/>
              </w:rPr>
            </w:pPr>
            <w:r>
              <w:rPr>
                <w:rFonts w:eastAsia="Aptos" w:cs="Aptos" w:ascii="Times New Roman" w:hAnsi="Times New Roman"/>
                <w:sz w:val="24"/>
                <w:szCs w:val="24"/>
              </w:rPr>
              <w:t>2. El sistema recopila la información de los servicios contratados y los importes asociados.</w:t>
            </w:r>
          </w:p>
          <w:p>
            <w:pPr>
              <w:pStyle w:val="Normal"/>
              <w:rPr>
                <w:rFonts w:ascii="Times New Roman" w:hAnsi="Times New Roman"/>
                <w:sz w:val="24"/>
                <w:szCs w:val="24"/>
              </w:rPr>
            </w:pPr>
            <w:r>
              <w:rPr>
                <w:rFonts w:eastAsia="Aptos" w:cs="Aptos" w:ascii="Times New Roman" w:hAnsi="Times New Roman"/>
                <w:sz w:val="24"/>
                <w:szCs w:val="24"/>
              </w:rPr>
              <w:t>3. El sistema genera el archivo de remesa con los datos de cobro.</w:t>
            </w:r>
          </w:p>
          <w:p>
            <w:pPr>
              <w:pStyle w:val="Normal"/>
              <w:rPr>
                <w:rFonts w:ascii="Times New Roman" w:hAnsi="Times New Roman"/>
                <w:sz w:val="24"/>
                <w:szCs w:val="24"/>
              </w:rPr>
            </w:pPr>
            <w:r>
              <w:rPr>
                <w:rFonts w:eastAsia="Aptos" w:cs="Aptos" w:ascii="Times New Roman" w:hAnsi="Times New Roman"/>
                <w:sz w:val="24"/>
                <w:szCs w:val="24"/>
              </w:rPr>
              <w:t>4. El sistema se comunica mediante API REST con el sistema bancario.</w:t>
            </w:r>
          </w:p>
          <w:p>
            <w:pPr>
              <w:pStyle w:val="Normal"/>
              <w:spacing w:before="0" w:after="160"/>
              <w:rPr>
                <w:rFonts w:ascii="Times New Roman" w:hAnsi="Times New Roman"/>
                <w:sz w:val="24"/>
                <w:szCs w:val="24"/>
              </w:rPr>
            </w:pPr>
            <w:r>
              <w:rPr>
                <w:rFonts w:eastAsia="Aptos" w:cs="Aptos" w:ascii="Times New Roman" w:hAnsi="Times New Roman"/>
                <w:sz w:val="24"/>
                <w:szCs w:val="24"/>
              </w:rPr>
              <w:t>5. El sistema bancario realiza el procesamiento de la remesa.</w:t>
            </w:r>
          </w:p>
        </w:tc>
      </w:tr>
    </w:tbl>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spacing w:before="0" w:after="160"/>
        <w:rPr>
          <w:rFonts w:ascii="Times New Roman" w:hAnsi="Times New Roman"/>
          <w:u w:val="none"/>
        </w:rPr>
      </w:pPr>
      <w:r>
        <w:rPr>
          <w:rFonts w:eastAsia="Aptos" w:cs="Aptos" w:ascii="Times New Roman" w:hAnsi="Times New Roman"/>
          <w:sz w:val="24"/>
          <w:szCs w:val="24"/>
        </w:rPr>
        <w:t xml:space="preserve">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0"/>
      <w:sz w:val="24"/>
      <w:szCs w:val="24"/>
      <w:lang w:val="es-ES" w:eastAsia="en-US" w:bidi="ar-SA"/>
    </w:rPr>
  </w:style>
  <w:style w:type="paragraph" w:styleId="Heading1">
    <w:name w:val="heading 1"/>
    <w:basedOn w:val="Ttulo"/>
    <w:next w:val="BodyText"/>
    <w:qFormat/>
    <w:pPr>
      <w:spacing w:before="240" w:after="120"/>
      <w:outlineLvl w:val="0"/>
    </w:pPr>
    <w:rPr>
      <w:rFonts w:ascii="Liberation Serif" w:hAnsi="Liberation Serif" w:eastAsia="Segoe UI" w:cs="Tahoma"/>
      <w:b/>
      <w:bCs/>
      <w:sz w:val="48"/>
      <w:szCs w:val="48"/>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istParagraph">
    <w:name w:val="List Paragraph"/>
    <w:basedOn w:val="Normal"/>
    <w:uiPriority w:val="34"/>
    <w:qFormat/>
    <w:rsid w:val="2e289172"/>
    <w:pPr>
      <w:spacing w:before="0" w:after="160"/>
      <w:ind w:start="720"/>
      <w:contextualSpacing/>
    </w:pPr>
    <w:rPr/>
  </w:style>
  <w:style w:type="paragraph" w:styleId="Contenidodelatablauser">
    <w:name w:val="Contenido de la tabla (user)"/>
    <w:basedOn w:val="Normal"/>
    <w:qFormat/>
    <w:pPr>
      <w:widowControl w:val="false"/>
      <w:suppressLineNumbers/>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LibreOffice/25.8.3.2$Windows_X86_64 LibreOffice_project/8ca8d55c161d602844f5428fa4b58097424e324e</Application>
  <AppVersion>15.0000</AppVersion>
  <Pages>3</Pages>
  <Words>376</Words>
  <Characters>2143</Characters>
  <CharactersWithSpaces>2471</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2025-11-13T17:06:52Z</dcterms:created>
  <dc:creator>Carlos Guaraca</dc:creator>
  <dc:description/>
  <dc:language>es-ES</dc:language>
  <cp:lastModifiedBy/>
  <cp:lastPrinted>2025-11-13T19:56:03Z</cp:lastPrinted>
  <dcterms:modified xsi:type="dcterms:W3CDTF">2025-11-28T19:02:13Z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