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sz w:val="2"/>
          <w:szCs w:val="2"/>
        </w:rPr>
        <w:t xml:space="preserve"/>
      </w:r>
    </w:p>
    <w:p>
      <w:pPr>
        <w:spacing w:after="120"/>
        <w:jc w:val="center"/>
      </w:pPr>
      <w:r>
        <w:rPr>
          <w:b/>
          <w:bCs/>
          <w:color w:val="1F3864"/>
          <w:sz w:val="52"/>
          <w:szCs w:val="52"/>
        </w:rPr>
        <w:t xml:space="preserve">PLATAFORMA DE PREPARACIÓN UDEFA</w:t>
      </w:r>
    </w:p>
    <w:p>
      <w:pPr>
        <w:spacing w:after="480"/>
        <w:jc w:val="center"/>
      </w:pPr>
      <w:r>
        <w:rPr>
          <w:i/>
          <w:iCs/>
          <w:color w:val="2E5090"/>
          <w:sz w:val="32"/>
          <w:szCs w:val="32"/>
        </w:rPr>
        <w:t xml:space="preserve">Documento Integral del Proyecto</w:t>
      </w:r>
    </w:p>
    <w:p>
      <w:pPr>
        <w:spacing w:after="120"/>
        <w:jc w:val="center"/>
      </w:pPr>
      <w:r>
        <w:rPr>
          <w:color w:val="595959"/>
          <w:sz w:val="24"/>
          <w:szCs w:val="24"/>
        </w:rPr>
        <w:t xml:space="preserve">Preparación integral para el proceso de admisión</w:t>
      </w:r>
    </w:p>
    <w:p>
      <w:pPr>
        <w:spacing w:after="1200"/>
        <w:jc w:val="center"/>
      </w:pPr>
      <w:r>
        <w:rPr>
          <w:color w:val="595959"/>
          <w:sz w:val="24"/>
          <w:szCs w:val="24"/>
        </w:rPr>
        <w:t xml:space="preserve">a planteles militares (Universidad del Ejército y Fuerza Aérea)</w:t>
      </w:r>
    </w:p>
    <w:p>
      <w:pPr>
        <w:spacing w:after="80"/>
        <w:jc w:val="center"/>
      </w:pPr>
      <w:r>
        <w:rPr>
          <w:b/>
          <w:bCs/>
          <w:sz w:val="26"/>
          <w:szCs w:val="26"/>
        </w:rPr>
        <w:t xml:space="preserve">El Monote te Guía</w:t>
      </w:r>
    </w:p>
    <w:p>
      <w:pPr>
        <w:spacing w:after="80"/>
        <w:jc w:val="center"/>
      </w:pPr>
      <w:r>
        <w:rPr>
          <w:color w:val="595959"/>
          <w:sz w:val="22"/>
          <w:szCs w:val="22"/>
        </w:rPr>
        <w:t xml:space="preserve">Autor: Carlo Alexander</w:t>
      </w:r>
    </w:p>
    <w:p>
      <w:pPr>
        <w:jc w:val="center"/>
      </w:pPr>
      <w:r>
        <w:rPr>
          <w:color w:val="595959"/>
          <w:sz w:val="22"/>
          <w:szCs w:val="22"/>
        </w:rPr>
        <w:t xml:space="preserve">TikTok: @elmonoteteguia</w:t>
      </w:r>
    </w:p>
    <w:p>
      <w:r>
        <w:br w:type="page"/>
      </w:r>
    </w:p>
    <w:p>
      <w:pPr>
        <w:sectPr>
          <w:pgSz w:w="12240" w:h="15840" w:orient="portrait"/>
          <w:pgMar w:top="1440" w:right="1440" w:bottom="1440" w:left="1440" w:header="708" w:footer="708" w:gutter="0"/>
          <w:pgNumType/>
          <w:docGrid w:linePitch="360"/>
        </w:sectPr>
      </w:pPr>
    </w:p>
    <w:p>
      <w:pPr>
        <w:spacing w:after="200"/>
      </w:pPr>
      <w:r>
        <w:rPr>
          <w:b/>
          <w:bCs/>
          <w:color w:val="1F3864"/>
          <w:sz w:val="32"/>
          <w:szCs w:val="32"/>
        </w:rPr>
        <w:t xml:space="preserve">Índice</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2"/>
          <w:szCs w:val="32"/>
        </w:rPr>
        <w:t xml:space="preserve">1. Resumen del proyecto</w:t>
      </w:r>
    </w:p>
    <w:p>
      <w:pPr>
        <w:spacing w:after="120" w:line="276"/>
        <w:jc w:val="both"/>
      </w:pPr>
      <w:r>
        <w:rPr>
          <w:sz w:val="22"/>
          <w:szCs w:val="22"/>
        </w:rPr>
        <w:t xml:space="preserve">Este documento describe de forma completa el proyecto de una plataforma digital especializada en la preparación integral para el proceso de admisión a planteles militares de la Universidad del Ejército y Fuerza Aérea (UDEFA) en México. Recoge tanto la parte teórica (concepto, modelo de negocio, contenido, diferenciadores) como la parte práctica (arquitectura técnica, modelo de datos, seguridad, herramientas y hoja de ruta de construcción).</w:t>
      </w:r>
    </w:p>
    <w:p>
      <w:pPr>
        <w:spacing w:after="120" w:line="276"/>
        <w:jc w:val="both"/>
      </w:pPr>
      <w:r>
        <w:rPr>
          <w:sz w:val="22"/>
          <w:szCs w:val="22"/>
        </w:rPr>
        <w:t xml:space="preserve">El propósito de la plataforma es transformar el material de estudio actual —hasta ahora distribuido como archivos PDF— en un software multiplataforma (web y móvil) que ofrezca simuladores interactivos, contenido teórico digital, seguimiento de progreso y reportes personalizados.</w:t>
      </w:r>
    </w:p>
    <w:p>
      <w:pPr>
        <w:pStyle w:val="Heading2"/>
        <w:spacing w:after="120" w:before="240"/>
      </w:pPr>
      <w:r>
        <w:rPr>
          <w:b/>
          <w:bCs/>
          <w:color w:val="2E5090"/>
          <w:sz w:val="26"/>
          <w:szCs w:val="26"/>
        </w:rPr>
        <w:t xml:space="preserve">Diferenciador principal</w:t>
      </w:r>
    </w:p>
    <w:p>
      <w:pPr>
        <w:spacing w:after="120" w:line="276"/>
        <w:jc w:val="both"/>
      </w:pPr>
      <w:r>
        <w:rPr>
          <w:sz w:val="22"/>
          <w:szCs w:val="22"/>
        </w:rPr>
        <w:t xml:space="preserve">El material está construido a partir de experiencia real y directa del proceso de admisión, no de contenido genérico de internet. El autor presentó el examen psicológico tres veces, fue cadete del Heroico Colegio Militar y desarrolló el material con apoyo de psicólogos militares como derechohabiente del sistema de sanidad militar. Esta credencial constituye la ventaja competitiva frente a la oferta genérica que circula en redes sociales.</w:t>
      </w:r>
    </w:p>
    <w:p>
      <w:pPr>
        <w:pStyle w:val="Heading1"/>
        <w:spacing w:after="160" w:before="360"/>
      </w:pPr>
      <w:r>
        <w:rPr>
          <w:b/>
          <w:bCs/>
          <w:color w:val="1F3864"/>
          <w:sz w:val="32"/>
          <w:szCs w:val="32"/>
        </w:rPr>
        <w:t xml:space="preserve">2. El producto</w:t>
      </w:r>
    </w:p>
    <w:p>
      <w:pPr>
        <w:spacing w:after="120" w:line="276"/>
        <w:jc w:val="both"/>
      </w:pPr>
      <w:r>
        <w:rPr>
          <w:sz w:val="22"/>
          <w:szCs w:val="22"/>
        </w:rPr>
        <w:t xml:space="preserve">La plataforma es la única en su tipo que cubre en un solo lugar tanto el examen psicológico como el examen cultural académico del proceso de admisión, permitiendo al aspirante prepararse de forma completa sin recurrir a múltiples fuentes.</w:t>
      </w:r>
    </w:p>
    <w:p>
      <w:pPr>
        <w:pStyle w:val="Heading2"/>
        <w:spacing w:after="120" w:before="240"/>
      </w:pPr>
      <w:r>
        <w:rPr>
          <w:b/>
          <w:bCs/>
          <w:color w:val="2E5090"/>
          <w:sz w:val="26"/>
          <w:szCs w:val="26"/>
        </w:rPr>
        <w:t xml:space="preserve">2.1 Módulo psicológico</w:t>
      </w:r>
    </w:p>
    <w:p>
      <w:pPr>
        <w:spacing w:after="120" w:line="276"/>
        <w:jc w:val="both"/>
      </w:pPr>
      <w:r>
        <w:rPr>
          <w:sz w:val="22"/>
          <w:szCs w:val="22"/>
        </w:rPr>
        <w:t xml:space="preserve">Cubre las tres fases del examen psicológico real, respetando fielmente su estructura y tiempos:</w:t>
      </w:r>
    </w:p>
    <w:p>
      <w:pPr>
        <w:pStyle w:val="ListParagraph"/>
        <w:numPr>
          <w:ilvl w:val="0"/>
          <w:numId w:val="2"/>
        </w:numPr>
        <w:spacing w:after="80" w:line="264"/>
      </w:pPr>
      <w:r>
        <w:rPr>
          <w:sz w:val="22"/>
          <w:szCs w:val="22"/>
        </w:rPr>
        <w:t xml:space="preserve">Examen psicométrico: 40 minutos, 4 bloques de 25 reactivos cada uno (analogías, sinónimos y antónimos, razonamiento lógico-matemático, razonamiento abstracto). 100 reactivos en total. Este examen sí tiene respuestas objetivamente correctas.</w:t>
      </w:r>
    </w:p>
    <w:p>
      <w:pPr>
        <w:pStyle w:val="ListParagraph"/>
        <w:numPr>
          <w:ilvl w:val="0"/>
          <w:numId w:val="2"/>
        </w:numPr>
        <w:spacing w:after="80" w:line="264"/>
      </w:pPr>
      <w:r>
        <w:rPr>
          <w:sz w:val="22"/>
          <w:szCs w:val="22"/>
        </w:rPr>
        <w:t xml:space="preserve">Examen de personalidad: 256 reactivos, 45 minutos. No se califica como correcto o incorrecto; mide coherencia y patrones de comportamiento a lo largo de la prueba.</w:t>
      </w:r>
    </w:p>
    <w:p>
      <w:pPr>
        <w:pStyle w:val="ListParagraph"/>
        <w:numPr>
          <w:ilvl w:val="0"/>
          <w:numId w:val="2"/>
        </w:numPr>
        <w:spacing w:after="80" w:line="264"/>
      </w:pPr>
      <w:r>
        <w:rPr>
          <w:sz w:val="22"/>
          <w:szCs w:val="22"/>
        </w:rPr>
        <w:t xml:space="preserve">Examen axiológico: 39 reactivos, 10 minutos. Evalúa valores mediante un perfil indirecto; el aspirante debe identificarse con perfiles planteados, no responder directamente sobre sí mismo.</w:t>
      </w:r>
    </w:p>
    <w:p>
      <w:pPr>
        <w:spacing w:after="120" w:line="276"/>
        <w:jc w:val="both"/>
      </w:pPr>
      <w:r>
        <w:rPr>
          <w:i/>
          <w:iCs/>
          <w:sz w:val="22"/>
          <w:szCs w:val="22"/>
        </w:rPr>
        <w:t xml:space="preserve">Este módulo se vende con pago único, ya que su contenido no caduca: la estructura del examen psicológico no cambia sustancialmente año con año.</w:t>
      </w:r>
    </w:p>
    <w:p>
      <w:pPr>
        <w:pStyle w:val="Heading2"/>
        <w:spacing w:after="120" w:before="240"/>
      </w:pPr>
      <w:r>
        <w:rPr>
          <w:b/>
          <w:bCs/>
          <w:color w:val="2E5090"/>
          <w:sz w:val="26"/>
          <w:szCs w:val="26"/>
        </w:rPr>
        <w:t xml:space="preserve">2.2 Módulo cultural académico</w:t>
      </w:r>
    </w:p>
    <w:p>
      <w:pPr>
        <w:spacing w:after="120" w:line="276"/>
        <w:jc w:val="both"/>
      </w:pPr>
      <w:r>
        <w:rPr>
          <w:sz w:val="22"/>
          <w:szCs w:val="22"/>
        </w:rPr>
        <w:t xml:space="preserve">Cubre el examen de conocimientos específico de cada plantel militar, con 100 reactivos por examen basados íntegramente en los libros oficiales del temario de cada plantel. Como el examen cultural cambia cada año, este módulo funciona mediante suscripción anual renovable, lo que genera ingresos recurrentes y justifica la actualización del contenido en cada ciclo de admisión.</w:t>
      </w:r>
    </w:p>
    <w:p>
      <w:pPr>
        <w:spacing w:after="120" w:line="276"/>
        <w:jc w:val="both"/>
      </w:pPr>
      <w:r>
        <w:rPr>
          <w:sz w:val="22"/>
          <w:szCs w:val="22"/>
        </w:rPr>
        <w:t xml:space="preserve">La estrategia de lanzamiento consiste en comenzar por los planteles y carreras más solicitados, con la posibilidad de expandir gradualmente hacia el resto de las instituciones. El banco de reactivos se organiza por plantel, ya que las carreras de un mismo plantel comparten el examen cultural de ingreso.</w:t>
      </w:r>
    </w:p>
    <w:p>
      <w:pPr>
        <w:pStyle w:val="Heading2"/>
        <w:spacing w:after="120" w:before="240"/>
      </w:pPr>
      <w:r>
        <w:rPr>
          <w:b/>
          <w:bCs/>
          <w:color w:val="2E5090"/>
          <w:sz w:val="26"/>
          <w:szCs w:val="26"/>
        </w:rPr>
        <w:t xml:space="preserve">2.3 Contenido teórico</w:t>
      </w:r>
    </w:p>
    <w:p>
      <w:pPr>
        <w:pStyle w:val="Heading3"/>
        <w:spacing w:after="100" w:before="180"/>
      </w:pPr>
      <w:r>
        <w:rPr>
          <w:b/>
          <w:bCs/>
          <w:color w:val="595959"/>
          <w:sz w:val="23"/>
          <w:szCs w:val="23"/>
        </w:rPr>
        <w:t xml:space="preserve">La Guía del Aspirante</w:t>
      </w:r>
    </w:p>
    <w:p>
      <w:pPr>
        <w:spacing w:after="120" w:line="276"/>
        <w:jc w:val="both"/>
      </w:pPr>
      <w:r>
        <w:rPr>
          <w:sz w:val="22"/>
          <w:szCs w:val="22"/>
        </w:rPr>
        <w:t xml:space="preserve">Es el documento más valioso del producto y el núcleo conceptual de todo el material. Explica cómo funciona el sistema psicológico de la UDEFA como un todo integrado —no como tres exámenes separados— con énfasis en el principio de coherencia que atraviesa las tres fases. Es un documento universal, aplicable a cualquier plantel.</w:t>
      </w:r>
    </w:p>
    <w:p>
      <w:pPr>
        <w:pStyle w:val="Heading3"/>
        <w:spacing w:after="100" w:before="180"/>
      </w:pPr>
      <w:r>
        <w:rPr>
          <w:b/>
          <w:bCs/>
          <w:color w:val="595959"/>
          <w:sz w:val="23"/>
          <w:szCs w:val="23"/>
        </w:rPr>
        <w:t xml:space="preserve">El Cuadernillo de Pautas y Generalidades</w:t>
      </w:r>
    </w:p>
    <w:p>
      <w:pPr>
        <w:spacing w:after="120" w:line="276"/>
        <w:jc w:val="both"/>
      </w:pPr>
      <w:r>
        <w:rPr>
          <w:sz w:val="22"/>
          <w:szCs w:val="22"/>
        </w:rPr>
        <w:t xml:space="preserve">Es específico por plantel y describe el perfil psicológico esperado para cada institución. Se encuentra en proceso de remasterización para mejorar su redacción, profundidad y estructura.</w:t>
      </w:r>
    </w:p>
    <w:p>
      <w:pPr>
        <w:spacing w:after="120" w:line="276"/>
        <w:jc w:val="both"/>
      </w:pPr>
      <w:r>
        <w:rPr>
          <w:sz w:val="22"/>
          <w:szCs w:val="22"/>
        </w:rPr>
        <w:t xml:space="preserve">Ambos documentos vivirán como contenido digital interactivo dentro de la plataforma, navegable por secciones, con opción adicional de descarga en PDF con marca de agua personalizada para estudio offline. Cada observación de los resultados del simulacro referenciará directamente una sección específica de estos documentos, creando un ciclo de preparación: leer, simular, ver resultados, releer la sección específica y volver a simular.</w:t>
      </w:r>
    </w:p>
    <w:p>
      <w:pPr>
        <w:pStyle w:val="Heading1"/>
        <w:spacing w:after="160" w:before="360"/>
      </w:pPr>
      <w:r>
        <w:rPr>
          <w:b/>
          <w:bCs/>
          <w:color w:val="1F3864"/>
          <w:sz w:val="32"/>
          <w:szCs w:val="32"/>
        </w:rPr>
        <w:t xml:space="preserve">3. Modelo de negocio</w:t>
      </w:r>
    </w:p>
    <w:p>
      <w:pPr>
        <w:spacing w:after="120" w:line="276"/>
        <w:jc w:val="both"/>
      </w:pPr>
      <w:r>
        <w:rPr>
          <w:sz w:val="22"/>
          <w:szCs w:val="22"/>
        </w:rPr>
        <w:t xml:space="preserve">El modelo es híbrido y respeta la naturaleza de cada tipo de contenido:</w:t>
      </w:r>
    </w:p>
    <w:p>
      <w:pPr>
        <w:pStyle w:val="ListParagraph"/>
        <w:numPr>
          <w:ilvl w:val="0"/>
          <w:numId w:val="2"/>
        </w:numPr>
        <w:spacing w:after="80" w:line="264"/>
      </w:pPr>
      <w:r>
        <w:rPr>
          <w:sz w:val="22"/>
          <w:szCs w:val="22"/>
        </w:rPr>
        <w:t xml:space="preserve">Pago único por el módulo psicológico (acceso permanente), porque su contenido no caduca.</w:t>
      </w:r>
    </w:p>
    <w:p>
      <w:pPr>
        <w:pStyle w:val="ListParagraph"/>
        <w:numPr>
          <w:ilvl w:val="0"/>
          <w:numId w:val="2"/>
        </w:numPr>
        <w:spacing w:after="80" w:line="264"/>
      </w:pPr>
      <w:r>
        <w:rPr>
          <w:sz w:val="22"/>
          <w:szCs w:val="22"/>
        </w:rPr>
        <w:t xml:space="preserve">Suscripción anual por el módulo cultural (acceso con vigencia por ciclo de admisión), porque el temario cambia cada año.</w:t>
      </w:r>
    </w:p>
    <w:p>
      <w:pPr>
        <w:spacing w:after="120" w:line="276"/>
        <w:jc w:val="both"/>
      </w:pPr>
      <w:r>
        <w:rPr>
          <w:sz w:val="22"/>
          <w:szCs w:val="22"/>
        </w:rPr>
        <w:t xml:space="preserve">Este enfoque maximiza tanto el valor percibido como los ingresos: evita que el usuario sienta que "renta" contenido permanente y, al mismo tiempo, aprovecha la naturaleza cambiante del examen cultural para generar ingresos recurrentes y predecibles.</w:t>
      </w:r>
    </w:p>
    <w:p>
      <w:pPr>
        <w:spacing w:after="120" w:line="276"/>
        <w:jc w:val="both"/>
      </w:pPr>
      <w:r>
        <w:rPr>
          <w:sz w:val="22"/>
          <w:szCs w:val="22"/>
        </w:rPr>
        <w:t xml:space="preserve">El punto de referencia de precios es el valor actual del material en PDF ($1,500 MXN), aunque los precios finales se definirán tras validar la disposición a pagar con la audiencia real. Existe además contenido gratuito de enganche (versiones reducidas de simuladores y un fragmento de la Guía del Aspirante) para mostrar la calidad del material antes de solicitar el pago.</w:t>
      </w:r>
    </w:p>
    <w:p>
      <w:pPr>
        <w:pStyle w:val="Heading1"/>
        <w:spacing w:after="160" w:before="360"/>
      </w:pPr>
      <w:r>
        <w:rPr>
          <w:b/>
          <w:bCs/>
          <w:color w:val="1F3864"/>
          <w:sz w:val="32"/>
          <w:szCs w:val="32"/>
        </w:rPr>
        <w:t xml:space="preserve">4. Experiencia del examen completo</w:t>
      </w:r>
    </w:p>
    <w:p>
      <w:pPr>
        <w:spacing w:after="120" w:line="276"/>
        <w:jc w:val="both"/>
      </w:pPr>
      <w:r>
        <w:rPr>
          <w:sz w:val="22"/>
          <w:szCs w:val="22"/>
        </w:rPr>
        <w:t xml:space="preserve">El producto estrella del módulo psicológico es el Examen Completo, que replica fielmente la experiencia del día real. Su flujo es el siguiente:</w:t>
      </w:r>
    </w:p>
    <w:p>
      <w:pPr>
        <w:pStyle w:val="ListParagraph"/>
        <w:numPr>
          <w:ilvl w:val="0"/>
          <w:numId w:val="3"/>
        </w:numPr>
        <w:spacing w:after="80" w:line="264"/>
      </w:pPr>
      <w:r>
        <w:rPr>
          <w:sz w:val="22"/>
          <w:szCs w:val="22"/>
        </w:rPr>
        <w:t xml:space="preserve">Pantalla de estructura general: muestra las tres fases con sus tiempos y una descripción, junto con las indicaciones generales, antes de comenzar.</w:t>
      </w:r>
    </w:p>
    <w:p>
      <w:pPr>
        <w:pStyle w:val="ListParagraph"/>
        <w:numPr>
          <w:ilvl w:val="0"/>
          <w:numId w:val="3"/>
        </w:numPr>
        <w:spacing w:after="80" w:line="264"/>
      </w:pPr>
      <w:r>
        <w:rPr>
          <w:sz w:val="22"/>
          <w:szCs w:val="22"/>
        </w:rPr>
        <w:t xml:space="preserve">Indicaciones específicas de cada fase, con un botón para empezar cuando el aspirante esté listo.</w:t>
      </w:r>
    </w:p>
    <w:p>
      <w:pPr>
        <w:pStyle w:val="ListParagraph"/>
        <w:numPr>
          <w:ilvl w:val="0"/>
          <w:numId w:val="3"/>
        </w:numPr>
        <w:spacing w:after="80" w:line="264"/>
      </w:pPr>
      <w:r>
        <w:rPr>
          <w:sz w:val="22"/>
          <w:szCs w:val="22"/>
        </w:rPr>
        <w:t xml:space="preserve">Examen en curso: temporizador visible, navegación entre reactivos y opción de terminar antes de tiempo (con confirmación que advierte que no se podrá regresar a esa fase).</w:t>
      </w:r>
    </w:p>
    <w:p>
      <w:pPr>
        <w:pStyle w:val="ListParagraph"/>
        <w:numPr>
          <w:ilvl w:val="0"/>
          <w:numId w:val="3"/>
        </w:numPr>
        <w:spacing w:after="80" w:line="264"/>
      </w:pPr>
      <w:r>
        <w:rPr>
          <w:sz w:val="22"/>
          <w:szCs w:val="22"/>
        </w:rPr>
        <w:t xml:space="preserve">Al agotarse el tiempo de una fase, corte automático (fiel al examen real), seguido de la pantalla de indicaciones de la siguiente fase; el aspirante decide cuándo continuar.</w:t>
      </w:r>
    </w:p>
    <w:p>
      <w:pPr>
        <w:pStyle w:val="ListParagraph"/>
        <w:numPr>
          <w:ilvl w:val="0"/>
          <w:numId w:val="3"/>
        </w:numPr>
        <w:spacing w:after="80" w:line="264"/>
      </w:pPr>
      <w:r>
        <w:rPr>
          <w:sz w:val="22"/>
          <w:szCs w:val="22"/>
        </w:rPr>
        <w:t xml:space="preserve">Al terminar las tres fases, pantalla de cierre con los resultados completos.</w:t>
      </w:r>
    </w:p>
    <w:p>
      <w:pPr>
        <w:spacing w:after="120" w:line="276"/>
        <w:jc w:val="both"/>
      </w:pPr>
      <w:r>
        <w:rPr>
          <w:sz w:val="22"/>
          <w:szCs w:val="22"/>
        </w:rPr>
        <w:t xml:space="preserve">Los reactivos se generan de forma aleatoria a partir del banco, respetando siempre la estructura oficial: 25 por bloque en psicométrico (respetando los cuatro tipos), 256 mezclados sin agrupar por tema en personalidad, y 39 en axiológico. Además del examen completo, el usuario puede practicar cada fase por separado o entrenar por tema específico.</w:t>
      </w:r>
    </w:p>
    <w:p>
      <w:pPr>
        <w:pStyle w:val="Heading2"/>
        <w:spacing w:after="120" w:before="240"/>
      </w:pPr>
      <w:r>
        <w:rPr>
          <w:b/>
          <w:bCs/>
          <w:color w:val="2E5090"/>
          <w:sz w:val="26"/>
          <w:szCs w:val="26"/>
        </w:rPr>
        <w:t xml:space="preserve">4.1 Pantalla de cierre y resultados</w:t>
      </w:r>
    </w:p>
    <w:p>
      <w:pPr>
        <w:spacing w:after="120" w:line="276"/>
        <w:jc w:val="both"/>
      </w:pPr>
      <w:r>
        <w:rPr>
          <w:sz w:val="22"/>
          <w:szCs w:val="22"/>
        </w:rPr>
        <w:t xml:space="preserve">Para el examen psicométrico se muestra el resultado numérico por bloque y total, el tiempo usado por bloque frente al disponible, y un índice de consistencia temporal graficado que refleja cómo evolucionó la velocidad de respuesta durante el examen.</w:t>
      </w:r>
    </w:p>
    <w:p>
      <w:pPr>
        <w:spacing w:after="120" w:line="276"/>
        <w:jc w:val="both"/>
      </w:pPr>
      <w:r>
        <w:rPr>
          <w:sz w:val="22"/>
          <w:szCs w:val="22"/>
        </w:rPr>
        <w:t xml:space="preserve">Para personalidad y axiológico, en la primera versión se muestran métricas de comportamiento observable: reactivos respondidos, tiempo total, ritmo promedio, comportamiento por tema (tiempo promedio por reactivo en cada eje temático etiquetado) y detección de patrón de fatiga si la velocidad aumentó de forma significativa en la segunda mitad. Cada observación remite a una sección específica de la guía. De forma deliberada, el sistema no emite juicios sobre si el perfil psicológico es "bueno" o "malo": describe comportamiento medible y remite al material teórico para su interpretación.</w:t>
      </w:r>
    </w:p>
    <w:p>
      <w:pPr>
        <w:spacing w:after="120" w:line="276"/>
        <w:jc w:val="both"/>
      </w:pPr>
      <w:r>
        <w:rPr>
          <w:sz w:val="22"/>
          <w:szCs w:val="22"/>
        </w:rPr>
        <w:t xml:space="preserve">En una actualización posterior se incorporará la detección de contradicciones internas: reactivos que miden un mismo eje temático desde ángulos opuestos (polo positivo y negativo) en los que el aspirante respondió de forma inconsistente. Esto requiere un etiquetado más fino del banco de reactivos, que se realizará con calma tras el lanzamiento.</w:t>
      </w:r>
    </w:p>
    <w:p>
      <w:pPr>
        <w:spacing w:after="120" w:line="276"/>
        <w:jc w:val="both"/>
      </w:pPr>
      <w:r>
        <w:rPr>
          <w:sz w:val="22"/>
          <w:szCs w:val="22"/>
        </w:rPr>
        <w:t xml:space="preserve">La pantalla de cierre incluye además comparación con intentos anteriores, recomendación del siguiente paso con enlace directo a la sección relevante de la guía, constancia descargable, y botones para repetir el examen o ampliar el nivel de acceso. Al final se genera un reporte PDF personalizado con nombre, plantel, fecha, métricas, observaciones y secciones recomendadas, con marca de agua, que el aspirante puede imprimir y estudiar.</w:t>
      </w:r>
    </w:p>
    <w:p>
      <w:pPr>
        <w:pStyle w:val="Heading2"/>
        <w:spacing w:after="120" w:before="240"/>
      </w:pPr>
      <w:r>
        <w:rPr>
          <w:b/>
          <w:bCs/>
          <w:color w:val="2E5090"/>
          <w:sz w:val="26"/>
          <w:szCs w:val="26"/>
        </w:rPr>
        <w:t xml:space="preserve">4.2 Historial y progreso</w:t>
      </w:r>
    </w:p>
    <w:p>
      <w:pPr>
        <w:spacing w:after="120" w:line="276"/>
        <w:jc w:val="both"/>
      </w:pPr>
      <w:r>
        <w:rPr>
          <w:sz w:val="22"/>
          <w:szCs w:val="22"/>
        </w:rPr>
        <w:t xml:space="preserve">El sistema guarda todos los intentos del usuario y muestra su evolución comparativa: mejora en psicométrico, evolución del patrón de fatiga y, en la versión futura, reducción de contradicciones detectadas. Esto convierte la plataforma en una herramienta de entrenamiento progresivo, no de un solo uso, e incentiva la repetición del simulacro.</w:t>
      </w:r>
    </w:p>
    <w:p>
      <w:pPr>
        <w:pStyle w:val="Heading1"/>
        <w:spacing w:after="160" w:before="360"/>
      </w:pPr>
      <w:r>
        <w:rPr>
          <w:b/>
          <w:bCs/>
          <w:color w:val="1F3864"/>
          <w:sz w:val="32"/>
          <w:szCs w:val="32"/>
        </w:rPr>
        <w:t xml:space="preserve">5. Modelo de datos</w:t>
      </w:r>
    </w:p>
    <w:p>
      <w:pPr>
        <w:spacing w:after="120" w:line="276"/>
        <w:jc w:val="both"/>
      </w:pPr>
      <w:r>
        <w:rPr>
          <w:sz w:val="22"/>
          <w:szCs w:val="22"/>
        </w:rPr>
        <w:t xml:space="preserve">Las entidades principales del sistema son las siguientes:</w:t>
      </w:r>
    </w:p>
    <w:p>
      <w:pPr>
        <w:pStyle w:val="ListParagraph"/>
        <w:numPr>
          <w:ilvl w:val="0"/>
          <w:numId w:val="2"/>
        </w:numPr>
        <w:spacing w:after="80" w:line="264"/>
      </w:pPr>
      <w:r>
        <w:rPr>
          <w:sz w:val="22"/>
          <w:szCs w:val="22"/>
        </w:rPr>
        <w:t xml:space="preserve">Usuario: datos personales, plantel elegido, nivel de acceso e historial.</w:t>
      </w:r>
    </w:p>
    <w:p>
      <w:pPr>
        <w:pStyle w:val="ListParagraph"/>
        <w:numPr>
          <w:ilvl w:val="0"/>
          <w:numId w:val="2"/>
        </w:numPr>
        <w:spacing w:after="80" w:line="264"/>
      </w:pPr>
      <w:r>
        <w:rPr>
          <w:sz w:val="22"/>
          <w:szCs w:val="22"/>
        </w:rPr>
        <w:t xml:space="preserve">Plantel: catálogo de planteles militares.</w:t>
      </w:r>
    </w:p>
    <w:p>
      <w:pPr>
        <w:pStyle w:val="ListParagraph"/>
        <w:numPr>
          <w:ilvl w:val="0"/>
          <w:numId w:val="2"/>
        </w:numPr>
        <w:spacing w:after="80" w:line="264"/>
      </w:pPr>
      <w:r>
        <w:rPr>
          <w:sz w:val="22"/>
          <w:szCs w:val="22"/>
        </w:rPr>
        <w:t xml:space="preserve">GuiaAspirante: documento único y universal (contenido teórico principal).</w:t>
      </w:r>
    </w:p>
    <w:p>
      <w:pPr>
        <w:pStyle w:val="ListParagraph"/>
        <w:numPr>
          <w:ilvl w:val="0"/>
          <w:numId w:val="2"/>
        </w:numPr>
        <w:spacing w:after="80" w:line="264"/>
      </w:pPr>
      <w:r>
        <w:rPr>
          <w:sz w:val="22"/>
          <w:szCs w:val="22"/>
        </w:rPr>
        <w:t xml:space="preserve">CuadernilloPautas: uno por plantel, relacionado por plantel.</w:t>
      </w:r>
    </w:p>
    <w:p>
      <w:pPr>
        <w:pStyle w:val="ListParagraph"/>
        <w:numPr>
          <w:ilvl w:val="0"/>
          <w:numId w:val="2"/>
        </w:numPr>
        <w:spacing w:after="80" w:line="264"/>
      </w:pPr>
      <w:r>
        <w:rPr>
          <w:sz w:val="22"/>
          <w:szCs w:val="22"/>
        </w:rPr>
        <w:t xml:space="preserve">Examen: tipo (psicométrico, personalidad, axiológico, cultural), duración y si se califica automáticamente.</w:t>
      </w:r>
    </w:p>
    <w:p>
      <w:pPr>
        <w:pStyle w:val="ListParagraph"/>
        <w:numPr>
          <w:ilvl w:val="0"/>
          <w:numId w:val="2"/>
        </w:numPr>
        <w:spacing w:after="80" w:line="264"/>
      </w:pPr>
      <w:r>
        <w:rPr>
          <w:sz w:val="22"/>
          <w:szCs w:val="22"/>
        </w:rPr>
        <w:t xml:space="preserve">Bloque: sub-secciones del examen psicométrico, cada una con su tiempo límite.</w:t>
      </w:r>
    </w:p>
    <w:p>
      <w:pPr>
        <w:pStyle w:val="ListParagraph"/>
        <w:numPr>
          <w:ilvl w:val="0"/>
          <w:numId w:val="2"/>
        </w:numPr>
        <w:spacing w:after="80" w:line="264"/>
      </w:pPr>
      <w:r>
        <w:rPr>
          <w:sz w:val="22"/>
          <w:szCs w:val="22"/>
        </w:rPr>
        <w:t xml:space="preserve">Reactivo: enunciado, tipo, opciones, respuesta correcta (si aplica), etiqueta de tema y, en la versión futura, polo positivo/negativo.</w:t>
      </w:r>
    </w:p>
    <w:p>
      <w:pPr>
        <w:pStyle w:val="ListParagraph"/>
        <w:numPr>
          <w:ilvl w:val="0"/>
          <w:numId w:val="2"/>
        </w:numPr>
        <w:spacing w:after="80" w:line="264"/>
      </w:pPr>
      <w:r>
        <w:rPr>
          <w:sz w:val="22"/>
          <w:szCs w:val="22"/>
        </w:rPr>
        <w:t xml:space="preserve">Nivel: básico/premium, con el contenido que incluye cada uno.</w:t>
      </w:r>
    </w:p>
    <w:p>
      <w:pPr>
        <w:pStyle w:val="ListParagraph"/>
        <w:numPr>
          <w:ilvl w:val="0"/>
          <w:numId w:val="2"/>
        </w:numPr>
        <w:spacing w:after="80" w:line="264"/>
      </w:pPr>
      <w:r>
        <w:rPr>
          <w:sz w:val="22"/>
          <w:szCs w:val="22"/>
        </w:rPr>
        <w:t xml:space="preserve">SesionExamenCompleto: agrupa los tres intentos de una sesión de examen completo.</w:t>
      </w:r>
    </w:p>
    <w:p>
      <w:pPr>
        <w:pStyle w:val="ListParagraph"/>
        <w:numPr>
          <w:ilvl w:val="0"/>
          <w:numId w:val="2"/>
        </w:numPr>
        <w:spacing w:after="80" w:line="264"/>
      </w:pPr>
      <w:r>
        <w:rPr>
          <w:sz w:val="22"/>
          <w:szCs w:val="22"/>
        </w:rPr>
        <w:t xml:space="preserve">IntentoExamen: cada resolución de un simulacro, con respuestas y marcas de tiempo por reactivo.</w:t>
      </w:r>
    </w:p>
    <w:p>
      <w:pPr>
        <w:pStyle w:val="ListParagraph"/>
        <w:numPr>
          <w:ilvl w:val="0"/>
          <w:numId w:val="2"/>
        </w:numPr>
        <w:spacing w:after="80" w:line="264"/>
      </w:pPr>
      <w:r>
        <w:rPr>
          <w:sz w:val="22"/>
          <w:szCs w:val="22"/>
        </w:rPr>
        <w:t xml:space="preserve">Compra: con fecha de vencimiento para el módulo cultural (nula para el psicológico), monto, estado y referencia de pago.</w:t>
      </w:r>
    </w:p>
    <w:p>
      <w:pPr>
        <w:pStyle w:val="ListParagraph"/>
        <w:numPr>
          <w:ilvl w:val="0"/>
          <w:numId w:val="2"/>
        </w:numPr>
        <w:spacing w:after="80" w:line="264"/>
      </w:pPr>
      <w:r>
        <w:rPr>
          <w:sz w:val="22"/>
          <w:szCs w:val="22"/>
        </w:rPr>
        <w:t xml:space="preserve">ReportePDF: registro de cada reporte generado, con su marca de agua.</w:t>
      </w:r>
    </w:p>
    <w:p>
      <w:pPr>
        <w:pStyle w:val="Heading1"/>
        <w:spacing w:after="160" w:before="360"/>
      </w:pPr>
      <w:r>
        <w:rPr>
          <w:b/>
          <w:bCs/>
          <w:color w:val="1F3864"/>
          <w:sz w:val="32"/>
          <w:szCs w:val="32"/>
        </w:rPr>
        <w:t xml:space="preserve">6. Stack tecnológico</w:t>
      </w:r>
    </w:p>
    <w:p>
      <w:pPr>
        <w:spacing w:after="120" w:line="276"/>
        <w:jc w:val="both"/>
      </w:pPr>
      <w:r>
        <w:rPr>
          <w:sz w:val="22"/>
          <w:szCs w:val="22"/>
        </w:rPr>
        <w:t xml:space="preserve">La arquitectura consiste en un backend único que sirve tanto a la web como a la aplicación móvil, evitando duplicar la lógica de negocio. Un mismo servidor de API atiende a ambos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60"/>
        <w:gridCol w:w="4800"/>
      </w:tblGrid>
      <w:tr>
        <w:trPr>
          <w:tblHeader/>
        </w:trPr>
        <w:tc>
          <w:tcPr>
            <w:tcW w:type="dxa" w:w="1900"/>
            <w:shd w:fill="1F3864" w:color="auto" w:val="clear"/>
            <w:tcMar>
              <w:top w:type="dxa" w:w="60"/>
              <w:left w:type="dxa" w:w="100"/>
              <w:bottom w:type="dxa" w:w="60"/>
              <w:right w:type="dxa" w:w="100"/>
            </w:tcMar>
          </w:tcPr>
          <w:p>
            <w:pPr>
              <w:spacing w:after="0"/>
            </w:pPr>
            <w:r>
              <w:rPr>
                <w:b/>
                <w:bCs/>
                <w:color w:val="FFFFFF"/>
                <w:sz w:val="20"/>
                <w:szCs w:val="20"/>
              </w:rPr>
              <w:t xml:space="preserve">Componente</w:t>
            </w:r>
          </w:p>
        </w:tc>
        <w:tc>
          <w:tcPr>
            <w:tcW w:type="dxa" w:w="2660"/>
            <w:shd w:fill="1F3864" w:color="auto" w:val="clear"/>
            <w:tcMar>
              <w:top w:type="dxa" w:w="60"/>
              <w:left w:type="dxa" w:w="100"/>
              <w:bottom w:type="dxa" w:w="60"/>
              <w:right w:type="dxa" w:w="100"/>
            </w:tcMar>
          </w:tcPr>
          <w:p>
            <w:pPr>
              <w:spacing w:after="0"/>
            </w:pPr>
            <w:r>
              <w:rPr>
                <w:b/>
                <w:bCs/>
                <w:color w:val="FFFFFF"/>
                <w:sz w:val="20"/>
                <w:szCs w:val="20"/>
              </w:rPr>
              <w:t xml:space="preserve">Tecnología</w:t>
            </w:r>
          </w:p>
        </w:tc>
        <w:tc>
          <w:tcPr>
            <w:tcW w:type="dxa" w:w="4800"/>
            <w:shd w:fill="1F3864" w:color="auto" w:val="clear"/>
            <w:tcMar>
              <w:top w:type="dxa" w:w="60"/>
              <w:left w:type="dxa" w:w="100"/>
              <w:bottom w:type="dxa" w:w="60"/>
              <w:right w:type="dxa" w:w="100"/>
            </w:tcMar>
          </w:tcPr>
          <w:p>
            <w:pPr>
              <w:spacing w:after="0"/>
            </w:pPr>
            <w:r>
              <w:rPr>
                <w:b/>
                <w:bCs/>
                <w:color w:val="FFFFFF"/>
                <w:sz w:val="20"/>
                <w:szCs w:val="20"/>
              </w:rPr>
              <w:t xml:space="preserve">Motivo</w:t>
            </w:r>
          </w:p>
        </w:tc>
      </w:tr>
      <w:tr>
        <w:trPr>
          <w:tblHeader w:val="false"/>
        </w:trPr>
        <w:tc>
          <w:tcPr>
            <w:tcW w:type="dxa" w:w="1900"/>
            <w:tcMar>
              <w:top w:type="dxa" w:w="60"/>
              <w:left w:type="dxa" w:w="100"/>
              <w:bottom w:type="dxa" w:w="60"/>
              <w:right w:type="dxa" w:w="100"/>
            </w:tcMar>
          </w:tcPr>
          <w:p>
            <w:pPr>
              <w:spacing w:after="0"/>
            </w:pPr>
            <w:r>
              <w:rPr>
                <w:b w:val="false"/>
                <w:bCs w:val="false"/>
                <w:color w:val="000000"/>
                <w:sz w:val="20"/>
                <w:szCs w:val="20"/>
              </w:rPr>
              <w:t xml:space="preserve">Backend</w:t>
            </w:r>
          </w:p>
        </w:tc>
        <w:tc>
          <w:tcPr>
            <w:tcW w:type="dxa" w:w="2660"/>
            <w:tcMar>
              <w:top w:type="dxa" w:w="60"/>
              <w:left w:type="dxa" w:w="100"/>
              <w:bottom w:type="dxa" w:w="60"/>
              <w:right w:type="dxa" w:w="100"/>
            </w:tcMar>
          </w:tcPr>
          <w:p>
            <w:pPr>
              <w:spacing w:after="0"/>
            </w:pPr>
            <w:r>
              <w:rPr>
                <w:b w:val="false"/>
                <w:bCs w:val="false"/>
                <w:color w:val="000000"/>
                <w:sz w:val="20"/>
                <w:szCs w:val="20"/>
              </w:rPr>
              <w:t xml:space="preserve">Node.js + NestJS (TypeScript)</w:t>
            </w:r>
          </w:p>
        </w:tc>
        <w:tc>
          <w:tcPr>
            <w:tcW w:type="dxa" w:w="4800"/>
            <w:tcMar>
              <w:top w:type="dxa" w:w="60"/>
              <w:left w:type="dxa" w:w="100"/>
              <w:bottom w:type="dxa" w:w="60"/>
              <w:right w:type="dxa" w:w="100"/>
            </w:tcMar>
          </w:tcPr>
          <w:p>
            <w:pPr>
              <w:spacing w:after="0"/>
            </w:pPr>
            <w:r>
              <w:rPr>
                <w:b w:val="false"/>
                <w:bCs w:val="false"/>
                <w:color w:val="000000"/>
                <w:sz w:val="20"/>
                <w:szCs w:val="20"/>
              </w:rPr>
              <w:t xml:space="preserve">Estructura organizada, ideal para un desarrollador trabajando solo en un proyecto grande.</w:t>
            </w:r>
          </w:p>
        </w:tc>
      </w:tr>
      <w:tr>
        <w:trPr>
          <w:tblHeader w:val="false"/>
        </w:trPr>
        <w:tc>
          <w:tcPr>
            <w:tcW w:type="dxa" w:w="1900"/>
            <w:tcMar>
              <w:top w:type="dxa" w:w="60"/>
              <w:left w:type="dxa" w:w="100"/>
              <w:bottom w:type="dxa" w:w="60"/>
              <w:right w:type="dxa" w:w="100"/>
            </w:tcMar>
          </w:tcPr>
          <w:p>
            <w:pPr>
              <w:spacing w:after="0"/>
            </w:pPr>
            <w:r>
              <w:rPr>
                <w:b w:val="false"/>
                <w:bCs w:val="false"/>
                <w:color w:val="000000"/>
                <w:sz w:val="20"/>
                <w:szCs w:val="20"/>
              </w:rPr>
              <w:t xml:space="preserve">ORM</w:t>
            </w:r>
          </w:p>
        </w:tc>
        <w:tc>
          <w:tcPr>
            <w:tcW w:type="dxa" w:w="2660"/>
            <w:tcMar>
              <w:top w:type="dxa" w:w="60"/>
              <w:left w:type="dxa" w:w="100"/>
              <w:bottom w:type="dxa" w:w="60"/>
              <w:right w:type="dxa" w:w="100"/>
            </w:tcMar>
          </w:tcPr>
          <w:p>
            <w:pPr>
              <w:spacing w:after="0"/>
            </w:pPr>
            <w:r>
              <w:rPr>
                <w:b w:val="false"/>
                <w:bCs w:val="false"/>
                <w:color w:val="000000"/>
                <w:sz w:val="20"/>
                <w:szCs w:val="20"/>
              </w:rPr>
              <w:t xml:space="preserve">Prisma</w:t>
            </w:r>
          </w:p>
        </w:tc>
        <w:tc>
          <w:tcPr>
            <w:tcW w:type="dxa" w:w="4800"/>
            <w:tcMar>
              <w:top w:type="dxa" w:w="60"/>
              <w:left w:type="dxa" w:w="100"/>
              <w:bottom w:type="dxa" w:w="60"/>
              <w:right w:type="dxa" w:w="100"/>
            </w:tcMar>
          </w:tcPr>
          <w:p>
            <w:pPr>
              <w:spacing w:after="0"/>
            </w:pPr>
            <w:r>
              <w:rPr>
                <w:b w:val="false"/>
                <w:bCs w:val="false"/>
                <w:color w:val="000000"/>
                <w:sz w:val="20"/>
                <w:szCs w:val="20"/>
              </w:rPr>
              <w:t xml:space="preserve">Capa amigable entre el código y la base de datos; el más sencillo para aprender.</w:t>
            </w:r>
          </w:p>
        </w:tc>
      </w:tr>
      <w:tr>
        <w:trPr>
          <w:tblHeader w:val="false"/>
        </w:trPr>
        <w:tc>
          <w:tcPr>
            <w:tcW w:type="dxa" w:w="1900"/>
            <w:tcMar>
              <w:top w:type="dxa" w:w="60"/>
              <w:left w:type="dxa" w:w="100"/>
              <w:bottom w:type="dxa" w:w="60"/>
              <w:right w:type="dxa" w:w="100"/>
            </w:tcMar>
          </w:tcPr>
          <w:p>
            <w:pPr>
              <w:spacing w:after="0"/>
            </w:pPr>
            <w:r>
              <w:rPr>
                <w:b w:val="false"/>
                <w:bCs w:val="false"/>
                <w:color w:val="000000"/>
                <w:sz w:val="20"/>
                <w:szCs w:val="20"/>
              </w:rPr>
              <w:t xml:space="preserve">Base de datos</w:t>
            </w:r>
          </w:p>
        </w:tc>
        <w:tc>
          <w:tcPr>
            <w:tcW w:type="dxa" w:w="2660"/>
            <w:tcMar>
              <w:top w:type="dxa" w:w="60"/>
              <w:left w:type="dxa" w:w="100"/>
              <w:bottom w:type="dxa" w:w="60"/>
              <w:right w:type="dxa" w:w="100"/>
            </w:tcMar>
          </w:tcPr>
          <w:p>
            <w:pPr>
              <w:spacing w:after="0"/>
            </w:pPr>
            <w:r>
              <w:rPr>
                <w:b w:val="false"/>
                <w:bCs w:val="false"/>
                <w:color w:val="000000"/>
                <w:sz w:val="20"/>
                <w:szCs w:val="20"/>
              </w:rPr>
              <w:t xml:space="preserve">PostgreSQL</w:t>
            </w:r>
          </w:p>
        </w:tc>
        <w:tc>
          <w:tcPr>
            <w:tcW w:type="dxa" w:w="4800"/>
            <w:tcMar>
              <w:top w:type="dxa" w:w="60"/>
              <w:left w:type="dxa" w:w="100"/>
              <w:bottom w:type="dxa" w:w="60"/>
              <w:right w:type="dxa" w:w="100"/>
            </w:tcMar>
          </w:tcPr>
          <w:p>
            <w:pPr>
              <w:spacing w:after="0"/>
            </w:pPr>
            <w:r>
              <w:rPr>
                <w:b w:val="false"/>
                <w:bCs w:val="false"/>
                <w:color w:val="000000"/>
                <w:sz w:val="20"/>
                <w:szCs w:val="20"/>
              </w:rPr>
              <w:t xml:space="preserve">Robusta, relacional, gratuita y estándar de la industria.</w:t>
            </w:r>
          </w:p>
        </w:tc>
      </w:tr>
      <w:tr>
        <w:trPr>
          <w:tblHeader w:val="false"/>
        </w:trPr>
        <w:tc>
          <w:tcPr>
            <w:tcW w:type="dxa" w:w="1900"/>
            <w:tcMar>
              <w:top w:type="dxa" w:w="60"/>
              <w:left w:type="dxa" w:w="100"/>
              <w:bottom w:type="dxa" w:w="60"/>
              <w:right w:type="dxa" w:w="100"/>
            </w:tcMar>
          </w:tcPr>
          <w:p>
            <w:pPr>
              <w:spacing w:after="0"/>
            </w:pPr>
            <w:r>
              <w:rPr>
                <w:b w:val="false"/>
                <w:bCs w:val="false"/>
                <w:color w:val="000000"/>
                <w:sz w:val="20"/>
                <w:szCs w:val="20"/>
              </w:rPr>
              <w:t xml:space="preserve">Frontend web</w:t>
            </w:r>
          </w:p>
        </w:tc>
        <w:tc>
          <w:tcPr>
            <w:tcW w:type="dxa" w:w="2660"/>
            <w:tcMar>
              <w:top w:type="dxa" w:w="60"/>
              <w:left w:type="dxa" w:w="100"/>
              <w:bottom w:type="dxa" w:w="60"/>
              <w:right w:type="dxa" w:w="100"/>
            </w:tcMar>
          </w:tcPr>
          <w:p>
            <w:pPr>
              <w:spacing w:after="0"/>
            </w:pPr>
            <w:r>
              <w:rPr>
                <w:b w:val="false"/>
                <w:bCs w:val="false"/>
                <w:color w:val="000000"/>
                <w:sz w:val="20"/>
                <w:szCs w:val="20"/>
              </w:rPr>
              <w:t xml:space="preserve">Next.js (TypeScript)</w:t>
            </w:r>
          </w:p>
        </w:tc>
        <w:tc>
          <w:tcPr>
            <w:tcW w:type="dxa" w:w="4800"/>
            <w:tcMar>
              <w:top w:type="dxa" w:w="60"/>
              <w:left w:type="dxa" w:w="100"/>
              <w:bottom w:type="dxa" w:w="60"/>
              <w:right w:type="dxa" w:w="100"/>
            </w:tcMar>
          </w:tcPr>
          <w:p>
            <w:pPr>
              <w:spacing w:after="0"/>
            </w:pPr>
            <w:r>
              <w:rPr>
                <w:b w:val="false"/>
                <w:bCs w:val="false"/>
                <w:color w:val="000000"/>
                <w:sz w:val="20"/>
                <w:szCs w:val="20"/>
              </w:rPr>
              <w:t xml:space="preserve">Renderizado del lado del servidor para SEO y misma lógica React que en móvil.</w:t>
            </w:r>
          </w:p>
        </w:tc>
      </w:tr>
      <w:tr>
        <w:trPr>
          <w:tblHeader w:val="false"/>
        </w:trPr>
        <w:tc>
          <w:tcPr>
            <w:tcW w:type="dxa" w:w="1900"/>
            <w:tcMar>
              <w:top w:type="dxa" w:w="60"/>
              <w:left w:type="dxa" w:w="100"/>
              <w:bottom w:type="dxa" w:w="60"/>
              <w:right w:type="dxa" w:w="100"/>
            </w:tcMar>
          </w:tcPr>
          <w:p>
            <w:pPr>
              <w:spacing w:after="0"/>
            </w:pPr>
            <w:r>
              <w:rPr>
                <w:b w:val="false"/>
                <w:bCs w:val="false"/>
                <w:color w:val="000000"/>
                <w:sz w:val="20"/>
                <w:szCs w:val="20"/>
              </w:rPr>
              <w:t xml:space="preserve">App móvil</w:t>
            </w:r>
          </w:p>
        </w:tc>
        <w:tc>
          <w:tcPr>
            <w:tcW w:type="dxa" w:w="2660"/>
            <w:tcMar>
              <w:top w:type="dxa" w:w="60"/>
              <w:left w:type="dxa" w:w="100"/>
              <w:bottom w:type="dxa" w:w="60"/>
              <w:right w:type="dxa" w:w="100"/>
            </w:tcMar>
          </w:tcPr>
          <w:p>
            <w:pPr>
              <w:spacing w:after="0"/>
            </w:pPr>
            <w:r>
              <w:rPr>
                <w:b w:val="false"/>
                <w:bCs w:val="false"/>
                <w:color w:val="000000"/>
                <w:sz w:val="20"/>
                <w:szCs w:val="20"/>
              </w:rPr>
              <w:t xml:space="preserve">React Native + Expo</w:t>
            </w:r>
          </w:p>
        </w:tc>
        <w:tc>
          <w:tcPr>
            <w:tcW w:type="dxa" w:w="4800"/>
            <w:tcMar>
              <w:top w:type="dxa" w:w="60"/>
              <w:left w:type="dxa" w:w="100"/>
              <w:bottom w:type="dxa" w:w="60"/>
              <w:right w:type="dxa" w:w="100"/>
            </w:tcMar>
          </w:tcPr>
          <w:p>
            <w:pPr>
              <w:spacing w:after="0"/>
            </w:pPr>
            <w:r>
              <w:rPr>
                <w:b w:val="false"/>
                <w:bCs w:val="false"/>
                <w:color w:val="000000"/>
                <w:sz w:val="20"/>
                <w:szCs w:val="20"/>
              </w:rPr>
              <w:t xml:space="preserve">Android e iOS desde un mismo código; sencillo para aprender.</w:t>
            </w:r>
          </w:p>
        </w:tc>
      </w:tr>
      <w:tr>
        <w:trPr>
          <w:tblHeader w:val="false"/>
        </w:trPr>
        <w:tc>
          <w:tcPr>
            <w:tcW w:type="dxa" w:w="1900"/>
            <w:tcMar>
              <w:top w:type="dxa" w:w="60"/>
              <w:left w:type="dxa" w:w="100"/>
              <w:bottom w:type="dxa" w:w="60"/>
              <w:right w:type="dxa" w:w="100"/>
            </w:tcMar>
          </w:tcPr>
          <w:p>
            <w:pPr>
              <w:spacing w:after="0"/>
            </w:pPr>
            <w:r>
              <w:rPr>
                <w:b w:val="false"/>
                <w:bCs w:val="false"/>
                <w:color w:val="000000"/>
                <w:sz w:val="20"/>
                <w:szCs w:val="20"/>
              </w:rPr>
              <w:t xml:space="preserve">Pagos</w:t>
            </w:r>
          </w:p>
        </w:tc>
        <w:tc>
          <w:tcPr>
            <w:tcW w:type="dxa" w:w="2660"/>
            <w:tcMar>
              <w:top w:type="dxa" w:w="60"/>
              <w:left w:type="dxa" w:w="100"/>
              <w:bottom w:type="dxa" w:w="60"/>
              <w:right w:type="dxa" w:w="100"/>
            </w:tcMar>
          </w:tcPr>
          <w:p>
            <w:pPr>
              <w:spacing w:after="0"/>
            </w:pPr>
            <w:r>
              <w:rPr>
                <w:b w:val="false"/>
                <w:bCs w:val="false"/>
                <w:color w:val="000000"/>
                <w:sz w:val="20"/>
                <w:szCs w:val="20"/>
              </w:rPr>
              <w:t xml:space="preserve">MercadoPago</w:t>
            </w:r>
          </w:p>
        </w:tc>
        <w:tc>
          <w:tcPr>
            <w:tcW w:type="dxa" w:w="4800"/>
            <w:tcMar>
              <w:top w:type="dxa" w:w="60"/>
              <w:left w:type="dxa" w:w="100"/>
              <w:bottom w:type="dxa" w:w="60"/>
              <w:right w:type="dxa" w:w="100"/>
            </w:tcMar>
          </w:tcPr>
          <w:p>
            <w:pPr>
              <w:spacing w:after="0"/>
            </w:pPr>
            <w:r>
              <w:rPr>
                <w:b w:val="false"/>
                <w:bCs w:val="false"/>
                <w:color w:val="000000"/>
                <w:sz w:val="20"/>
                <w:szCs w:val="20"/>
              </w:rPr>
              <w:t xml:space="preserve">Soporta tarjetas, OXXO y SPEI; alta penetración en México.</w:t>
            </w:r>
          </w:p>
        </w:tc>
      </w:tr>
      <w:tr>
        <w:trPr>
          <w:tblHeader w:val="false"/>
        </w:trPr>
        <w:tc>
          <w:tcPr>
            <w:tcW w:type="dxa" w:w="1900"/>
            <w:tcMar>
              <w:top w:type="dxa" w:w="60"/>
              <w:left w:type="dxa" w:w="100"/>
              <w:bottom w:type="dxa" w:w="60"/>
              <w:right w:type="dxa" w:w="100"/>
            </w:tcMar>
          </w:tcPr>
          <w:p>
            <w:pPr>
              <w:spacing w:after="0"/>
            </w:pPr>
            <w:r>
              <w:rPr>
                <w:b w:val="false"/>
                <w:bCs w:val="false"/>
                <w:color w:val="000000"/>
                <w:sz w:val="20"/>
                <w:szCs w:val="20"/>
              </w:rPr>
              <w:t xml:space="preserve">Archivos</w:t>
            </w:r>
          </w:p>
        </w:tc>
        <w:tc>
          <w:tcPr>
            <w:tcW w:type="dxa" w:w="2660"/>
            <w:tcMar>
              <w:top w:type="dxa" w:w="60"/>
              <w:left w:type="dxa" w:w="100"/>
              <w:bottom w:type="dxa" w:w="60"/>
              <w:right w:type="dxa" w:w="100"/>
            </w:tcMar>
          </w:tcPr>
          <w:p>
            <w:pPr>
              <w:spacing w:after="0"/>
            </w:pPr>
            <w:r>
              <w:rPr>
                <w:b w:val="false"/>
                <w:bCs w:val="false"/>
                <w:color w:val="000000"/>
                <w:sz w:val="20"/>
                <w:szCs w:val="20"/>
              </w:rPr>
              <w:t xml:space="preserve">Cloudinary</w:t>
            </w:r>
          </w:p>
        </w:tc>
        <w:tc>
          <w:tcPr>
            <w:tcW w:type="dxa" w:w="4800"/>
            <w:tcMar>
              <w:top w:type="dxa" w:w="60"/>
              <w:left w:type="dxa" w:w="100"/>
              <w:bottom w:type="dxa" w:w="60"/>
              <w:right w:type="dxa" w:w="100"/>
            </w:tcMar>
          </w:tcPr>
          <w:p>
            <w:pPr>
              <w:spacing w:after="0"/>
            </w:pPr>
            <w:r>
              <w:rPr>
                <w:b w:val="false"/>
                <w:bCs w:val="false"/>
                <w:color w:val="000000"/>
                <w:sz w:val="20"/>
                <w:szCs w:val="20"/>
              </w:rPr>
              <w:t xml:space="preserve">Almacenamiento de PDFs y recursos con plan gratuito generoso.</w:t>
            </w:r>
          </w:p>
        </w:tc>
      </w:tr>
      <w:tr>
        <w:trPr>
          <w:tblHeader w:val="false"/>
        </w:trPr>
        <w:tc>
          <w:tcPr>
            <w:tcW w:type="dxa" w:w="1900"/>
            <w:tcMar>
              <w:top w:type="dxa" w:w="60"/>
              <w:left w:type="dxa" w:w="100"/>
              <w:bottom w:type="dxa" w:w="60"/>
              <w:right w:type="dxa" w:w="100"/>
            </w:tcMar>
          </w:tcPr>
          <w:p>
            <w:pPr>
              <w:spacing w:after="0"/>
            </w:pPr>
            <w:r>
              <w:rPr>
                <w:b w:val="false"/>
                <w:bCs w:val="false"/>
                <w:color w:val="000000"/>
                <w:sz w:val="20"/>
                <w:szCs w:val="20"/>
              </w:rPr>
              <w:t xml:space="preserve">Hosting</w:t>
            </w:r>
          </w:p>
        </w:tc>
        <w:tc>
          <w:tcPr>
            <w:tcW w:type="dxa" w:w="2660"/>
            <w:tcMar>
              <w:top w:type="dxa" w:w="60"/>
              <w:left w:type="dxa" w:w="100"/>
              <w:bottom w:type="dxa" w:w="60"/>
              <w:right w:type="dxa" w:w="100"/>
            </w:tcMar>
          </w:tcPr>
          <w:p>
            <w:pPr>
              <w:spacing w:after="0"/>
            </w:pPr>
            <w:r>
              <w:rPr>
                <w:b w:val="false"/>
                <w:bCs w:val="false"/>
                <w:color w:val="000000"/>
                <w:sz w:val="20"/>
                <w:szCs w:val="20"/>
              </w:rPr>
              <w:t xml:space="preserve">Railway / Render / Supabase</w:t>
            </w:r>
          </w:p>
        </w:tc>
        <w:tc>
          <w:tcPr>
            <w:tcW w:type="dxa" w:w="4800"/>
            <w:tcMar>
              <w:top w:type="dxa" w:w="60"/>
              <w:left w:type="dxa" w:w="100"/>
              <w:bottom w:type="dxa" w:w="60"/>
              <w:right w:type="dxa" w:w="100"/>
            </w:tcMar>
          </w:tcPr>
          <w:p>
            <w:pPr>
              <w:spacing w:after="0"/>
            </w:pPr>
            <w:r>
              <w:rPr>
                <w:b w:val="false"/>
                <w:bCs w:val="false"/>
                <w:color w:val="000000"/>
                <w:sz w:val="20"/>
                <w:szCs w:val="20"/>
              </w:rPr>
              <w:t xml:space="preserve">Despliegue simple con planes gratuitos para desarrollo.</w:t>
            </w:r>
          </w:p>
        </w:tc>
      </w:tr>
      <w:tr>
        <w:trPr>
          <w:tblHeader w:val="false"/>
        </w:trPr>
        <w:tc>
          <w:tcPr>
            <w:tcW w:type="dxa" w:w="1900"/>
            <w:tcMar>
              <w:top w:type="dxa" w:w="60"/>
              <w:left w:type="dxa" w:w="100"/>
              <w:bottom w:type="dxa" w:w="60"/>
              <w:right w:type="dxa" w:w="100"/>
            </w:tcMar>
          </w:tcPr>
          <w:p>
            <w:pPr>
              <w:spacing w:after="0"/>
            </w:pPr>
            <w:r>
              <w:rPr>
                <w:b w:val="false"/>
                <w:bCs w:val="false"/>
                <w:color w:val="000000"/>
                <w:sz w:val="20"/>
                <w:szCs w:val="20"/>
              </w:rPr>
              <w:t xml:space="preserve">Reportes PDF</w:t>
            </w:r>
          </w:p>
        </w:tc>
        <w:tc>
          <w:tcPr>
            <w:tcW w:type="dxa" w:w="2660"/>
            <w:tcMar>
              <w:top w:type="dxa" w:w="60"/>
              <w:left w:type="dxa" w:w="100"/>
              <w:bottom w:type="dxa" w:w="60"/>
              <w:right w:type="dxa" w:w="100"/>
            </w:tcMar>
          </w:tcPr>
          <w:p>
            <w:pPr>
              <w:spacing w:after="0"/>
            </w:pPr>
            <w:r>
              <w:rPr>
                <w:b w:val="false"/>
                <w:bCs w:val="false"/>
                <w:color w:val="000000"/>
                <w:sz w:val="20"/>
                <w:szCs w:val="20"/>
              </w:rPr>
              <w:t xml:space="preserve">Puppeteer</w:t>
            </w:r>
          </w:p>
        </w:tc>
        <w:tc>
          <w:tcPr>
            <w:tcW w:type="dxa" w:w="4800"/>
            <w:tcMar>
              <w:top w:type="dxa" w:w="60"/>
              <w:left w:type="dxa" w:w="100"/>
              <w:bottom w:type="dxa" w:w="60"/>
              <w:right w:type="dxa" w:w="100"/>
            </w:tcMar>
          </w:tcPr>
          <w:p>
            <w:pPr>
              <w:spacing w:after="0"/>
            </w:pPr>
            <w:r>
              <w:rPr>
                <w:b w:val="false"/>
                <w:bCs w:val="false"/>
                <w:color w:val="000000"/>
                <w:sz w:val="20"/>
                <w:szCs w:val="20"/>
              </w:rPr>
              <w:t xml:space="preserve">Convierte HTML a PDF para los reportes personalizados.</w:t>
            </w:r>
          </w:p>
        </w:tc>
      </w:tr>
    </w:tbl>
    <w:p>
      <w:pPr>
        <w:spacing w:after="120"/>
      </w:pPr>
      <w:r>
        <w:rPr>
          <w:sz w:val="12"/>
          <w:szCs w:val="12"/>
        </w:rPr>
        <w:t xml:space="preserve"/>
      </w:r>
    </w:p>
    <w:p>
      <w:pPr>
        <w:pStyle w:val="Heading1"/>
        <w:spacing w:after="160" w:before="360"/>
      </w:pPr>
      <w:r>
        <w:rPr>
          <w:b/>
          <w:bCs/>
          <w:color w:val="1F3864"/>
          <w:sz w:val="32"/>
          <w:szCs w:val="32"/>
        </w:rPr>
        <w:t xml:space="preserve">7. Seguridad</w:t>
      </w:r>
    </w:p>
    <w:p>
      <w:pPr>
        <w:spacing w:after="120" w:line="276"/>
        <w:jc w:val="both"/>
      </w:pPr>
      <w:r>
        <w:rPr>
          <w:sz w:val="22"/>
          <w:szCs w:val="22"/>
        </w:rPr>
        <w:t xml:space="preserve">La seguridad es una prioridad del proyecto. Estas son las medidas contempladas, organizadas por área:</w:t>
      </w:r>
    </w:p>
    <w:p>
      <w:pPr>
        <w:pStyle w:val="Heading2"/>
        <w:spacing w:after="120" w:before="240"/>
      </w:pPr>
      <w:r>
        <w:rPr>
          <w:b/>
          <w:bCs/>
          <w:color w:val="2E5090"/>
          <w:sz w:val="26"/>
          <w:szCs w:val="26"/>
        </w:rPr>
        <w:t xml:space="preserve">7.1 Autenticación y sesiones</w:t>
      </w:r>
    </w:p>
    <w:p>
      <w:pPr>
        <w:pStyle w:val="ListParagraph"/>
        <w:numPr>
          <w:ilvl w:val="0"/>
          <w:numId w:val="2"/>
        </w:numPr>
        <w:spacing w:after="80" w:line="264"/>
      </w:pPr>
      <w:r>
        <w:rPr>
          <w:sz w:val="22"/>
          <w:szCs w:val="22"/>
        </w:rPr>
        <w:t xml:space="preserve">Contraseñas cifradas con bcrypt; nunca en texto plano.</w:t>
      </w:r>
    </w:p>
    <w:p>
      <w:pPr>
        <w:pStyle w:val="ListParagraph"/>
        <w:numPr>
          <w:ilvl w:val="0"/>
          <w:numId w:val="2"/>
        </w:numPr>
        <w:spacing w:after="80" w:line="264"/>
      </w:pPr>
      <w:r>
        <w:rPr>
          <w:sz w:val="22"/>
          <w:szCs w:val="22"/>
        </w:rPr>
        <w:t xml:space="preserve">Sesiones con JWT: token de acceso de vida corta y token de refresco rotativo en cookie HttpOnly.</w:t>
      </w:r>
    </w:p>
    <w:p>
      <w:pPr>
        <w:pStyle w:val="ListParagraph"/>
        <w:numPr>
          <w:ilvl w:val="0"/>
          <w:numId w:val="2"/>
        </w:numPr>
        <w:spacing w:after="80" w:line="264"/>
      </w:pPr>
      <w:r>
        <w:rPr>
          <w:sz w:val="22"/>
          <w:szCs w:val="22"/>
        </w:rPr>
        <w:t xml:space="preserve">Verificación de correo obligatoria y límite de intentos de inicio de sesión.</w:t>
      </w:r>
    </w:p>
    <w:p>
      <w:pPr>
        <w:pStyle w:val="Heading2"/>
        <w:spacing w:after="120" w:before="240"/>
      </w:pPr>
      <w:r>
        <w:rPr>
          <w:b/>
          <w:bCs/>
          <w:color w:val="2E5090"/>
          <w:sz w:val="26"/>
          <w:szCs w:val="26"/>
        </w:rPr>
        <w:t xml:space="preserve">7.2 Control de acceso</w:t>
      </w:r>
    </w:p>
    <w:p>
      <w:pPr>
        <w:pStyle w:val="ListParagraph"/>
        <w:numPr>
          <w:ilvl w:val="0"/>
          <w:numId w:val="2"/>
        </w:numPr>
        <w:spacing w:after="80" w:line="264"/>
      </w:pPr>
      <w:r>
        <w:rPr>
          <w:sz w:val="22"/>
          <w:szCs w:val="22"/>
        </w:rPr>
        <w:t xml:space="preserve">Toda verificación de acceso ocurre en el backend, nunca solo en el frontend.</w:t>
      </w:r>
    </w:p>
    <w:p>
      <w:pPr>
        <w:pStyle w:val="ListParagraph"/>
        <w:numPr>
          <w:ilvl w:val="0"/>
          <w:numId w:val="2"/>
        </w:numPr>
        <w:spacing w:after="80" w:line="264"/>
      </w:pPr>
      <w:r>
        <w:rPr>
          <w:sz w:val="22"/>
          <w:szCs w:val="22"/>
        </w:rPr>
        <w:t xml:space="preserve">Roles definidos: gratuito, básico, premium, cultural (anual) y administrador.</w:t>
      </w:r>
    </w:p>
    <w:p>
      <w:pPr>
        <w:pStyle w:val="ListParagraph"/>
        <w:numPr>
          <w:ilvl w:val="0"/>
          <w:numId w:val="2"/>
        </w:numPr>
        <w:spacing w:after="80" w:line="264"/>
      </w:pPr>
      <w:r>
        <w:rPr>
          <w:sz w:val="22"/>
          <w:szCs w:val="22"/>
        </w:rPr>
        <w:t xml:space="preserve">Verificación de vigencia de suscripción para el módulo cultural en cada acceso.</w:t>
      </w:r>
    </w:p>
    <w:p>
      <w:pPr>
        <w:pStyle w:val="ListParagraph"/>
        <w:numPr>
          <w:ilvl w:val="0"/>
          <w:numId w:val="2"/>
        </w:numPr>
        <w:spacing w:after="80" w:line="264"/>
      </w:pPr>
      <w:r>
        <w:rPr>
          <w:sz w:val="22"/>
          <w:szCs w:val="22"/>
        </w:rPr>
        <w:t xml:space="preserve">Los reactivos nunca se entregan en masa: se sirven de a uno o por bloque pequeño, con verificación previa.</w:t>
      </w:r>
    </w:p>
    <w:p>
      <w:pPr>
        <w:pStyle w:val="Heading2"/>
        <w:spacing w:after="120" w:before="240"/>
      </w:pPr>
      <w:r>
        <w:rPr>
          <w:b/>
          <w:bCs/>
          <w:color w:val="2E5090"/>
          <w:sz w:val="26"/>
          <w:szCs w:val="26"/>
        </w:rPr>
        <w:t xml:space="preserve">7.3 Protección de contenido</w:t>
      </w:r>
    </w:p>
    <w:p>
      <w:pPr>
        <w:pStyle w:val="ListParagraph"/>
        <w:numPr>
          <w:ilvl w:val="0"/>
          <w:numId w:val="2"/>
        </w:numPr>
        <w:spacing w:after="80" w:line="264"/>
      </w:pPr>
      <w:r>
        <w:rPr>
          <w:sz w:val="22"/>
          <w:szCs w:val="22"/>
        </w:rPr>
        <w:t xml:space="preserve">Los PDFs de la guía y cuadernillos se sirven por endpoint protegido, con URLs temporales y marca de agua dinámica (nombre y correo del comprador).</w:t>
      </w:r>
    </w:p>
    <w:p>
      <w:pPr>
        <w:pStyle w:val="ListParagraph"/>
        <w:numPr>
          <w:ilvl w:val="0"/>
          <w:numId w:val="2"/>
        </w:numPr>
        <w:spacing w:after="80" w:line="264"/>
      </w:pPr>
      <w:r>
        <w:rPr>
          <w:sz w:val="22"/>
          <w:szCs w:val="22"/>
        </w:rPr>
        <w:t xml:space="preserve">Los simuladores son 100% digitales: la protección se centra en los endpoints de la API, no en archivos.</w:t>
      </w:r>
    </w:p>
    <w:p>
      <w:pPr>
        <w:pStyle w:val="Heading2"/>
        <w:spacing w:after="120" w:before="240"/>
      </w:pPr>
      <w:r>
        <w:rPr>
          <w:b/>
          <w:bCs/>
          <w:color w:val="2E5090"/>
          <w:sz w:val="26"/>
          <w:szCs w:val="26"/>
        </w:rPr>
        <w:t xml:space="preserve">7.4 Seguridad de la API y pagos</w:t>
      </w:r>
    </w:p>
    <w:p>
      <w:pPr>
        <w:pStyle w:val="ListParagraph"/>
        <w:numPr>
          <w:ilvl w:val="0"/>
          <w:numId w:val="2"/>
        </w:numPr>
        <w:spacing w:after="80" w:line="264"/>
      </w:pPr>
      <w:r>
        <w:rPr>
          <w:sz w:val="22"/>
          <w:szCs w:val="22"/>
        </w:rPr>
        <w:t xml:space="preserve">HTTPS obligatorio, límites de peticiones (rate limiting), validación estricta de datos y cabeceras de seguridad (Helmet, CORS).</w:t>
      </w:r>
    </w:p>
    <w:p>
      <w:pPr>
        <w:pStyle w:val="ListParagraph"/>
        <w:numPr>
          <w:ilvl w:val="0"/>
          <w:numId w:val="2"/>
        </w:numPr>
        <w:spacing w:after="80" w:line="264"/>
      </w:pPr>
      <w:r>
        <w:rPr>
          <w:sz w:val="22"/>
          <w:szCs w:val="22"/>
        </w:rPr>
        <w:t xml:space="preserve">Los datos de tarjeta nunca se almacenan: los gestiona MercadoPago. Verificación de firma en los webhooks de pago.</w:t>
      </w:r>
    </w:p>
    <w:p>
      <w:pPr>
        <w:pStyle w:val="ListParagraph"/>
        <w:numPr>
          <w:ilvl w:val="0"/>
          <w:numId w:val="2"/>
        </w:numPr>
        <w:spacing w:after="80" w:line="264"/>
      </w:pPr>
      <w:r>
        <w:rPr>
          <w:sz w:val="22"/>
          <w:szCs w:val="22"/>
        </w:rPr>
        <w:t xml:space="preserve">Variables de entorno para todos los secretos, nunca en el código.</w:t>
      </w:r>
    </w:p>
    <w:p>
      <w:pPr>
        <w:pStyle w:val="ListParagraph"/>
        <w:numPr>
          <w:ilvl w:val="0"/>
          <w:numId w:val="2"/>
        </w:numPr>
        <w:spacing w:after="80" w:line="264"/>
      </w:pPr>
      <w:r>
        <w:rPr>
          <w:sz w:val="22"/>
          <w:szCs w:val="22"/>
        </w:rPr>
        <w:t xml:space="preserve">Panel de administración con doble factor de autenticación (2FA) y registro de auditoría.</w:t>
      </w:r>
    </w:p>
    <w:p>
      <w:pPr>
        <w:pStyle w:val="Heading1"/>
        <w:spacing w:after="160" w:before="360"/>
      </w:pPr>
      <w:r>
        <w:rPr>
          <w:b/>
          <w:bCs/>
          <w:color w:val="1F3864"/>
          <w:sz w:val="32"/>
          <w:szCs w:val="32"/>
        </w:rPr>
        <w:t xml:space="preserve">8. Herramientas de desarrollo</w:t>
      </w:r>
    </w:p>
    <w:p>
      <w:pPr>
        <w:spacing w:after="120" w:line="276"/>
        <w:jc w:val="both"/>
      </w:pPr>
      <w:r>
        <w:rPr>
          <w:sz w:val="22"/>
          <w:szCs w:val="22"/>
        </w:rPr>
        <w:t xml:space="preserve">El equipo de trabajo es una laptop con Windows 11 (64 bits), procesador Intel i9 y 16 GB de RAM, más que suficiente para el proyecto. Las herramientas a instalar son:</w:t>
      </w:r>
    </w:p>
    <w:p>
      <w:pPr>
        <w:pStyle w:val="ListParagraph"/>
        <w:numPr>
          <w:ilvl w:val="0"/>
          <w:numId w:val="2"/>
        </w:numPr>
        <w:spacing w:after="80" w:line="264"/>
      </w:pPr>
      <w:r>
        <w:rPr>
          <w:sz w:val="22"/>
          <w:szCs w:val="22"/>
        </w:rPr>
        <w:t xml:space="preserve">Node.js (versión LTS): entorno de ejecución de JavaScript; base del backend.</w:t>
      </w:r>
    </w:p>
    <w:p>
      <w:pPr>
        <w:pStyle w:val="ListParagraph"/>
        <w:numPr>
          <w:ilvl w:val="0"/>
          <w:numId w:val="2"/>
        </w:numPr>
        <w:spacing w:after="80" w:line="264"/>
      </w:pPr>
      <w:r>
        <w:rPr>
          <w:sz w:val="22"/>
          <w:szCs w:val="22"/>
        </w:rPr>
        <w:t xml:space="preserve">Visual Studio Code: editor de código, con extensiones ESLint, Prettier, Prisma y Thunder Client.</w:t>
      </w:r>
    </w:p>
    <w:p>
      <w:pPr>
        <w:pStyle w:val="ListParagraph"/>
        <w:numPr>
          <w:ilvl w:val="0"/>
          <w:numId w:val="2"/>
        </w:numPr>
        <w:spacing w:after="80" w:line="264"/>
      </w:pPr>
      <w:r>
        <w:rPr>
          <w:sz w:val="22"/>
          <w:szCs w:val="22"/>
        </w:rPr>
        <w:t xml:space="preserve">Git y una cuenta de GitHub: control de versiones y respaldo del código en la nube.</w:t>
      </w:r>
    </w:p>
    <w:p>
      <w:pPr>
        <w:pStyle w:val="ListParagraph"/>
        <w:numPr>
          <w:ilvl w:val="0"/>
          <w:numId w:val="2"/>
        </w:numPr>
        <w:spacing w:after="80" w:line="264"/>
      </w:pPr>
      <w:r>
        <w:rPr>
          <w:sz w:val="22"/>
          <w:szCs w:val="22"/>
        </w:rPr>
        <w:t xml:space="preserve">PostgreSQL: base de datos, junto con TablePlus o DBeaver para gestionarla visualmente.</w:t>
      </w:r>
    </w:p>
    <w:p>
      <w:pPr>
        <w:pStyle w:val="ListParagraph"/>
        <w:numPr>
          <w:ilvl w:val="0"/>
          <w:numId w:val="2"/>
        </w:numPr>
        <w:spacing w:after="80" w:line="264"/>
      </w:pPr>
      <w:r>
        <w:rPr>
          <w:sz w:val="22"/>
          <w:szCs w:val="22"/>
        </w:rPr>
        <w:t xml:space="preserve">Docker (opcional): para ejecutar servicios en contenedores y facilitar el despliegue.</w:t>
      </w:r>
    </w:p>
    <w:p>
      <w:pPr>
        <w:pStyle w:val="Heading1"/>
        <w:spacing w:after="160" w:before="360"/>
      </w:pPr>
      <w:r>
        <w:rPr>
          <w:b/>
          <w:bCs/>
          <w:color w:val="1F3864"/>
          <w:sz w:val="32"/>
          <w:szCs w:val="32"/>
        </w:rPr>
        <w:t xml:space="preserve">9. Hoja de ruta de construcción</w:t>
      </w:r>
    </w:p>
    <w:p>
      <w:pPr>
        <w:spacing w:after="120" w:line="276"/>
        <w:jc w:val="both"/>
      </w:pPr>
      <w:r>
        <w:rPr>
          <w:sz w:val="22"/>
          <w:szCs w:val="22"/>
        </w:rPr>
        <w:t xml:space="preserve">Dado que se cuenta con tiempo suficiente y no hay urgencia de lanzar, el plan es construir una sola versión completa y bien hecha, evitando deuda técnica. El orden de construcción es el siguiente:</w:t>
      </w:r>
    </w:p>
    <w:p>
      <w:pPr>
        <w:pStyle w:val="ListParagraph"/>
        <w:numPr>
          <w:ilvl w:val="0"/>
          <w:numId w:val="3"/>
        </w:numPr>
        <w:spacing w:after="80" w:line="264"/>
      </w:pPr>
      <w:r>
        <w:rPr>
          <w:sz w:val="22"/>
          <w:szCs w:val="22"/>
        </w:rPr>
        <w:t xml:space="preserve">Backend con autenticación y modelo de datos.</w:t>
      </w:r>
    </w:p>
    <w:p>
      <w:pPr>
        <w:pStyle w:val="ListParagraph"/>
        <w:numPr>
          <w:ilvl w:val="0"/>
          <w:numId w:val="3"/>
        </w:numPr>
        <w:spacing w:after="80" w:line="264"/>
      </w:pPr>
      <w:r>
        <w:rPr>
          <w:sz w:val="22"/>
          <w:szCs w:val="22"/>
        </w:rPr>
        <w:t xml:space="preserve">Examen completo psicológico con las tres fases.</w:t>
      </w:r>
    </w:p>
    <w:p>
      <w:pPr>
        <w:pStyle w:val="ListParagraph"/>
        <w:numPr>
          <w:ilvl w:val="0"/>
          <w:numId w:val="3"/>
        </w:numPr>
        <w:spacing w:after="80" w:line="264"/>
      </w:pPr>
      <w:r>
        <w:rPr>
          <w:sz w:val="22"/>
          <w:szCs w:val="22"/>
        </w:rPr>
        <w:t xml:space="preserve">Pantalla de resultados con métricas de comportamiento e índice de consistencia temporal.</w:t>
      </w:r>
    </w:p>
    <w:p>
      <w:pPr>
        <w:pStyle w:val="ListParagraph"/>
        <w:numPr>
          <w:ilvl w:val="0"/>
          <w:numId w:val="3"/>
        </w:numPr>
        <w:spacing w:after="80" w:line="264"/>
      </w:pPr>
      <w:r>
        <w:rPr>
          <w:sz w:val="22"/>
          <w:szCs w:val="22"/>
        </w:rPr>
        <w:t xml:space="preserve">Contenido teórico digital interactivo (guía y cuadernillos).</w:t>
      </w:r>
    </w:p>
    <w:p>
      <w:pPr>
        <w:pStyle w:val="ListParagraph"/>
        <w:numPr>
          <w:ilvl w:val="0"/>
          <w:numId w:val="3"/>
        </w:numPr>
        <w:spacing w:after="80" w:line="264"/>
      </w:pPr>
      <w:r>
        <w:rPr>
          <w:sz w:val="22"/>
          <w:szCs w:val="22"/>
        </w:rPr>
        <w:t xml:space="preserve">Módulo cultural para los planteles más solicitados.</w:t>
      </w:r>
    </w:p>
    <w:p>
      <w:pPr>
        <w:pStyle w:val="ListParagraph"/>
        <w:numPr>
          <w:ilvl w:val="0"/>
          <w:numId w:val="3"/>
        </w:numPr>
        <w:spacing w:after="80" w:line="264"/>
      </w:pPr>
      <w:r>
        <w:rPr>
          <w:sz w:val="22"/>
          <w:szCs w:val="22"/>
        </w:rPr>
        <w:t xml:space="preserve">Reporte PDF personalizado.</w:t>
      </w:r>
    </w:p>
    <w:p>
      <w:pPr>
        <w:pStyle w:val="ListParagraph"/>
        <w:numPr>
          <w:ilvl w:val="0"/>
          <w:numId w:val="3"/>
        </w:numPr>
        <w:spacing w:after="80" w:line="264"/>
      </w:pPr>
      <w:r>
        <w:rPr>
          <w:sz w:val="22"/>
          <w:szCs w:val="22"/>
        </w:rPr>
        <w:t xml:space="preserve">Panel de administración.</w:t>
      </w:r>
    </w:p>
    <w:p>
      <w:pPr>
        <w:pStyle w:val="ListParagraph"/>
        <w:numPr>
          <w:ilvl w:val="0"/>
          <w:numId w:val="3"/>
        </w:numPr>
        <w:spacing w:after="80" w:line="264"/>
      </w:pPr>
      <w:r>
        <w:rPr>
          <w:sz w:val="22"/>
          <w:szCs w:val="22"/>
        </w:rPr>
        <w:t xml:space="preserve">Aplicación móvil con React Native.</w:t>
      </w:r>
    </w:p>
    <w:p>
      <w:pPr>
        <w:pStyle w:val="ListParagraph"/>
        <w:numPr>
          <w:ilvl w:val="0"/>
          <w:numId w:val="3"/>
        </w:numPr>
        <w:spacing w:after="80" w:line="264"/>
      </w:pPr>
      <w:r>
        <w:rPr>
          <w:sz w:val="22"/>
          <w:szCs w:val="22"/>
        </w:rPr>
        <w:t xml:space="preserve">Actualización posterior: modo entrenamiento por tema y detección de contradicciones internas.</w:t>
      </w:r>
    </w:p>
    <w:p>
      <w:pPr>
        <w:spacing w:after="120" w:line="276"/>
        <w:jc w:val="both"/>
      </w:pPr>
      <w:r>
        <w:rPr>
          <w:i/>
          <w:iCs/>
          <w:sz w:val="22"/>
          <w:szCs w:val="22"/>
        </w:rPr>
        <w:t xml:space="preserve">Durante todo el desarrollo se mantiene activa la venta de PDFs, que es el flujo de caja actual y una fuente continua de retroalimentación de aspirantes reales.</w:t>
      </w:r>
    </w:p>
    <w:p>
      <w:pPr>
        <w:pStyle w:val="Heading1"/>
        <w:spacing w:after="160" w:before="360"/>
      </w:pPr>
      <w:r>
        <w:rPr>
          <w:b/>
          <w:bCs/>
          <w:color w:val="1F3864"/>
          <w:sz w:val="32"/>
          <w:szCs w:val="32"/>
        </w:rPr>
        <w:t xml:space="preserve">10. Recomendaciones estratégicas</w:t>
      </w:r>
    </w:p>
    <w:p>
      <w:pPr>
        <w:pStyle w:val="ListParagraph"/>
        <w:numPr>
          <w:ilvl w:val="0"/>
          <w:numId w:val="2"/>
        </w:numPr>
        <w:spacing w:after="80" w:line="264"/>
      </w:pPr>
      <w:r>
        <w:rPr>
          <w:sz w:val="22"/>
          <w:szCs w:val="22"/>
        </w:rPr>
        <w:t xml:space="preserve">Definir si la plataforma vivirá bajo la marca actual ("El Monote te Guía") o bajo un nombre más institucional, manteniendo la marca actual como canal de captación.</w:t>
      </w:r>
    </w:p>
    <w:p>
      <w:pPr>
        <w:pStyle w:val="ListParagraph"/>
        <w:numPr>
          <w:ilvl w:val="0"/>
          <w:numId w:val="2"/>
        </w:numPr>
        <w:spacing w:after="80" w:line="264"/>
      </w:pPr>
      <w:r>
        <w:rPr>
          <w:sz w:val="22"/>
          <w:szCs w:val="22"/>
        </w:rPr>
        <w:t xml:space="preserve">Construir desde ahora una lista de correos de interesados con una página de aterrizaje sencilla, para medir demanda y tener usuarios listos al lanzar.</w:t>
      </w:r>
    </w:p>
    <w:p>
      <w:pPr>
        <w:pStyle w:val="ListParagraph"/>
        <w:numPr>
          <w:ilvl w:val="0"/>
          <w:numId w:val="2"/>
        </w:numPr>
        <w:spacing w:after="80" w:line="264"/>
      </w:pPr>
      <w:r>
        <w:rPr>
          <w:sz w:val="22"/>
          <w:szCs w:val="22"/>
        </w:rPr>
        <w:t xml:space="preserve">Preparar los documentos legales básicos: términos y condiciones, política de privacidad (Ley Federal de Protección de Datos Personales) y aviso de que el material no garantiza el ingreso.</w:t>
      </w:r>
    </w:p>
    <w:p>
      <w:pPr>
        <w:pStyle w:val="ListParagraph"/>
        <w:numPr>
          <w:ilvl w:val="0"/>
          <w:numId w:val="2"/>
        </w:numPr>
        <w:spacing w:after="80" w:line="264"/>
      </w:pPr>
      <w:r>
        <w:rPr>
          <w:sz w:val="22"/>
          <w:szCs w:val="22"/>
        </w:rPr>
        <w:t xml:space="preserve">Validar el precio con la audiencia real antes de fijarlo definitivamente.</w:t>
      </w:r>
    </w:p>
    <w:p>
      <w:pPr>
        <w:pStyle w:val="ListParagraph"/>
        <w:numPr>
          <w:ilvl w:val="0"/>
          <w:numId w:val="2"/>
        </w:numPr>
        <w:spacing w:after="80" w:line="264"/>
      </w:pPr>
      <w:r>
        <w:rPr>
          <w:sz w:val="22"/>
          <w:szCs w:val="22"/>
        </w:rPr>
        <w:t xml:space="preserve">Considerar a futuro un servicio premium de asesorías personalizadas en vivo, sin desarrollo adicional.</w:t>
      </w:r>
    </w:p>
    <w:p>
      <w:pPr>
        <w:pStyle w:val="ListParagraph"/>
        <w:numPr>
          <w:ilvl w:val="0"/>
          <w:numId w:val="2"/>
        </w:numPr>
        <w:spacing w:after="80" w:line="264"/>
      </w:pPr>
      <w:r>
        <w:rPr>
          <w:sz w:val="22"/>
          <w:szCs w:val="22"/>
        </w:rPr>
        <w:t xml:space="preserve">Evitar el "feature creep": no añadir funcionalidades nuevas al alcance hasta que lo definido esté completamente funcionando; anotar las ideas nuevas para evaluarlas después del lanzamiento.</w:t>
      </w:r>
    </w:p>
    <w:p>
      <w:pPr>
        <w:spacing w:before="400"/>
        <w:jc w:val="center"/>
      </w:pPr>
      <w:r>
        <w:rPr>
          <w:i/>
          <w:iCs/>
          <w:color w:val="595959"/>
          <w:sz w:val="20"/>
          <w:szCs w:val="20"/>
        </w:rPr>
        <w:t xml:space="preserve">— Fin del documento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UDEFA — Documento del Proyecto</dc:title>
  <dc:creator>El Monote te Guía</dc:creator>
  <cp:lastModifiedBy>Un-named</cp:lastModifiedBy>
  <cp:revision>1</cp:revision>
  <dcterms:created xsi:type="dcterms:W3CDTF">2026-07-03T05:37:35.393Z</dcterms:created>
  <dcterms:modified xsi:type="dcterms:W3CDTF">2026-07-03T05:37:35.404Z</dcterms:modified>
</cp:coreProperties>
</file>

<file path=docProps/custom.xml><?xml version="1.0" encoding="utf-8"?>
<Properties xmlns="http://schemas.openxmlformats.org/officeDocument/2006/custom-properties" xmlns:vt="http://schemas.openxmlformats.org/officeDocument/2006/docPropsVTypes"/>
</file>