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A99EE" w14:textId="77777777" w:rsidR="00154DB5" w:rsidRPr="00C2021A" w:rsidRDefault="00154DB5" w:rsidP="00041DBE">
      <w:pPr>
        <w:spacing w:after="0" w:line="240" w:lineRule="auto"/>
        <w:jc w:val="both"/>
        <w:rPr>
          <w:rFonts w:cs="Arial"/>
          <w:b/>
          <w:bCs/>
          <w:color w:val="auto"/>
        </w:rPr>
      </w:pPr>
      <w:bookmarkStart w:id="0" w:name="_Hlk51065907"/>
      <w:r w:rsidRPr="00C2021A">
        <w:rPr>
          <w:rFonts w:cs="Arial"/>
          <w:b/>
          <w:bCs/>
          <w:color w:val="auto"/>
        </w:rPr>
        <w:t xml:space="preserve">Recent advances in graphene-based </w:t>
      </w:r>
      <w:proofErr w:type="spellStart"/>
      <w:r w:rsidRPr="00C2021A">
        <w:rPr>
          <w:rFonts w:cs="Arial"/>
          <w:b/>
          <w:bCs/>
          <w:color w:val="auto"/>
        </w:rPr>
        <w:t>nanobiosensors</w:t>
      </w:r>
      <w:proofErr w:type="spellEnd"/>
      <w:r w:rsidRPr="00C2021A">
        <w:rPr>
          <w:rFonts w:cs="Arial"/>
          <w:b/>
          <w:bCs/>
          <w:color w:val="auto"/>
        </w:rPr>
        <w:t xml:space="preserve"> for salivary biomarker detection</w:t>
      </w:r>
    </w:p>
    <w:bookmarkEnd w:id="0"/>
    <w:p w14:paraId="00E020F2" w14:textId="77777777" w:rsidR="00154DB5" w:rsidRPr="00C2021A" w:rsidRDefault="00154DB5" w:rsidP="00041DBE">
      <w:pPr>
        <w:spacing w:after="0" w:line="240" w:lineRule="auto"/>
        <w:jc w:val="both"/>
        <w:rPr>
          <w:rFonts w:cs="Arial"/>
          <w:b/>
          <w:bCs/>
          <w:color w:val="auto"/>
        </w:rPr>
      </w:pPr>
    </w:p>
    <w:p w14:paraId="315CA374" w14:textId="77777777" w:rsidR="00154DB5" w:rsidRPr="00C2021A" w:rsidRDefault="00154DB5" w:rsidP="00041DBE">
      <w:pPr>
        <w:spacing w:after="0" w:line="240" w:lineRule="auto"/>
        <w:jc w:val="both"/>
        <w:rPr>
          <w:rFonts w:cs="Arial"/>
          <w:color w:val="auto"/>
          <w:vertAlign w:val="superscript"/>
        </w:rPr>
      </w:pPr>
      <w:r w:rsidRPr="00C2021A">
        <w:rPr>
          <w:rFonts w:cs="Arial"/>
          <w:color w:val="auto"/>
        </w:rPr>
        <w:t xml:space="preserve">Riccardo </w:t>
      </w:r>
      <w:proofErr w:type="spellStart"/>
      <w:proofErr w:type="gramStart"/>
      <w:r w:rsidRPr="00C2021A">
        <w:rPr>
          <w:rFonts w:cs="Arial"/>
          <w:color w:val="auto"/>
        </w:rPr>
        <w:t>Goldoni</w:t>
      </w:r>
      <w:r w:rsidRPr="00C2021A">
        <w:rPr>
          <w:rFonts w:cs="Arial"/>
          <w:color w:val="auto"/>
          <w:vertAlign w:val="superscript"/>
        </w:rPr>
        <w:t>a,b</w:t>
      </w:r>
      <w:proofErr w:type="spellEnd"/>
      <w:proofErr w:type="gramEnd"/>
      <w:r w:rsidRPr="00C2021A">
        <w:rPr>
          <w:rFonts w:cs="Arial"/>
          <w:color w:val="auto"/>
        </w:rPr>
        <w:t xml:space="preserve">, Marco </w:t>
      </w:r>
      <w:proofErr w:type="spellStart"/>
      <w:r w:rsidRPr="00C2021A">
        <w:rPr>
          <w:rFonts w:cs="Arial"/>
          <w:color w:val="auto"/>
        </w:rPr>
        <w:t>Farronato</w:t>
      </w:r>
      <w:r w:rsidRPr="00C2021A">
        <w:rPr>
          <w:rFonts w:cs="Arial"/>
          <w:color w:val="auto"/>
          <w:vertAlign w:val="superscript"/>
        </w:rPr>
        <w:t>c</w:t>
      </w:r>
      <w:proofErr w:type="spellEnd"/>
      <w:r w:rsidRPr="00C2021A">
        <w:rPr>
          <w:rFonts w:cs="Arial"/>
          <w:color w:val="auto"/>
        </w:rPr>
        <w:t xml:space="preserve">, Stephen Thaddeus </w:t>
      </w:r>
      <w:proofErr w:type="spellStart"/>
      <w:r w:rsidRPr="00C2021A">
        <w:rPr>
          <w:rFonts w:cs="Arial"/>
          <w:color w:val="auto"/>
        </w:rPr>
        <w:t>Connelly</w:t>
      </w:r>
      <w:r w:rsidRPr="00C2021A">
        <w:rPr>
          <w:rFonts w:cs="Arial"/>
          <w:color w:val="auto"/>
          <w:vertAlign w:val="superscript"/>
        </w:rPr>
        <w:t>d</w:t>
      </w:r>
      <w:proofErr w:type="spellEnd"/>
      <w:r w:rsidRPr="00C2021A">
        <w:rPr>
          <w:rFonts w:cs="Arial"/>
          <w:color w:val="auto"/>
        </w:rPr>
        <w:t xml:space="preserve">, Gianluca Martino </w:t>
      </w:r>
      <w:proofErr w:type="spellStart"/>
      <w:r w:rsidRPr="00C2021A">
        <w:rPr>
          <w:rFonts w:cs="Arial"/>
          <w:color w:val="auto"/>
        </w:rPr>
        <w:t>Tartaglia</w:t>
      </w:r>
      <w:r w:rsidRPr="00C2021A">
        <w:rPr>
          <w:rFonts w:cs="Arial"/>
          <w:color w:val="auto"/>
          <w:vertAlign w:val="superscript"/>
        </w:rPr>
        <w:t>c</w:t>
      </w:r>
      <w:proofErr w:type="spellEnd"/>
      <w:r w:rsidRPr="00C2021A">
        <w:rPr>
          <w:rFonts w:cs="Arial"/>
          <w:color w:val="auto"/>
        </w:rPr>
        <w:t xml:space="preserve">, and </w:t>
      </w:r>
      <w:proofErr w:type="spellStart"/>
      <w:r w:rsidRPr="00C2021A">
        <w:rPr>
          <w:rFonts w:cs="Arial"/>
          <w:color w:val="auto"/>
        </w:rPr>
        <w:t>Woon</w:t>
      </w:r>
      <w:proofErr w:type="spellEnd"/>
      <w:r w:rsidRPr="00C2021A">
        <w:rPr>
          <w:rFonts w:cs="Arial"/>
          <w:color w:val="auto"/>
        </w:rPr>
        <w:t xml:space="preserve">-Hong </w:t>
      </w:r>
      <w:proofErr w:type="spellStart"/>
      <w:r w:rsidRPr="00C2021A">
        <w:rPr>
          <w:rFonts w:cs="Arial"/>
          <w:color w:val="auto"/>
        </w:rPr>
        <w:t>Yeo</w:t>
      </w:r>
      <w:r w:rsidRPr="00C2021A">
        <w:rPr>
          <w:rFonts w:cs="Arial"/>
          <w:color w:val="auto"/>
          <w:vertAlign w:val="superscript"/>
        </w:rPr>
        <w:t>a,e,f</w:t>
      </w:r>
      <w:proofErr w:type="spellEnd"/>
      <w:r w:rsidRPr="00C2021A">
        <w:rPr>
          <w:rFonts w:cs="Arial"/>
          <w:color w:val="auto"/>
          <w:vertAlign w:val="superscript"/>
        </w:rPr>
        <w:t>,*</w:t>
      </w:r>
    </w:p>
    <w:p w14:paraId="49F7742E" w14:textId="77777777" w:rsidR="00154DB5" w:rsidRPr="00C2021A" w:rsidRDefault="00154DB5" w:rsidP="00041DBE">
      <w:pPr>
        <w:spacing w:after="0" w:line="240" w:lineRule="auto"/>
        <w:jc w:val="both"/>
        <w:rPr>
          <w:rFonts w:cs="Arial"/>
          <w:color w:val="auto"/>
        </w:rPr>
      </w:pPr>
    </w:p>
    <w:p w14:paraId="3530E24A" w14:textId="77777777" w:rsidR="00154DB5" w:rsidRPr="00C2021A" w:rsidRDefault="00154DB5" w:rsidP="00041DBE">
      <w:pPr>
        <w:spacing w:after="0" w:line="240" w:lineRule="auto"/>
        <w:jc w:val="both"/>
        <w:rPr>
          <w:rFonts w:cs="Arial"/>
          <w:color w:val="auto"/>
        </w:rPr>
      </w:pPr>
      <w:proofErr w:type="spellStart"/>
      <w:r w:rsidRPr="00C2021A">
        <w:rPr>
          <w:rFonts w:cs="Arial"/>
          <w:color w:val="auto"/>
          <w:vertAlign w:val="superscript"/>
        </w:rPr>
        <w:t>a</w:t>
      </w:r>
      <w:r w:rsidRPr="00C2021A">
        <w:rPr>
          <w:rFonts w:cs="Arial"/>
          <w:color w:val="auto"/>
        </w:rPr>
        <w:t>George</w:t>
      </w:r>
      <w:proofErr w:type="spellEnd"/>
      <w:r w:rsidRPr="00C2021A">
        <w:rPr>
          <w:rFonts w:cs="Arial"/>
          <w:color w:val="auto"/>
        </w:rPr>
        <w:t xml:space="preserve"> W. Woodruff School of Mechanical Engineering, Institute for Electronics and Nanotechnology, Georgia Institute of Technology, Atlanta, GA 30332, USA.</w:t>
      </w:r>
    </w:p>
    <w:p w14:paraId="2F65FD50" w14:textId="77777777" w:rsidR="00154DB5" w:rsidRPr="00C2021A" w:rsidRDefault="00154DB5" w:rsidP="00041DBE">
      <w:pPr>
        <w:spacing w:after="0" w:line="240" w:lineRule="auto"/>
        <w:jc w:val="both"/>
        <w:rPr>
          <w:rFonts w:cs="Arial"/>
          <w:color w:val="auto"/>
        </w:rPr>
      </w:pPr>
      <w:proofErr w:type="spellStart"/>
      <w:r w:rsidRPr="00C2021A">
        <w:rPr>
          <w:rFonts w:cs="Arial"/>
          <w:color w:val="auto"/>
          <w:vertAlign w:val="superscript"/>
        </w:rPr>
        <w:t>b</w:t>
      </w:r>
      <w:r w:rsidRPr="00C2021A">
        <w:rPr>
          <w:rFonts w:cs="Arial"/>
          <w:color w:val="auto"/>
        </w:rPr>
        <w:t>School</w:t>
      </w:r>
      <w:proofErr w:type="spellEnd"/>
      <w:r w:rsidRPr="00C2021A">
        <w:rPr>
          <w:rFonts w:cs="Arial"/>
          <w:color w:val="auto"/>
        </w:rPr>
        <w:t xml:space="preserve"> of Materials Science and Engineering, Georgia Institute of Technology, Atlanta, GA 30332, USA.</w:t>
      </w:r>
    </w:p>
    <w:p w14:paraId="76B3A406" w14:textId="77777777" w:rsidR="00154DB5" w:rsidRPr="00C2021A" w:rsidRDefault="00154DB5" w:rsidP="00041DBE">
      <w:pPr>
        <w:spacing w:after="0" w:line="240" w:lineRule="auto"/>
        <w:jc w:val="both"/>
        <w:rPr>
          <w:rFonts w:cs="Arial"/>
          <w:color w:val="auto"/>
        </w:rPr>
      </w:pPr>
      <w:proofErr w:type="spellStart"/>
      <w:r w:rsidRPr="00C2021A">
        <w:rPr>
          <w:rFonts w:cs="Arial"/>
          <w:color w:val="auto"/>
          <w:vertAlign w:val="superscript"/>
        </w:rPr>
        <w:t>c</w:t>
      </w:r>
      <w:r w:rsidRPr="00C2021A">
        <w:rPr>
          <w:rFonts w:cs="Arial"/>
          <w:color w:val="auto"/>
        </w:rPr>
        <w:t>Department</w:t>
      </w:r>
      <w:proofErr w:type="spellEnd"/>
      <w:r w:rsidRPr="00C2021A">
        <w:rPr>
          <w:rFonts w:cs="Arial"/>
          <w:color w:val="auto"/>
        </w:rPr>
        <w:t xml:space="preserve"> of Medicine, Surgery and Dentistry Department of Orthodontics, </w:t>
      </w:r>
      <w:proofErr w:type="spellStart"/>
      <w:r w:rsidRPr="00C2021A">
        <w:rPr>
          <w:rFonts w:cs="Arial"/>
          <w:color w:val="auto"/>
        </w:rPr>
        <w:t>Università</w:t>
      </w:r>
      <w:proofErr w:type="spellEnd"/>
      <w:r w:rsidRPr="00C2021A">
        <w:rPr>
          <w:rFonts w:cs="Arial"/>
          <w:color w:val="auto"/>
        </w:rPr>
        <w:t xml:space="preserve"> </w:t>
      </w:r>
      <w:proofErr w:type="spellStart"/>
      <w:r w:rsidRPr="00C2021A">
        <w:rPr>
          <w:rFonts w:cs="Arial"/>
          <w:color w:val="auto"/>
        </w:rPr>
        <w:t>degli</w:t>
      </w:r>
      <w:proofErr w:type="spellEnd"/>
      <w:r w:rsidRPr="00C2021A">
        <w:rPr>
          <w:rFonts w:cs="Arial"/>
          <w:color w:val="auto"/>
        </w:rPr>
        <w:t xml:space="preserve"> </w:t>
      </w:r>
      <w:proofErr w:type="spellStart"/>
      <w:r w:rsidRPr="00C2021A">
        <w:rPr>
          <w:rFonts w:cs="Arial"/>
          <w:color w:val="auto"/>
        </w:rPr>
        <w:t>Studi</w:t>
      </w:r>
      <w:proofErr w:type="spellEnd"/>
      <w:r w:rsidRPr="00C2021A">
        <w:rPr>
          <w:rFonts w:cs="Arial"/>
          <w:color w:val="auto"/>
        </w:rPr>
        <w:t xml:space="preserve"> di Milano - Fondazione IRCCS </w:t>
      </w:r>
      <w:proofErr w:type="spellStart"/>
      <w:r w:rsidRPr="00C2021A">
        <w:rPr>
          <w:rFonts w:cs="Arial"/>
          <w:color w:val="auto"/>
        </w:rPr>
        <w:t>Cà</w:t>
      </w:r>
      <w:proofErr w:type="spellEnd"/>
      <w:r w:rsidRPr="00C2021A">
        <w:rPr>
          <w:rFonts w:cs="Arial"/>
          <w:color w:val="auto"/>
        </w:rPr>
        <w:t xml:space="preserve"> </w:t>
      </w:r>
      <w:proofErr w:type="spellStart"/>
      <w:r w:rsidRPr="00C2021A">
        <w:rPr>
          <w:rFonts w:cs="Arial"/>
          <w:color w:val="auto"/>
        </w:rPr>
        <w:t>Granda</w:t>
      </w:r>
      <w:proofErr w:type="spellEnd"/>
      <w:r w:rsidRPr="00C2021A">
        <w:rPr>
          <w:rFonts w:cs="Arial"/>
          <w:color w:val="auto"/>
        </w:rPr>
        <w:t>, Milan, Italy.</w:t>
      </w:r>
    </w:p>
    <w:p w14:paraId="64A882B2" w14:textId="77777777" w:rsidR="00154DB5" w:rsidRPr="00C2021A" w:rsidRDefault="00154DB5" w:rsidP="00041DBE">
      <w:pPr>
        <w:spacing w:after="0" w:line="240" w:lineRule="auto"/>
        <w:jc w:val="both"/>
        <w:rPr>
          <w:rFonts w:cs="Arial"/>
          <w:color w:val="auto"/>
        </w:rPr>
      </w:pPr>
      <w:proofErr w:type="spellStart"/>
      <w:r w:rsidRPr="00C2021A">
        <w:rPr>
          <w:rFonts w:cs="Arial"/>
          <w:color w:val="auto"/>
          <w:vertAlign w:val="superscript"/>
        </w:rPr>
        <w:t>d</w:t>
      </w:r>
      <w:r w:rsidRPr="00C2021A">
        <w:rPr>
          <w:rFonts w:cs="Arial"/>
          <w:color w:val="auto"/>
        </w:rPr>
        <w:t>Department</w:t>
      </w:r>
      <w:proofErr w:type="spellEnd"/>
      <w:r w:rsidRPr="00C2021A">
        <w:rPr>
          <w:rFonts w:cs="Arial"/>
          <w:color w:val="auto"/>
        </w:rPr>
        <w:t xml:space="preserve"> of Oral &amp; Maxillofacial Surgery, University of California San Francisco, San Francisco, CA, USA.</w:t>
      </w:r>
    </w:p>
    <w:p w14:paraId="2FAAE512" w14:textId="14F239C1" w:rsidR="00154DB5" w:rsidRPr="00C2021A" w:rsidRDefault="00154DB5" w:rsidP="00041DBE">
      <w:pPr>
        <w:spacing w:after="0" w:line="240" w:lineRule="auto"/>
        <w:jc w:val="both"/>
        <w:rPr>
          <w:rFonts w:cs="Arial"/>
          <w:color w:val="auto"/>
        </w:rPr>
      </w:pPr>
      <w:proofErr w:type="spellStart"/>
      <w:r w:rsidRPr="00C2021A">
        <w:rPr>
          <w:rFonts w:cs="Arial"/>
          <w:color w:val="auto"/>
          <w:vertAlign w:val="superscript"/>
        </w:rPr>
        <w:t>e</w:t>
      </w:r>
      <w:r w:rsidRPr="00C2021A">
        <w:rPr>
          <w:rFonts w:cs="Arial"/>
          <w:color w:val="auto"/>
        </w:rPr>
        <w:t>Wallace</w:t>
      </w:r>
      <w:proofErr w:type="spellEnd"/>
      <w:r w:rsidRPr="00C2021A">
        <w:rPr>
          <w:rFonts w:cs="Arial"/>
          <w:color w:val="auto"/>
        </w:rPr>
        <w:t xml:space="preserve"> H. Coulter Department of Biomedical Engineering, </w:t>
      </w:r>
      <w:r w:rsidR="008B0DB2" w:rsidRPr="00C2021A">
        <w:rPr>
          <w:rFonts w:cs="Arial"/>
          <w:color w:val="auto"/>
        </w:rPr>
        <w:t xml:space="preserve">Parker H. Petit Institute for Bioengineering and Biosciences, </w:t>
      </w:r>
      <w:r w:rsidRPr="00C2021A">
        <w:rPr>
          <w:rFonts w:cs="Arial"/>
          <w:color w:val="auto"/>
        </w:rPr>
        <w:t>Georgia Institute of Technology, Atlanta, GA 30332, USA.</w:t>
      </w:r>
    </w:p>
    <w:p w14:paraId="4A22A76C" w14:textId="6A1D826A" w:rsidR="00154DB5" w:rsidRPr="00C2021A" w:rsidRDefault="008B0DB2" w:rsidP="00041DBE">
      <w:pPr>
        <w:spacing w:after="0" w:line="240" w:lineRule="auto"/>
        <w:jc w:val="both"/>
        <w:rPr>
          <w:rFonts w:cs="Arial"/>
          <w:color w:val="auto"/>
        </w:rPr>
      </w:pPr>
      <w:proofErr w:type="spellStart"/>
      <w:r w:rsidRPr="00C2021A">
        <w:rPr>
          <w:rFonts w:cs="Arial"/>
          <w:color w:val="auto"/>
          <w:vertAlign w:val="superscript"/>
        </w:rPr>
        <w:t>f</w:t>
      </w:r>
      <w:r w:rsidRPr="00C2021A">
        <w:rPr>
          <w:rFonts w:cs="Arial"/>
          <w:color w:val="auto"/>
        </w:rPr>
        <w:t>Center</w:t>
      </w:r>
      <w:proofErr w:type="spellEnd"/>
      <w:r w:rsidRPr="00C2021A">
        <w:rPr>
          <w:rFonts w:cs="Arial"/>
          <w:color w:val="auto"/>
        </w:rPr>
        <w:t xml:space="preserve"> for Human-Centric Interfaces and Engineering, Neural Engineering Center, Institute for Materials, Institute for Robotics and Intelligent Machines, </w:t>
      </w:r>
      <w:r w:rsidR="00154DB5" w:rsidRPr="00C2021A">
        <w:rPr>
          <w:rFonts w:cs="Arial"/>
          <w:color w:val="auto"/>
        </w:rPr>
        <w:t>Georgia Institute of Technology, Atlanta, GA 30332, USA.</w:t>
      </w:r>
    </w:p>
    <w:p w14:paraId="2E7DC9CE" w14:textId="77777777" w:rsidR="00154DB5" w:rsidRPr="00C2021A" w:rsidRDefault="00154DB5" w:rsidP="00041DBE">
      <w:pPr>
        <w:spacing w:after="0" w:line="240" w:lineRule="auto"/>
        <w:jc w:val="both"/>
        <w:rPr>
          <w:rFonts w:cs="Arial"/>
          <w:color w:val="auto"/>
        </w:rPr>
      </w:pPr>
      <w:r w:rsidRPr="00C2021A">
        <w:rPr>
          <w:rFonts w:cs="Arial"/>
          <w:color w:val="auto"/>
        </w:rPr>
        <w:t xml:space="preserve">*Corresponding author: </w:t>
      </w:r>
      <w:hyperlink r:id="rId7" w:history="1">
        <w:r w:rsidRPr="00C2021A">
          <w:rPr>
            <w:rStyle w:val="Hyperlink"/>
            <w:rFonts w:cs="Arial"/>
            <w:color w:val="auto"/>
            <w:u w:val="none"/>
          </w:rPr>
          <w:t>whyeo@gatech.edu</w:t>
        </w:r>
      </w:hyperlink>
      <w:r w:rsidRPr="00C2021A">
        <w:rPr>
          <w:rFonts w:cs="Arial"/>
          <w:color w:val="auto"/>
        </w:rPr>
        <w:t xml:space="preserve"> (W.-H.Y.)</w:t>
      </w:r>
    </w:p>
    <w:p w14:paraId="2AB3A912" w14:textId="77777777" w:rsidR="00154DB5" w:rsidRPr="00C2021A" w:rsidRDefault="00154DB5" w:rsidP="00041DBE">
      <w:pPr>
        <w:spacing w:after="0" w:line="240" w:lineRule="auto"/>
        <w:jc w:val="both"/>
        <w:rPr>
          <w:rFonts w:cs="Arial"/>
          <w:b/>
          <w:bCs/>
          <w:color w:val="auto"/>
        </w:rPr>
      </w:pPr>
    </w:p>
    <w:p w14:paraId="4969EB15" w14:textId="77777777" w:rsidR="00154DB5" w:rsidRPr="00C2021A" w:rsidRDefault="00154DB5" w:rsidP="00041DBE">
      <w:pPr>
        <w:spacing w:after="0" w:line="240" w:lineRule="auto"/>
        <w:jc w:val="both"/>
        <w:rPr>
          <w:rFonts w:cs="Arial"/>
          <w:b/>
          <w:bCs/>
          <w:color w:val="auto"/>
        </w:rPr>
      </w:pPr>
    </w:p>
    <w:p w14:paraId="7F6C72C5" w14:textId="77777777" w:rsidR="00154DB5" w:rsidRPr="00C2021A" w:rsidRDefault="00154DB5" w:rsidP="00041DBE">
      <w:pPr>
        <w:spacing w:after="0" w:line="240" w:lineRule="auto"/>
        <w:jc w:val="both"/>
        <w:rPr>
          <w:rFonts w:cs="Arial"/>
          <w:b/>
          <w:bCs/>
          <w:color w:val="auto"/>
        </w:rPr>
      </w:pPr>
      <w:r w:rsidRPr="00C2021A">
        <w:rPr>
          <w:rFonts w:cs="Arial"/>
          <w:b/>
          <w:bCs/>
          <w:color w:val="auto"/>
        </w:rPr>
        <w:t>Abstract</w:t>
      </w:r>
    </w:p>
    <w:p w14:paraId="7E7BF037" w14:textId="3D8D058E" w:rsidR="00154DB5" w:rsidRPr="00C2021A" w:rsidRDefault="00154DB5" w:rsidP="00944898">
      <w:pPr>
        <w:spacing w:after="0" w:line="240" w:lineRule="auto"/>
        <w:jc w:val="both"/>
        <w:rPr>
          <w:rFonts w:cs="Arial"/>
          <w:color w:val="auto"/>
        </w:rPr>
      </w:pPr>
      <w:r w:rsidRPr="00C2021A">
        <w:rPr>
          <w:rFonts w:cs="Arial"/>
          <w:color w:val="auto"/>
        </w:rPr>
        <w:t>As biosensing research is rapidly advanc</w:t>
      </w:r>
      <w:r w:rsidR="00E21F73" w:rsidRPr="00C2021A">
        <w:rPr>
          <w:rFonts w:cs="Arial"/>
          <w:color w:val="auto"/>
        </w:rPr>
        <w:t>ing</w:t>
      </w:r>
      <w:r w:rsidRPr="00C2021A">
        <w:rPr>
          <w:rFonts w:cs="Arial"/>
          <w:color w:val="auto"/>
        </w:rPr>
        <w:t xml:space="preserve"> due to significant developments in materials, chemistry, and electronics, researchers strive to build cutting-edge biomedical devices capable of detecting health-monitoring biomarkers with high sensitivity and specificity. Biosensors using nanomaterials are highly promising because of the wide detection range, fast response time, system miniaturization, and enhanced sensitivity. In the recent development of biosensors and electronics, graphene has rapidly gained popularity due to its superior electrical, biochemical, and mechanical properties. For biomarker detection, human saliva offers easy access with a large variety of analytes, </w:t>
      </w:r>
      <w:r w:rsidR="00E21F73" w:rsidRPr="00C2021A">
        <w:rPr>
          <w:rFonts w:cs="Arial"/>
          <w:color w:val="auto"/>
        </w:rPr>
        <w:t>making</w:t>
      </w:r>
      <w:r w:rsidRPr="00C2021A">
        <w:rPr>
          <w:rFonts w:cs="Arial"/>
          <w:color w:val="auto"/>
        </w:rPr>
        <w:t xml:space="preserve"> it a promising candidate for its use in point-of-care (POC) devices. Here, we report a comprehensive review that summarizes the most recent graphene-based </w:t>
      </w:r>
      <w:proofErr w:type="spellStart"/>
      <w:r w:rsidRPr="00C2021A">
        <w:rPr>
          <w:rFonts w:cs="Arial"/>
          <w:color w:val="auto"/>
        </w:rPr>
        <w:t>nanobiosensors</w:t>
      </w:r>
      <w:proofErr w:type="spellEnd"/>
      <w:r w:rsidRPr="00C2021A">
        <w:rPr>
          <w:rFonts w:cs="Arial"/>
          <w:color w:val="auto"/>
        </w:rPr>
        <w:t xml:space="preserve"> and oral bioelectronics for salivary biomarker detection. We discuss the details of structural designs of graphene electronics, use cases of salivary biomarkers, the performance of existing sensors, and applications in health monitoring. </w:t>
      </w:r>
      <w:r w:rsidR="007B29A7">
        <w:rPr>
          <w:rFonts w:cs="Arial"/>
          <w:color w:val="auto"/>
        </w:rPr>
        <w:t>This review also</w:t>
      </w:r>
      <w:r w:rsidRPr="00C2021A">
        <w:rPr>
          <w:rFonts w:cs="Arial"/>
          <w:color w:val="auto"/>
        </w:rPr>
        <w:t xml:space="preserve"> describes current challenges in materials and systems and future directions of the graphene bioelectronics for clinical POC applications. Collectively, the main contribution of this paper is to deliver an extensive review of the graphene-enabled biosensors and oral electronics and their successful applications in human salivary biomarker detection. </w:t>
      </w:r>
    </w:p>
    <w:p w14:paraId="73BB6989" w14:textId="77777777" w:rsidR="00154DB5" w:rsidRPr="00C2021A" w:rsidRDefault="00154DB5" w:rsidP="00041DBE">
      <w:pPr>
        <w:spacing w:after="0" w:line="240" w:lineRule="auto"/>
        <w:jc w:val="both"/>
        <w:rPr>
          <w:rFonts w:cs="Arial"/>
          <w:color w:val="auto"/>
        </w:rPr>
      </w:pPr>
    </w:p>
    <w:p w14:paraId="77CC9AD6" w14:textId="77777777" w:rsidR="00154DB5" w:rsidRPr="00C2021A" w:rsidRDefault="00154DB5" w:rsidP="00041DBE">
      <w:pPr>
        <w:spacing w:after="0" w:line="240" w:lineRule="auto"/>
        <w:jc w:val="both"/>
        <w:rPr>
          <w:rFonts w:cs="Arial"/>
          <w:color w:val="auto"/>
        </w:rPr>
      </w:pPr>
    </w:p>
    <w:p w14:paraId="7F5CFD7F" w14:textId="77777777" w:rsidR="00154DB5" w:rsidRPr="00C2021A" w:rsidRDefault="00154DB5" w:rsidP="00041DBE">
      <w:pPr>
        <w:spacing w:after="0" w:line="240" w:lineRule="auto"/>
        <w:jc w:val="both"/>
        <w:rPr>
          <w:rFonts w:cs="Arial"/>
          <w:color w:val="auto"/>
        </w:rPr>
      </w:pPr>
      <w:r w:rsidRPr="00C2021A">
        <w:rPr>
          <w:rFonts w:cs="Arial"/>
          <w:b/>
          <w:bCs/>
          <w:color w:val="auto"/>
        </w:rPr>
        <w:t xml:space="preserve">Keywords: </w:t>
      </w:r>
      <w:r w:rsidRPr="00C2021A">
        <w:rPr>
          <w:rFonts w:cs="Arial"/>
          <w:color w:val="auto"/>
        </w:rPr>
        <w:t xml:space="preserve">Graphene, Salivary biomarkers, </w:t>
      </w:r>
      <w:proofErr w:type="spellStart"/>
      <w:r w:rsidRPr="00C2021A">
        <w:rPr>
          <w:rFonts w:cs="Arial"/>
          <w:color w:val="auto"/>
        </w:rPr>
        <w:t>Nanobiosensors</w:t>
      </w:r>
      <w:proofErr w:type="spellEnd"/>
      <w:r w:rsidRPr="00C2021A">
        <w:rPr>
          <w:rFonts w:cs="Arial"/>
          <w:color w:val="auto"/>
        </w:rPr>
        <w:t>, Bioelectronics, and Wearables</w:t>
      </w:r>
    </w:p>
    <w:p w14:paraId="2D75F7C9" w14:textId="77777777" w:rsidR="00154DB5" w:rsidRPr="00C2021A" w:rsidRDefault="00154DB5" w:rsidP="00041DBE">
      <w:pPr>
        <w:spacing w:after="0" w:line="240" w:lineRule="auto"/>
        <w:jc w:val="both"/>
        <w:rPr>
          <w:rFonts w:cs="Arial"/>
          <w:color w:val="auto"/>
        </w:rPr>
      </w:pPr>
    </w:p>
    <w:p w14:paraId="21AF9D3B" w14:textId="77777777" w:rsidR="00154DB5" w:rsidRPr="00C2021A" w:rsidRDefault="00154DB5" w:rsidP="00041DBE">
      <w:pPr>
        <w:spacing w:after="0" w:line="240" w:lineRule="auto"/>
        <w:jc w:val="both"/>
        <w:rPr>
          <w:rFonts w:cs="Arial"/>
          <w:color w:val="auto"/>
        </w:rPr>
      </w:pPr>
    </w:p>
    <w:p w14:paraId="692FB7A6"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b/>
          <w:bCs/>
          <w:color w:val="auto"/>
        </w:rPr>
      </w:pPr>
      <w:r w:rsidRPr="00C2021A">
        <w:rPr>
          <w:rFonts w:cs="Arial"/>
          <w:b/>
          <w:bCs/>
          <w:color w:val="auto"/>
        </w:rPr>
        <w:br w:type="page"/>
      </w:r>
    </w:p>
    <w:p w14:paraId="66A545A0" w14:textId="77777777" w:rsidR="00154DB5" w:rsidRPr="00C2021A" w:rsidRDefault="00154DB5" w:rsidP="002648D3">
      <w:pPr>
        <w:spacing w:after="0" w:line="240" w:lineRule="auto"/>
        <w:jc w:val="both"/>
        <w:rPr>
          <w:rFonts w:cs="Arial"/>
          <w:b/>
          <w:bCs/>
          <w:color w:val="auto"/>
        </w:rPr>
      </w:pPr>
      <w:r w:rsidRPr="00C2021A">
        <w:rPr>
          <w:rFonts w:cs="Arial"/>
          <w:b/>
          <w:bCs/>
          <w:color w:val="auto"/>
        </w:rPr>
        <w:lastRenderedPageBreak/>
        <w:t>1. Introduction</w:t>
      </w:r>
    </w:p>
    <w:p w14:paraId="6D6D01A9" w14:textId="47BB9CB0" w:rsidR="00154DB5" w:rsidRPr="00C2021A" w:rsidRDefault="00154DB5" w:rsidP="00BD453F">
      <w:pPr>
        <w:spacing w:after="0" w:line="240" w:lineRule="auto"/>
        <w:jc w:val="both"/>
        <w:rPr>
          <w:rFonts w:cs="Arial"/>
          <w:color w:val="auto"/>
        </w:rPr>
      </w:pPr>
      <w:r w:rsidRPr="00C2021A">
        <w:rPr>
          <w:rFonts w:cs="Arial"/>
          <w:color w:val="auto"/>
        </w:rPr>
        <w:t xml:space="preserve">Early disease diagnosis significantly reduces the mortality rates while accelerating </w:t>
      </w:r>
      <w:r w:rsidR="007B29A7">
        <w:rPr>
          <w:rFonts w:cs="Arial"/>
          <w:color w:val="auto"/>
        </w:rPr>
        <w:t>patients' recovery time</w:t>
      </w:r>
      <w:r w:rsidRPr="00C2021A">
        <w:rPr>
          <w:rFonts w:cs="Arial"/>
          <w:color w:val="auto"/>
        </w:rPr>
        <w:t xml:space="preserve"> with a timely, customized treatment </w:t>
      </w:r>
      <w:r w:rsidRPr="00C2021A">
        <w:rPr>
          <w:rFonts w:cs="Arial"/>
          <w:noProof/>
          <w:color w:val="auto"/>
        </w:rPr>
        <w:t>(Siegel et al. 2017)</w:t>
      </w:r>
      <w:r w:rsidRPr="00C2021A">
        <w:rPr>
          <w:rFonts w:cs="Arial"/>
          <w:color w:val="auto"/>
        </w:rPr>
        <w:t xml:space="preserve">. </w:t>
      </w:r>
      <w:bookmarkStart w:id="1" w:name="_Hlk51001792"/>
      <w:r w:rsidRPr="00C2021A">
        <w:rPr>
          <w:rFonts w:cs="Arial"/>
          <w:color w:val="auto"/>
        </w:rPr>
        <w:t xml:space="preserve">Recent data shows </w:t>
      </w:r>
      <w:r w:rsidR="00566446" w:rsidRPr="00C2021A">
        <w:rPr>
          <w:rFonts w:cs="Arial"/>
          <w:color w:val="auto"/>
        </w:rPr>
        <w:t xml:space="preserve">that </w:t>
      </w:r>
      <w:r w:rsidRPr="00C2021A">
        <w:rPr>
          <w:rFonts w:cs="Arial"/>
          <w:color w:val="auto"/>
        </w:rPr>
        <w:t xml:space="preserve">the </w:t>
      </w:r>
      <w:r w:rsidR="007B29A7">
        <w:rPr>
          <w:rFonts w:cs="Arial"/>
          <w:color w:val="auto"/>
        </w:rPr>
        <w:t>US's cancer death rate</w:t>
      </w:r>
      <w:r w:rsidRPr="00C2021A">
        <w:rPr>
          <w:rFonts w:cs="Arial"/>
          <w:color w:val="auto"/>
        </w:rPr>
        <w:t xml:space="preserve"> has fallen 27% between 1991 and 2016</w:t>
      </w:r>
      <w:r w:rsidR="00566446" w:rsidRPr="00C2021A">
        <w:rPr>
          <w:rFonts w:cs="Arial"/>
          <w:color w:val="auto"/>
        </w:rPr>
        <w:t xml:space="preserve"> because of the enabled </w:t>
      </w:r>
      <w:r w:rsidRPr="00C2021A">
        <w:rPr>
          <w:rFonts w:cs="Arial"/>
          <w:color w:val="auto"/>
        </w:rPr>
        <w:t xml:space="preserve">early detection </w:t>
      </w:r>
      <w:r w:rsidRPr="00C2021A">
        <w:rPr>
          <w:rFonts w:cs="Arial"/>
          <w:noProof/>
          <w:color w:val="auto"/>
        </w:rPr>
        <w:t>(Siegel et al. 2019)</w:t>
      </w:r>
      <w:bookmarkEnd w:id="1"/>
      <w:r w:rsidRPr="00C2021A">
        <w:rPr>
          <w:rFonts w:cs="Arial"/>
          <w:color w:val="auto"/>
        </w:rPr>
        <w:t>.  As a result, it is of utmost importance to find viable solutions that can provide rapid and affordable diagnosis for t</w:t>
      </w:r>
      <w:r w:rsidR="007B29A7">
        <w:rPr>
          <w:rFonts w:cs="Arial"/>
          <w:color w:val="auto"/>
        </w:rPr>
        <w:t>reating</w:t>
      </w:r>
      <w:r w:rsidRPr="00C2021A">
        <w:rPr>
          <w:rFonts w:cs="Arial"/>
          <w:color w:val="auto"/>
        </w:rPr>
        <w:t xml:space="preserve"> these diseases. There has been increasing momentum in the search for such solutions. Recent advances in materials science, electronics, and medical technology are paving the way </w:t>
      </w:r>
      <w:r w:rsidR="007B29A7">
        <w:rPr>
          <w:rFonts w:cs="Arial"/>
          <w:color w:val="auto"/>
        </w:rPr>
        <w:t>to develop</w:t>
      </w:r>
      <w:r w:rsidRPr="00C2021A">
        <w:rPr>
          <w:rFonts w:cs="Arial"/>
          <w:color w:val="auto"/>
        </w:rPr>
        <w:t xml:space="preserve"> novel disease diagnostic devices </w:t>
      </w:r>
      <w:r w:rsidRPr="00C2021A">
        <w:rPr>
          <w:rFonts w:cs="Arial"/>
          <w:noProof/>
          <w:color w:val="auto"/>
        </w:rPr>
        <w:t>(Botta et al. 2016; Dai et al. 2015)</w:t>
      </w:r>
      <w:r w:rsidRPr="00C2021A">
        <w:rPr>
          <w:rFonts w:cs="Arial"/>
          <w:color w:val="auto"/>
        </w:rPr>
        <w:t xml:space="preserve">. In this context, wearable sensors that can monitor the patient’s condition are gaining increasing interest due to their non-invasive nature, ease of remote operation, portability, and real-time monitoring capability. Recent articles summarize the unique advantages, essential materials, and critical functions of wearable biosensors and bioelectronics </w:t>
      </w:r>
      <w:r w:rsidRPr="00C2021A">
        <w:rPr>
          <w:rFonts w:cs="Arial"/>
          <w:noProof/>
          <w:color w:val="auto"/>
        </w:rPr>
        <w:t>(Bandodkar et al. 2016; Kim et al. 2019; Lim et al. 2020; Ray et al. 2019)</w:t>
      </w:r>
      <w:r w:rsidRPr="00C2021A">
        <w:rPr>
          <w:rFonts w:cs="Arial"/>
          <w:color w:val="auto"/>
        </w:rPr>
        <w:t xml:space="preserve">. To enhance </w:t>
      </w:r>
      <w:r w:rsidR="007B29A7">
        <w:rPr>
          <w:rFonts w:cs="Arial"/>
          <w:color w:val="auto"/>
        </w:rPr>
        <w:t>biosensors' performance</w:t>
      </w:r>
      <w:r w:rsidRPr="00C2021A">
        <w:rPr>
          <w:rFonts w:cs="Arial"/>
          <w:color w:val="auto"/>
        </w:rPr>
        <w:t xml:space="preserve">, many different types of nanomaterials have been used </w:t>
      </w:r>
      <w:r w:rsidRPr="00C2021A">
        <w:rPr>
          <w:rFonts w:cs="Arial"/>
          <w:noProof/>
          <w:color w:val="auto"/>
        </w:rPr>
        <w:t>(Herbert et al. 2018; Mishra et al. 2016; Park et al. 2020)</w:t>
      </w:r>
      <w:r w:rsidRPr="00C2021A">
        <w:rPr>
          <w:rFonts w:cs="Arial"/>
          <w:color w:val="auto"/>
        </w:rPr>
        <w:t xml:space="preserve">. Among them, graphene has attracted </w:t>
      </w:r>
      <w:r w:rsidR="007B29A7">
        <w:rPr>
          <w:rFonts w:cs="Arial"/>
          <w:color w:val="auto"/>
        </w:rPr>
        <w:t>significan</w:t>
      </w:r>
      <w:r w:rsidRPr="00C2021A">
        <w:rPr>
          <w:rFonts w:cs="Arial"/>
          <w:color w:val="auto"/>
        </w:rPr>
        <w:t xml:space="preserve">t interest due to its superior mechanical and electrical properties. The antimicrobial properties of graphene have been reported in many research articles </w:t>
      </w:r>
      <w:r w:rsidRPr="00C2021A">
        <w:rPr>
          <w:rFonts w:cs="Arial"/>
          <w:noProof/>
          <w:color w:val="auto"/>
        </w:rPr>
        <w:t>(Akhavan and Ghaderi 2010; Jastrzębska et al. 2012)</w:t>
      </w:r>
      <w:r w:rsidR="007B29A7">
        <w:rPr>
          <w:rFonts w:cs="Arial"/>
          <w:color w:val="auto"/>
        </w:rPr>
        <w:t xml:space="preserve"> and</w:t>
      </w:r>
      <w:r w:rsidRPr="00C2021A">
        <w:rPr>
          <w:rFonts w:cs="Arial"/>
          <w:color w:val="auto"/>
        </w:rPr>
        <w:t xml:space="preserve"> its biocompatibility in wearable applications </w:t>
      </w:r>
      <w:r w:rsidRPr="00C2021A">
        <w:rPr>
          <w:rFonts w:cs="Arial"/>
          <w:noProof/>
          <w:color w:val="auto"/>
        </w:rPr>
        <w:t>(Kwon et al. 2020)</w:t>
      </w:r>
      <w:r w:rsidRPr="00C2021A">
        <w:rPr>
          <w:rFonts w:cs="Arial"/>
          <w:color w:val="auto"/>
        </w:rPr>
        <w:t xml:space="preserve">. The versatility of graphene has made it a perfect candidate </w:t>
      </w:r>
      <w:r w:rsidR="007B29A7">
        <w:rPr>
          <w:rFonts w:cs="Arial"/>
          <w:color w:val="auto"/>
        </w:rPr>
        <w:t>for</w:t>
      </w:r>
      <w:r w:rsidRPr="00C2021A">
        <w:rPr>
          <w:rFonts w:cs="Arial"/>
          <w:color w:val="auto"/>
        </w:rPr>
        <w:t xml:space="preserve"> electrochemical sensors </w:t>
      </w:r>
      <w:r w:rsidRPr="00C2021A">
        <w:rPr>
          <w:rFonts w:cs="Arial"/>
          <w:noProof/>
          <w:color w:val="auto"/>
        </w:rPr>
        <w:t>(Parate et al. 2020; Torrente-Rodríguez et al. 2020)</w:t>
      </w:r>
      <w:r w:rsidRPr="00C2021A">
        <w:rPr>
          <w:rFonts w:cs="Arial"/>
          <w:color w:val="auto"/>
        </w:rPr>
        <w:t xml:space="preserve"> or electronic sensors </w:t>
      </w:r>
      <w:r w:rsidRPr="00C2021A">
        <w:rPr>
          <w:rFonts w:cs="Arial"/>
          <w:noProof/>
          <w:color w:val="auto"/>
        </w:rPr>
        <w:t>(Gao et al. 2020; Selvarajan et al. 2020)</w:t>
      </w:r>
      <w:r w:rsidRPr="00C2021A">
        <w:rPr>
          <w:rFonts w:cs="Arial"/>
          <w:color w:val="auto"/>
        </w:rPr>
        <w:t xml:space="preserve">. </w:t>
      </w:r>
    </w:p>
    <w:p w14:paraId="09E597E0" w14:textId="6CFC3817" w:rsidR="00154DB5" w:rsidRPr="00C2021A" w:rsidRDefault="00154DB5" w:rsidP="00BD453F">
      <w:pPr>
        <w:spacing w:after="0" w:line="240" w:lineRule="auto"/>
        <w:ind w:firstLine="720"/>
        <w:jc w:val="both"/>
        <w:rPr>
          <w:rFonts w:cs="Arial"/>
          <w:color w:val="auto"/>
        </w:rPr>
      </w:pPr>
      <w:r w:rsidRPr="00C2021A">
        <w:rPr>
          <w:rFonts w:cs="Arial"/>
          <w:color w:val="auto"/>
        </w:rPr>
        <w:t xml:space="preserve">Our body continuously provides natural fluids that can be used </w:t>
      </w:r>
      <w:r w:rsidR="007B29A7">
        <w:rPr>
          <w:rFonts w:cs="Arial"/>
          <w:color w:val="auto"/>
        </w:rPr>
        <w:t>to detect</w:t>
      </w:r>
      <w:r w:rsidRPr="00C2021A">
        <w:rPr>
          <w:rFonts w:cs="Arial"/>
          <w:color w:val="auto"/>
        </w:rPr>
        <w:t xml:space="preserve"> specific analytes in different locations, including serum, whole blood, saliva, tears, sweat, and urine. The exploitation of graphene-based biosensors for body fluid analysis has already produced exciting results for </w:t>
      </w:r>
      <w:r w:rsidR="007B29A7">
        <w:rPr>
          <w:rFonts w:cs="Arial"/>
          <w:color w:val="auto"/>
        </w:rPr>
        <w:t>screening disease-related biomarkers and monitoring</w:t>
      </w:r>
      <w:r w:rsidRPr="00C2021A">
        <w:rPr>
          <w:rFonts w:cs="Arial"/>
          <w:color w:val="auto"/>
        </w:rPr>
        <w:t xml:space="preserve"> human health </w:t>
      </w:r>
      <w:r w:rsidRPr="00C2021A">
        <w:rPr>
          <w:rFonts w:cs="Arial"/>
          <w:noProof/>
          <w:color w:val="auto"/>
        </w:rPr>
        <w:t>(Albishri and Abd El-Hady 2019; Janyasupab et al. 2019; Torrente-Rodríguez et al. 2020; Zou et al. 2020)</w:t>
      </w:r>
      <w:r w:rsidRPr="00C2021A">
        <w:rPr>
          <w:rFonts w:cs="Arial"/>
          <w:color w:val="auto"/>
        </w:rPr>
        <w:t xml:space="preserve">. </w:t>
      </w:r>
      <w:r w:rsidR="007B29A7">
        <w:rPr>
          <w:rFonts w:cs="Arial"/>
          <w:color w:val="auto"/>
        </w:rPr>
        <w:t>The saliva represents a highly promising choice among the body fluids</w:t>
      </w:r>
      <w:r w:rsidRPr="00C2021A">
        <w:rPr>
          <w:rFonts w:cs="Arial"/>
          <w:color w:val="auto"/>
        </w:rPr>
        <w:t xml:space="preserve"> due to its easy accessibility, non-invasiveness of its collection, and its analyte-rich contents </w:t>
      </w:r>
      <w:r w:rsidRPr="00C2021A">
        <w:rPr>
          <w:rFonts w:cs="Arial"/>
          <w:noProof/>
          <w:color w:val="auto"/>
        </w:rPr>
        <w:t>(Eftekhari et al. 2019; Gug et al. 2019)</w:t>
      </w:r>
      <w:r w:rsidRPr="00C2021A">
        <w:rPr>
          <w:rFonts w:cs="Arial"/>
          <w:color w:val="auto"/>
        </w:rPr>
        <w:t xml:space="preserve">. Moreover, it has been proved that out of about 2,000 proteins contained in saliva, 26% of those are also shared with blood, demonstrating their close correlation </w:t>
      </w:r>
      <w:r w:rsidRPr="00C2021A">
        <w:rPr>
          <w:rFonts w:cs="Arial"/>
          <w:noProof/>
          <w:color w:val="auto"/>
        </w:rPr>
        <w:t>(Goswami et al. 2015; Javaid et al. 2016)</w:t>
      </w:r>
      <w:r w:rsidRPr="00C2021A">
        <w:rPr>
          <w:rFonts w:cs="Arial"/>
          <w:color w:val="auto"/>
        </w:rPr>
        <w:t xml:space="preserve">. </w:t>
      </w:r>
      <w:bookmarkStart w:id="2" w:name="_Hlk51194928"/>
      <w:r w:rsidRPr="00C2021A">
        <w:rPr>
          <w:rFonts w:cs="Arial"/>
          <w:color w:val="auto"/>
        </w:rPr>
        <w:t xml:space="preserve">However, while saliva possesses many advantages over other biofluids, it is still susceptible to intra-subject variability in composition and </w:t>
      </w:r>
      <w:r w:rsidR="00566446" w:rsidRPr="00C2021A">
        <w:rPr>
          <w:rFonts w:cs="Arial"/>
          <w:color w:val="auto"/>
        </w:rPr>
        <w:t xml:space="preserve">the </w:t>
      </w:r>
      <w:r w:rsidRPr="00C2021A">
        <w:rPr>
          <w:rFonts w:cs="Arial"/>
          <w:color w:val="auto"/>
        </w:rPr>
        <w:t xml:space="preserve">lower concentration of the target analytes </w:t>
      </w:r>
      <w:r w:rsidR="00566446" w:rsidRPr="00C2021A">
        <w:rPr>
          <w:rFonts w:cs="Arial"/>
          <w:color w:val="auto"/>
        </w:rPr>
        <w:t>than</w:t>
      </w:r>
      <w:r w:rsidRPr="00C2021A">
        <w:rPr>
          <w:rFonts w:cs="Arial"/>
          <w:color w:val="auto"/>
        </w:rPr>
        <w:t xml:space="preserve"> whole blood </w:t>
      </w:r>
      <w:r w:rsidRPr="00C2021A">
        <w:rPr>
          <w:rFonts w:cs="Arial"/>
          <w:noProof/>
          <w:color w:val="auto"/>
        </w:rPr>
        <w:t>(Franco-Martínez and Castillo-Felipe 2020)</w:t>
      </w:r>
      <w:r w:rsidRPr="00C2021A">
        <w:rPr>
          <w:rFonts w:cs="Arial"/>
          <w:color w:val="auto"/>
        </w:rPr>
        <w:t>.</w:t>
      </w:r>
    </w:p>
    <w:bookmarkEnd w:id="2"/>
    <w:p w14:paraId="48001A02" w14:textId="77FFC5EE" w:rsidR="00154DB5" w:rsidRPr="00C2021A" w:rsidRDefault="00154DB5" w:rsidP="00BD453F">
      <w:pPr>
        <w:spacing w:after="0" w:line="240" w:lineRule="auto"/>
        <w:ind w:firstLine="720"/>
        <w:jc w:val="both"/>
        <w:rPr>
          <w:rFonts w:cs="Arial"/>
          <w:color w:val="auto"/>
        </w:rPr>
      </w:pPr>
      <w:r w:rsidRPr="00C2021A">
        <w:rPr>
          <w:rFonts w:cs="Arial"/>
          <w:color w:val="auto"/>
        </w:rPr>
        <w:t xml:space="preserve">Although </w:t>
      </w:r>
      <w:r w:rsidR="007B29A7">
        <w:rPr>
          <w:rFonts w:cs="Arial"/>
          <w:color w:val="auto"/>
        </w:rPr>
        <w:t>many published articles</w:t>
      </w:r>
      <w:r w:rsidRPr="00C2021A">
        <w:rPr>
          <w:rFonts w:cs="Arial"/>
          <w:color w:val="auto"/>
        </w:rPr>
        <w:t xml:space="preserve"> study graphene as biosensors, none of the existing papers summarizes the capability of graphene </w:t>
      </w:r>
      <w:proofErr w:type="spellStart"/>
      <w:r w:rsidRPr="00C2021A">
        <w:rPr>
          <w:rFonts w:cs="Arial"/>
          <w:color w:val="auto"/>
        </w:rPr>
        <w:t>nanobiosensors</w:t>
      </w:r>
      <w:proofErr w:type="spellEnd"/>
      <w:r w:rsidRPr="00C2021A">
        <w:rPr>
          <w:rFonts w:cs="Arial"/>
          <w:color w:val="auto"/>
        </w:rPr>
        <w:t xml:space="preserve"> for the detection of various types of human salivary biomarkers. </w:t>
      </w:r>
    </w:p>
    <w:p w14:paraId="46F289F4" w14:textId="734D9BA3" w:rsidR="00154DB5" w:rsidRPr="00C2021A" w:rsidRDefault="00154DB5" w:rsidP="0084373B">
      <w:pPr>
        <w:spacing w:after="0" w:line="240" w:lineRule="auto"/>
        <w:ind w:firstLine="720"/>
        <w:jc w:val="both"/>
        <w:rPr>
          <w:rFonts w:cs="Arial"/>
          <w:color w:val="auto"/>
        </w:rPr>
      </w:pPr>
      <w:r w:rsidRPr="00C2021A">
        <w:rPr>
          <w:rFonts w:cs="Arial"/>
          <w:color w:val="auto"/>
        </w:rPr>
        <w:t xml:space="preserve">Here, this review reports a comprehensive summary of graphene-based biosensors and bioelectronics that have been utilized for the investigation of human saliva samples. We introduce the </w:t>
      </w:r>
      <w:r w:rsidR="007B29A7">
        <w:rPr>
          <w:rFonts w:cs="Arial"/>
          <w:color w:val="auto"/>
        </w:rPr>
        <w:t>essential</w:t>
      </w:r>
      <w:r w:rsidRPr="00C2021A">
        <w:rPr>
          <w:rFonts w:cs="Arial"/>
          <w:color w:val="auto"/>
        </w:rPr>
        <w:t xml:space="preserve"> properties of graphene and its derivatives and the well-characterized production of methods of those materials. The second section is entirely dedicated to the summary of saliva biomarkers for rapid disease diagnosis. Afterward, we review various types of graphene-based biosensors </w:t>
      </w:r>
      <w:r w:rsidR="007B29A7">
        <w:rPr>
          <w:rFonts w:cs="Arial"/>
          <w:color w:val="auto"/>
        </w:rPr>
        <w:t>to detect</w:t>
      </w:r>
      <w:r w:rsidRPr="00C2021A">
        <w:rPr>
          <w:rFonts w:cs="Arial"/>
          <w:color w:val="auto"/>
        </w:rPr>
        <w:t xml:space="preserve"> salivary biomarkers, including viruses, bacteria, cancer, drugs, and health-indicating factors. </w:t>
      </w:r>
      <w:r w:rsidRPr="00C2021A">
        <w:rPr>
          <w:rFonts w:cs="Arial"/>
          <w:b/>
          <w:color w:val="auto"/>
        </w:rPr>
        <w:t>Figure 1</w:t>
      </w:r>
      <w:r w:rsidRPr="00C2021A">
        <w:rPr>
          <w:rFonts w:cs="Arial"/>
          <w:color w:val="auto"/>
        </w:rPr>
        <w:t xml:space="preserve"> captures the overview of the advantages of the graphene biosensors and their applications for targeting multiple biomarkers. We also discuss the existing challenges that need to be overcome to translate this technology into low-cost, miniaturized wearable POC devices. </w:t>
      </w:r>
    </w:p>
    <w:p w14:paraId="61A33D90" w14:textId="77777777" w:rsidR="00154DB5" w:rsidRPr="00C2021A" w:rsidRDefault="00154DB5" w:rsidP="00041DBE">
      <w:pPr>
        <w:spacing w:after="0" w:line="240" w:lineRule="auto"/>
        <w:jc w:val="both"/>
        <w:rPr>
          <w:rFonts w:cs="Arial"/>
          <w:color w:val="auto"/>
        </w:rPr>
      </w:pPr>
    </w:p>
    <w:p w14:paraId="4E7DBB0B" w14:textId="77777777" w:rsidR="00154DB5" w:rsidRPr="00C2021A" w:rsidRDefault="00154DB5" w:rsidP="00BF5098">
      <w:pPr>
        <w:spacing w:after="0" w:line="240" w:lineRule="auto"/>
        <w:jc w:val="both"/>
        <w:rPr>
          <w:rFonts w:cs="Arial"/>
          <w:b/>
          <w:bCs/>
          <w:color w:val="auto"/>
        </w:rPr>
      </w:pPr>
      <w:r w:rsidRPr="00C2021A">
        <w:rPr>
          <w:rFonts w:cs="Arial"/>
          <w:b/>
          <w:bCs/>
          <w:color w:val="auto"/>
        </w:rPr>
        <w:t>2. Graphene-based biosensors</w:t>
      </w:r>
    </w:p>
    <w:p w14:paraId="487D66E4" w14:textId="77777777" w:rsidR="00154DB5" w:rsidRPr="00C2021A" w:rsidRDefault="00154DB5" w:rsidP="00BF5098">
      <w:pPr>
        <w:spacing w:after="0" w:line="240" w:lineRule="auto"/>
        <w:jc w:val="both"/>
        <w:rPr>
          <w:rFonts w:cs="Arial"/>
          <w:b/>
          <w:i/>
          <w:color w:val="auto"/>
        </w:rPr>
      </w:pPr>
      <w:r w:rsidRPr="00C2021A">
        <w:rPr>
          <w:rFonts w:cs="Arial"/>
          <w:b/>
          <w:i/>
          <w:color w:val="auto"/>
        </w:rPr>
        <w:t>2.1. Key properties of graphene and graphene derivatives</w:t>
      </w:r>
    </w:p>
    <w:p w14:paraId="0DE12720" w14:textId="0C239FF4" w:rsidR="00154DB5" w:rsidRPr="00C2021A" w:rsidRDefault="00154DB5" w:rsidP="00041DBE">
      <w:pPr>
        <w:spacing w:after="0" w:line="240" w:lineRule="auto"/>
        <w:jc w:val="both"/>
        <w:rPr>
          <w:rFonts w:cs="Arial"/>
          <w:color w:val="auto"/>
        </w:rPr>
      </w:pPr>
      <w:r w:rsidRPr="00C2021A">
        <w:rPr>
          <w:rFonts w:cs="Arial"/>
          <w:color w:val="auto"/>
        </w:rPr>
        <w:t xml:space="preserve">Graphene is one of the most attractive 2D nanomaterials for the development of biosensors and bioelectronics due to its superior physical, chemical, and structural properties </w:t>
      </w:r>
      <w:r w:rsidRPr="00C2021A">
        <w:rPr>
          <w:rFonts w:cs="Arial"/>
          <w:noProof/>
          <w:color w:val="auto"/>
        </w:rPr>
        <w:t>(Ferrari et al. 2015; Liu et al. 2014)</w:t>
      </w:r>
      <w:r w:rsidRPr="00C2021A">
        <w:rPr>
          <w:rFonts w:cs="Arial"/>
          <w:color w:val="auto"/>
        </w:rPr>
        <w:t xml:space="preserve">. </w:t>
      </w:r>
      <w:r w:rsidRPr="00C2021A">
        <w:rPr>
          <w:rFonts w:cs="Arial"/>
          <w:b/>
          <w:color w:val="auto"/>
        </w:rPr>
        <w:t>Table 1</w:t>
      </w:r>
      <w:r w:rsidRPr="00C2021A">
        <w:rPr>
          <w:rFonts w:cs="Arial"/>
          <w:color w:val="auto"/>
        </w:rPr>
        <w:t xml:space="preserve"> summarizes the key properties of graphene and its derivatives for the </w:t>
      </w:r>
      <w:r w:rsidRPr="00C2021A">
        <w:rPr>
          <w:rFonts w:cs="Arial"/>
          <w:color w:val="auto"/>
        </w:rPr>
        <w:lastRenderedPageBreak/>
        <w:t>development of high-performance biosensors. Graphene consists of a layer of sp</w:t>
      </w:r>
      <w:r w:rsidRPr="00C2021A">
        <w:rPr>
          <w:rFonts w:cs="Arial"/>
          <w:color w:val="auto"/>
          <w:vertAlign w:val="superscript"/>
        </w:rPr>
        <w:t>2</w:t>
      </w:r>
      <w:r w:rsidRPr="00C2021A">
        <w:rPr>
          <w:rFonts w:cs="Arial"/>
          <w:color w:val="auto"/>
        </w:rPr>
        <w:t xml:space="preserve"> hybridized carbon atoms arranged in a hexagonal network </w:t>
      </w:r>
      <w:r w:rsidRPr="00C2021A">
        <w:rPr>
          <w:rFonts w:cs="Arial"/>
          <w:noProof/>
          <w:color w:val="auto"/>
        </w:rPr>
        <w:t>(Burnett et al. 2012; Geim and Novoselov 2007)</w:t>
      </w:r>
      <w:r w:rsidRPr="00C2021A">
        <w:rPr>
          <w:rFonts w:cs="Arial"/>
          <w:color w:val="auto"/>
        </w:rPr>
        <w:t xml:space="preserve">. The thickness of each graphene layer is around 0.35 nm, and the length of the covalent bonds between carbon atoms is 1.42 Å </w:t>
      </w:r>
      <w:r w:rsidRPr="00C2021A">
        <w:rPr>
          <w:rFonts w:cs="Arial"/>
          <w:noProof/>
          <w:color w:val="auto"/>
        </w:rPr>
        <w:t>(Castro Neto et al. 2009)</w:t>
      </w:r>
      <w:r w:rsidRPr="00C2021A">
        <w:rPr>
          <w:rFonts w:cs="Arial"/>
          <w:color w:val="auto"/>
        </w:rPr>
        <w:t xml:space="preserve">. Graphite is made up of several graphene layers held together by Van der Waal forces </w:t>
      </w:r>
      <w:r w:rsidRPr="00C2021A">
        <w:rPr>
          <w:rFonts w:cs="Arial"/>
          <w:noProof/>
          <w:color w:val="auto"/>
        </w:rPr>
        <w:t>(Chauhan et al. 2017)</w:t>
      </w:r>
      <w:r w:rsidRPr="00C2021A">
        <w:rPr>
          <w:rFonts w:cs="Arial"/>
          <w:color w:val="auto"/>
        </w:rPr>
        <w:t xml:space="preserve">. Graphene possesses unique electronic properties due to its peculiar band structure. The valence and conduction band of graphene overlap at the Dirac point, consequently displaying both metal and semiconductor features. As a result of its crystal lattice and band structure, graphene has the longest mean free path of among any known nanomaterial, meaning that an electron can travel without scattering, generating minimal heat due to the negligible resistance encountered </w:t>
      </w:r>
      <w:r w:rsidRPr="00C2021A">
        <w:rPr>
          <w:rFonts w:cs="Arial"/>
          <w:noProof/>
          <w:color w:val="auto"/>
        </w:rPr>
        <w:t>(Avouris 2010)</w:t>
      </w:r>
      <w:r w:rsidRPr="00C2021A">
        <w:rPr>
          <w:rFonts w:cs="Arial"/>
          <w:color w:val="auto"/>
        </w:rPr>
        <w:t>. Consequently, it has been reported that graphene has a very high charge carrier mobility of 15,000 cm</w:t>
      </w:r>
      <w:r w:rsidRPr="00C2021A">
        <w:rPr>
          <w:rFonts w:cs="Arial"/>
          <w:color w:val="auto"/>
          <w:vertAlign w:val="superscript"/>
        </w:rPr>
        <w:t>2</w:t>
      </w:r>
      <w:r w:rsidRPr="00C2021A">
        <w:rPr>
          <w:rFonts w:cs="Arial"/>
          <w:color w:val="auto"/>
        </w:rPr>
        <w:t xml:space="preserve">/V∙s at room temperature and </w:t>
      </w:r>
      <w:r w:rsidR="007B29A7">
        <w:rPr>
          <w:rFonts w:cs="Arial"/>
          <w:color w:val="auto"/>
        </w:rPr>
        <w:t>too</w:t>
      </w:r>
      <w:r w:rsidRPr="00C2021A">
        <w:rPr>
          <w:rFonts w:cs="Arial"/>
          <w:color w:val="auto"/>
        </w:rPr>
        <w:t xml:space="preserve"> high intrinsic mobility in a suspended form </w:t>
      </w:r>
      <w:r w:rsidRPr="00C2021A">
        <w:rPr>
          <w:rFonts w:cs="Arial"/>
          <w:noProof/>
          <w:color w:val="auto"/>
        </w:rPr>
        <w:t>(Bolotin et al. 2008; Du et al. 2008; Morozov et al. 2008)</w:t>
      </w:r>
      <w:r w:rsidRPr="00C2021A">
        <w:rPr>
          <w:rFonts w:cs="Arial"/>
          <w:color w:val="auto"/>
        </w:rPr>
        <w:t>. However, the electronic properties of graphene change depending on the number of layers. Since there is no specific standard in the</w:t>
      </w:r>
      <w:r w:rsidR="007B29A7">
        <w:rPr>
          <w:rFonts w:cs="Arial"/>
          <w:color w:val="auto"/>
        </w:rPr>
        <w:t>se materials' terminology</w:t>
      </w:r>
      <w:r w:rsidRPr="00C2021A">
        <w:rPr>
          <w:rFonts w:cs="Arial"/>
          <w:color w:val="auto"/>
        </w:rPr>
        <w:t xml:space="preserve">, a single monolayer of carbon atoms is called graphene, while graphene sheets can contain up to 10 layers. When the number of layers exceeds 10, the resulting material can be referred to as graphite thin films </w:t>
      </w:r>
      <w:r w:rsidRPr="00C2021A">
        <w:rPr>
          <w:rFonts w:cs="Arial"/>
          <w:noProof/>
          <w:color w:val="auto"/>
        </w:rPr>
        <w:t>(Pumera 2013)</w:t>
      </w:r>
      <w:r w:rsidRPr="00C2021A">
        <w:rPr>
          <w:rFonts w:cs="Arial"/>
          <w:color w:val="auto"/>
        </w:rPr>
        <w:t xml:space="preserve">. </w:t>
      </w:r>
    </w:p>
    <w:p w14:paraId="11A6B87D" w14:textId="0455F694" w:rsidR="00154DB5" w:rsidRPr="00C2021A" w:rsidRDefault="00154DB5" w:rsidP="00E6280C">
      <w:pPr>
        <w:spacing w:after="0" w:line="240" w:lineRule="auto"/>
        <w:ind w:firstLine="720"/>
        <w:jc w:val="both"/>
        <w:rPr>
          <w:rFonts w:cs="Arial"/>
          <w:color w:val="auto"/>
        </w:rPr>
      </w:pPr>
      <w:r w:rsidRPr="00C2021A">
        <w:rPr>
          <w:rFonts w:cs="Arial"/>
          <w:color w:val="auto"/>
        </w:rPr>
        <w:t xml:space="preserve">Among the electronic properties of graphene, its high conductivity when biased with voltage </w:t>
      </w:r>
      <w:r w:rsidRPr="00C2021A">
        <w:rPr>
          <w:rFonts w:cs="Arial"/>
          <w:noProof/>
          <w:color w:val="auto"/>
        </w:rPr>
        <w:t>(Novoselov et al. 2004)</w:t>
      </w:r>
      <w:r w:rsidRPr="00C2021A">
        <w:rPr>
          <w:rFonts w:cs="Arial"/>
          <w:color w:val="auto"/>
        </w:rPr>
        <w:t xml:space="preserve"> and its strong ambipolar electric field effect is quite remarkable for its applications in advanced electronic devices </w:t>
      </w:r>
      <w:r w:rsidRPr="00C2021A">
        <w:rPr>
          <w:rFonts w:cs="Arial"/>
          <w:noProof/>
          <w:color w:val="auto"/>
        </w:rPr>
        <w:t>(Geim and Novoselov 2007; Mao et al. 2013; Schedin et al. 2007)</w:t>
      </w:r>
      <w:r w:rsidRPr="00C2021A">
        <w:rPr>
          <w:rFonts w:cs="Arial"/>
          <w:color w:val="auto"/>
        </w:rPr>
        <w:t>. From a mechanical perspective, graphene has an extremely high specific surface area of 2,630 m</w:t>
      </w:r>
      <w:r w:rsidRPr="00C2021A">
        <w:rPr>
          <w:rFonts w:cs="Arial"/>
          <w:color w:val="auto"/>
          <w:vertAlign w:val="superscript"/>
        </w:rPr>
        <w:t>2</w:t>
      </w:r>
      <w:r w:rsidRPr="00C2021A">
        <w:rPr>
          <w:rFonts w:cs="Arial"/>
          <w:color w:val="auto"/>
        </w:rPr>
        <w:t xml:space="preserve">/g </w:t>
      </w:r>
      <w:r w:rsidRPr="00C2021A">
        <w:rPr>
          <w:rFonts w:cs="Arial"/>
          <w:noProof/>
          <w:color w:val="auto"/>
        </w:rPr>
        <w:t>(Lin et al. 2011)</w:t>
      </w:r>
      <w:r w:rsidRPr="00C2021A">
        <w:rPr>
          <w:rFonts w:cs="Arial"/>
          <w:color w:val="auto"/>
        </w:rPr>
        <w:t xml:space="preserve">, a relative tensile strength that is 10-fold that of steel </w:t>
      </w:r>
      <w:r w:rsidRPr="00C2021A">
        <w:rPr>
          <w:rFonts w:cs="Arial"/>
          <w:noProof/>
          <w:color w:val="auto"/>
        </w:rPr>
        <w:t>(Lee et al. 2014)</w:t>
      </w:r>
      <w:r w:rsidRPr="00C2021A">
        <w:rPr>
          <w:rFonts w:cs="Arial"/>
          <w:color w:val="auto"/>
        </w:rPr>
        <w:t xml:space="preserve">, and high elasticity. Graphene also has excellent thermal conductivity, high optical transparency </w:t>
      </w:r>
      <w:r w:rsidRPr="00C2021A">
        <w:rPr>
          <w:rFonts w:cs="Arial"/>
          <w:noProof/>
          <w:color w:val="auto"/>
        </w:rPr>
        <w:t>(Kim et al. 2017a; Lee et al. 2015</w:t>
      </w:r>
      <w:proofErr w:type="gramStart"/>
      <w:r w:rsidRPr="00C2021A">
        <w:rPr>
          <w:rFonts w:cs="Arial"/>
          <w:noProof/>
          <w:color w:val="auto"/>
        </w:rPr>
        <w:t>)</w:t>
      </w:r>
      <w:r w:rsidRPr="00C2021A">
        <w:rPr>
          <w:rFonts w:cs="Arial"/>
          <w:color w:val="auto"/>
        </w:rPr>
        <w:t>, and</w:t>
      </w:r>
      <w:proofErr w:type="gramEnd"/>
      <w:r w:rsidRPr="00C2021A">
        <w:rPr>
          <w:rFonts w:cs="Arial"/>
          <w:color w:val="auto"/>
        </w:rPr>
        <w:t xml:space="preserve"> can be made biocompatible when required </w:t>
      </w:r>
      <w:r w:rsidRPr="00C2021A">
        <w:rPr>
          <w:rFonts w:cs="Arial"/>
          <w:noProof/>
          <w:color w:val="auto"/>
        </w:rPr>
        <w:t>(Akhavan and Ghaderi 2010; Jastrzębska et al. 2012)</w:t>
      </w:r>
      <w:r w:rsidRPr="00C2021A">
        <w:rPr>
          <w:rFonts w:cs="Arial"/>
          <w:color w:val="auto"/>
        </w:rPr>
        <w:t xml:space="preserve">. Moreover, these properties can be modified through chemical doping </w:t>
      </w:r>
      <w:r w:rsidRPr="00C2021A">
        <w:rPr>
          <w:rFonts w:cs="Arial"/>
          <w:noProof/>
          <w:color w:val="auto"/>
        </w:rPr>
        <w:t>(Liu et al. 2011a)</w:t>
      </w:r>
      <w:r w:rsidRPr="00C2021A">
        <w:rPr>
          <w:rFonts w:cs="Arial"/>
          <w:color w:val="auto"/>
        </w:rPr>
        <w:t xml:space="preserve">. One of the most critical features of graphene is its hydrophobic nature </w:t>
      </w:r>
      <w:r w:rsidRPr="00C2021A">
        <w:rPr>
          <w:rFonts w:cs="Arial"/>
          <w:noProof/>
          <w:color w:val="auto"/>
        </w:rPr>
        <w:t>(Georgakilas et al. 2016)</w:t>
      </w:r>
      <w:r w:rsidRPr="00C2021A">
        <w:rPr>
          <w:rFonts w:cs="Arial"/>
          <w:color w:val="auto"/>
        </w:rPr>
        <w:t xml:space="preserve"> because it allows for an easy functionalization, that ultimately affects the electronic properties of the material </w:t>
      </w:r>
      <w:r w:rsidRPr="00C2021A">
        <w:rPr>
          <w:rFonts w:cs="Arial"/>
          <w:noProof/>
          <w:color w:val="auto"/>
        </w:rPr>
        <w:t>(Georgakilas et al. 2012)</w:t>
      </w:r>
      <w:r w:rsidRPr="00C2021A">
        <w:rPr>
          <w:rFonts w:cs="Arial"/>
          <w:color w:val="auto"/>
        </w:rPr>
        <w:t xml:space="preserve">. The functionalization by means of chemical reactions can be covalent, resulting in a stable and specific structure with significant defects </w:t>
      </w:r>
      <w:r w:rsidRPr="00C2021A">
        <w:rPr>
          <w:rFonts w:cs="Arial"/>
          <w:noProof/>
          <w:color w:val="auto"/>
        </w:rPr>
        <w:t>(Park et al. 2016)</w:t>
      </w:r>
      <w:r w:rsidRPr="00C2021A">
        <w:rPr>
          <w:rFonts w:cs="Arial"/>
          <w:color w:val="auto"/>
        </w:rPr>
        <w:t xml:space="preserve">, or non-covalent. Chemical modifications can be carried out using strong oxidants, as in the case of graphene oxide (GO). GO is prepared through two different oxidations, one with carboxylic acids at the graphene edges, the other with epoxy and hydroxyl groups on the basal plane. The resulting material has increased dispersibility compared to pristine graphene </w:t>
      </w:r>
      <w:r w:rsidRPr="00C2021A">
        <w:rPr>
          <w:rFonts w:cs="Arial"/>
          <w:noProof/>
          <w:color w:val="auto"/>
        </w:rPr>
        <w:t>(Chua and Pumera 2013; Georgakilas et al. 2012)</w:t>
      </w:r>
      <w:r w:rsidRPr="00C2021A">
        <w:rPr>
          <w:rFonts w:cs="Arial"/>
          <w:color w:val="auto"/>
        </w:rPr>
        <w:t>. Various approaches to modify the molecular structure of GO and restore its electrical conductivity have been tested. Reduced graphene oxide (</w:t>
      </w:r>
      <w:proofErr w:type="spellStart"/>
      <w:r w:rsidRPr="00C2021A">
        <w:rPr>
          <w:rFonts w:cs="Arial"/>
          <w:color w:val="auto"/>
        </w:rPr>
        <w:t>rGO</w:t>
      </w:r>
      <w:proofErr w:type="spellEnd"/>
      <w:r w:rsidRPr="00C2021A">
        <w:rPr>
          <w:rFonts w:cs="Arial"/>
          <w:color w:val="auto"/>
        </w:rPr>
        <w:t xml:space="preserve">) is the product of a reduction process operated on graphene oxide through chemical, </w:t>
      </w:r>
      <w:proofErr w:type="gramStart"/>
      <w:r w:rsidRPr="00C2021A">
        <w:rPr>
          <w:rFonts w:cs="Arial"/>
          <w:color w:val="auto"/>
        </w:rPr>
        <w:t>thermal</w:t>
      </w:r>
      <w:proofErr w:type="gramEnd"/>
      <w:r w:rsidRPr="00C2021A">
        <w:rPr>
          <w:rFonts w:cs="Arial"/>
          <w:color w:val="auto"/>
        </w:rPr>
        <w:t xml:space="preserve"> or electrochemical processes </w:t>
      </w:r>
      <w:r w:rsidRPr="00C2021A">
        <w:rPr>
          <w:rFonts w:cs="Arial"/>
          <w:noProof/>
          <w:color w:val="auto"/>
        </w:rPr>
        <w:t>(Lightcap et al. 2010)</w:t>
      </w:r>
      <w:r w:rsidRPr="00C2021A">
        <w:rPr>
          <w:rFonts w:cs="Arial"/>
          <w:color w:val="auto"/>
        </w:rPr>
        <w:t xml:space="preserve">. A large share of the oxygenated groups is eliminated, with an increase in electrical conductivity that is highly dependent upon the reduction technique being used </w:t>
      </w:r>
      <w:r w:rsidRPr="00C2021A">
        <w:rPr>
          <w:rFonts w:cs="Arial"/>
          <w:noProof/>
          <w:color w:val="auto"/>
        </w:rPr>
        <w:t>(Gilje et al. 2007; Khan et al. 2017c; Yang et al. 2009)</w:t>
      </w:r>
      <w:r w:rsidRPr="00C2021A">
        <w:rPr>
          <w:rFonts w:cs="Arial"/>
          <w:color w:val="auto"/>
        </w:rPr>
        <w:t>. Graphene, GO</w:t>
      </w:r>
      <w:r w:rsidR="007B29A7">
        <w:rPr>
          <w:rFonts w:cs="Arial"/>
          <w:color w:val="auto"/>
        </w:rPr>
        <w:t>,</w:t>
      </w:r>
      <w:r w:rsidRPr="00C2021A">
        <w:rPr>
          <w:rFonts w:cs="Arial"/>
          <w:color w:val="auto"/>
        </w:rPr>
        <w:t xml:space="preserve"> and </w:t>
      </w:r>
      <w:proofErr w:type="spellStart"/>
      <w:r w:rsidRPr="00C2021A">
        <w:rPr>
          <w:rFonts w:cs="Arial"/>
          <w:color w:val="auto"/>
        </w:rPr>
        <w:t>rGO</w:t>
      </w:r>
      <w:proofErr w:type="spellEnd"/>
      <w:r w:rsidRPr="00C2021A">
        <w:rPr>
          <w:rFonts w:cs="Arial"/>
          <w:color w:val="auto"/>
        </w:rPr>
        <w:t xml:space="preserve"> can also undergo non-covalent functionalization via van der Waals or p-p type of interactions. This kind of functionalization allows for a combination of a graphene derivative and a polymer or metal nanoparticle, generating a hybrid compound with </w:t>
      </w:r>
      <w:proofErr w:type="gramStart"/>
      <w:r w:rsidRPr="00C2021A">
        <w:rPr>
          <w:rFonts w:cs="Arial"/>
          <w:color w:val="auto"/>
        </w:rPr>
        <w:t>new interesting</w:t>
      </w:r>
      <w:proofErr w:type="gramEnd"/>
      <w:r w:rsidRPr="00C2021A">
        <w:rPr>
          <w:rFonts w:cs="Arial"/>
          <w:color w:val="auto"/>
        </w:rPr>
        <w:t xml:space="preserve"> properties </w:t>
      </w:r>
      <w:r w:rsidRPr="00C2021A">
        <w:rPr>
          <w:rFonts w:cs="Arial"/>
          <w:noProof/>
          <w:color w:val="auto"/>
        </w:rPr>
        <w:t>(Mandal et al. 2015; Wang et al. 2011)</w:t>
      </w:r>
      <w:r w:rsidRPr="00C2021A">
        <w:rPr>
          <w:rFonts w:cs="Arial"/>
          <w:color w:val="auto"/>
        </w:rPr>
        <w:t xml:space="preserve">. </w:t>
      </w:r>
    </w:p>
    <w:p w14:paraId="44006049" w14:textId="77777777" w:rsidR="00154DB5" w:rsidRPr="00C2021A" w:rsidRDefault="00154DB5" w:rsidP="00041DBE">
      <w:pPr>
        <w:spacing w:after="0" w:line="240" w:lineRule="auto"/>
        <w:jc w:val="both"/>
        <w:rPr>
          <w:rFonts w:cs="Arial"/>
          <w:color w:val="auto"/>
        </w:rPr>
      </w:pPr>
    </w:p>
    <w:p w14:paraId="5D7AB84B" w14:textId="77777777" w:rsidR="00154DB5" w:rsidRPr="00C2021A" w:rsidRDefault="00154DB5" w:rsidP="00041DBE">
      <w:pPr>
        <w:spacing w:after="0" w:line="240" w:lineRule="auto"/>
        <w:jc w:val="both"/>
        <w:rPr>
          <w:rFonts w:cs="Arial"/>
          <w:b/>
          <w:i/>
          <w:color w:val="auto"/>
        </w:rPr>
      </w:pPr>
      <w:r w:rsidRPr="00C2021A">
        <w:rPr>
          <w:rFonts w:cs="Arial"/>
          <w:b/>
          <w:i/>
          <w:color w:val="auto"/>
        </w:rPr>
        <w:t>2.2. Production methods of graphene and graphene derivatives</w:t>
      </w:r>
    </w:p>
    <w:p w14:paraId="47FD050A" w14:textId="517F3BFE" w:rsidR="00154DB5" w:rsidRPr="00C2021A" w:rsidRDefault="00154DB5" w:rsidP="00041DBE">
      <w:pPr>
        <w:spacing w:after="0" w:line="240" w:lineRule="auto"/>
        <w:jc w:val="both"/>
        <w:rPr>
          <w:rFonts w:cs="Arial"/>
          <w:color w:val="auto"/>
        </w:rPr>
      </w:pPr>
      <w:r w:rsidRPr="00C2021A">
        <w:rPr>
          <w:rFonts w:cs="Arial"/>
          <w:color w:val="auto"/>
        </w:rPr>
        <w:t xml:space="preserve">The first example of </w:t>
      </w:r>
      <w:r w:rsidR="007B29A7">
        <w:rPr>
          <w:rFonts w:cs="Arial"/>
          <w:color w:val="auto"/>
        </w:rPr>
        <w:t>pristine monolayer graphene production</w:t>
      </w:r>
      <w:r w:rsidRPr="00C2021A">
        <w:rPr>
          <w:rFonts w:cs="Arial"/>
          <w:color w:val="auto"/>
        </w:rPr>
        <w:t xml:space="preserve"> is the micromechanical exfoliation of graphite </w:t>
      </w:r>
      <w:r w:rsidRPr="00C2021A">
        <w:rPr>
          <w:rFonts w:cs="Arial"/>
          <w:noProof/>
          <w:color w:val="auto"/>
        </w:rPr>
        <w:t>(Novoselov et al. 2004)</w:t>
      </w:r>
      <w:r w:rsidRPr="00C2021A">
        <w:rPr>
          <w:rFonts w:cs="Arial"/>
          <w:color w:val="auto"/>
        </w:rPr>
        <w:t xml:space="preserve">. Since then, many advanced techniques have been developed to obtain high-quality graphene. However, the main limitation in the large-scale </w:t>
      </w:r>
      <w:r w:rsidR="007B29A7">
        <w:rPr>
          <w:rFonts w:cs="Arial"/>
          <w:color w:val="auto"/>
        </w:rPr>
        <w:t>graphene production</w:t>
      </w:r>
      <w:r w:rsidRPr="00C2021A">
        <w:rPr>
          <w:rFonts w:cs="Arial"/>
          <w:color w:val="auto"/>
        </w:rPr>
        <w:t xml:space="preserve"> resides in its low throughput and high cost. </w:t>
      </w:r>
      <w:r w:rsidR="007B29A7">
        <w:rPr>
          <w:rFonts w:cs="Arial"/>
          <w:color w:val="auto"/>
        </w:rPr>
        <w:t>H</w:t>
      </w:r>
      <w:r w:rsidRPr="00C2021A">
        <w:rPr>
          <w:rFonts w:cs="Arial"/>
          <w:color w:val="auto"/>
        </w:rPr>
        <w:t xml:space="preserve">igh yield and low-cost graphene production methods typically come at the expense of </w:t>
      </w:r>
      <w:proofErr w:type="gramStart"/>
      <w:r w:rsidRPr="00C2021A">
        <w:rPr>
          <w:rFonts w:cs="Arial"/>
          <w:color w:val="auto"/>
        </w:rPr>
        <w:t>a larger degree of</w:t>
      </w:r>
      <w:proofErr w:type="gramEnd"/>
      <w:r w:rsidRPr="00C2021A">
        <w:rPr>
          <w:rFonts w:cs="Arial"/>
          <w:color w:val="auto"/>
        </w:rPr>
        <w:t xml:space="preserve"> defects in the final product. </w:t>
      </w:r>
    </w:p>
    <w:p w14:paraId="50B72AC5" w14:textId="77777777" w:rsidR="00154DB5" w:rsidRPr="00C2021A" w:rsidRDefault="00154DB5" w:rsidP="00C0756F">
      <w:pPr>
        <w:spacing w:after="0" w:line="240" w:lineRule="auto"/>
        <w:ind w:firstLine="720"/>
        <w:jc w:val="both"/>
        <w:rPr>
          <w:rFonts w:cs="Arial"/>
          <w:color w:val="auto"/>
        </w:rPr>
      </w:pPr>
      <w:bookmarkStart w:id="3" w:name="_Hlk51004426"/>
      <w:r w:rsidRPr="00C2021A">
        <w:rPr>
          <w:rFonts w:cs="Arial"/>
          <w:b/>
          <w:color w:val="auto"/>
        </w:rPr>
        <w:lastRenderedPageBreak/>
        <w:t xml:space="preserve">Figure 2 </w:t>
      </w:r>
      <w:r w:rsidRPr="00C2021A">
        <w:rPr>
          <w:rFonts w:cs="Arial"/>
          <w:color w:val="auto"/>
        </w:rPr>
        <w:t>summarizes</w:t>
      </w:r>
      <w:r w:rsidRPr="00C2021A">
        <w:rPr>
          <w:rFonts w:cs="Arial"/>
          <w:b/>
          <w:color w:val="auto"/>
        </w:rPr>
        <w:t xml:space="preserve"> </w:t>
      </w:r>
      <w:r w:rsidRPr="00C2021A">
        <w:rPr>
          <w:rFonts w:cs="Arial"/>
          <w:color w:val="auto"/>
        </w:rPr>
        <w:t xml:space="preserve">the representative examples of bottom-up and top-down methods </w:t>
      </w:r>
      <w:proofErr w:type="gramStart"/>
      <w:r w:rsidRPr="00C2021A">
        <w:rPr>
          <w:rFonts w:cs="Arial"/>
          <w:color w:val="auto"/>
        </w:rPr>
        <w:t>for the production of</w:t>
      </w:r>
      <w:proofErr w:type="gramEnd"/>
      <w:r w:rsidRPr="00C2021A">
        <w:rPr>
          <w:rFonts w:cs="Arial"/>
          <w:color w:val="auto"/>
        </w:rPr>
        <w:t xml:space="preserve"> graphene and graphene derivatives. Methods of producing graphene can be grouped into top-down and bottom-up approaches </w:t>
      </w:r>
      <w:r w:rsidRPr="00C2021A">
        <w:rPr>
          <w:rFonts w:cs="Arial"/>
          <w:noProof/>
          <w:color w:val="auto"/>
        </w:rPr>
        <w:t>(Edwards and Coleman 2013)</w:t>
      </w:r>
      <w:r w:rsidRPr="00C2021A">
        <w:rPr>
          <w:rFonts w:cs="Arial"/>
          <w:color w:val="auto"/>
        </w:rPr>
        <w:t xml:space="preserve">. In a top-down process, monolayer or few-layer graphene sheets are obtained from bulk graphite, which involves breaking the van der Walls bonds between individual graphene layers. In a bottom-up approach, on the other hand, graphene is created from a carbon source on a dedicated substrate (usually </w:t>
      </w:r>
      <w:proofErr w:type="spellStart"/>
      <w:r w:rsidRPr="00C2021A">
        <w:rPr>
          <w:rFonts w:cs="Arial"/>
          <w:color w:val="auto"/>
        </w:rPr>
        <w:t>SiC</w:t>
      </w:r>
      <w:proofErr w:type="spellEnd"/>
      <w:r w:rsidRPr="00C2021A">
        <w:rPr>
          <w:rFonts w:cs="Arial"/>
          <w:color w:val="auto"/>
        </w:rPr>
        <w:t xml:space="preserve"> or Si). Each method has its advantages and drawbacks; thus, it is important to carefully select the best process for a specific application, depending on the requirements of quality or cost. Among the top-down approaches to obtain graphene, chemical reduction of graphene oxide, derived from graphite oxide, is the very first example of the production of graphene presented by Boehm et al. in 1962. </w:t>
      </w:r>
      <w:bookmarkEnd w:id="3"/>
      <w:r w:rsidRPr="00C2021A">
        <w:rPr>
          <w:rFonts w:cs="Arial"/>
          <w:color w:val="auto"/>
        </w:rPr>
        <w:t xml:space="preserve">The fabrication of </w:t>
      </w:r>
      <w:proofErr w:type="spellStart"/>
      <w:r w:rsidRPr="00C2021A">
        <w:rPr>
          <w:rFonts w:cs="Arial"/>
          <w:color w:val="auto"/>
        </w:rPr>
        <w:t>rGO</w:t>
      </w:r>
      <w:proofErr w:type="spellEnd"/>
      <w:r w:rsidRPr="00C2021A">
        <w:rPr>
          <w:rFonts w:cs="Arial"/>
          <w:color w:val="auto"/>
        </w:rPr>
        <w:t xml:space="preserve"> has seen many attempts of scaling to large productions. However, </w:t>
      </w:r>
      <w:proofErr w:type="gramStart"/>
      <w:r w:rsidRPr="00C2021A">
        <w:rPr>
          <w:rFonts w:cs="Arial"/>
          <w:color w:val="auto"/>
        </w:rPr>
        <w:t>a large number of</w:t>
      </w:r>
      <w:proofErr w:type="gramEnd"/>
      <w:r w:rsidRPr="00C2021A">
        <w:rPr>
          <w:rFonts w:cs="Arial"/>
          <w:color w:val="auto"/>
        </w:rPr>
        <w:t xml:space="preserve"> defects and impurities have always been regarded as a limiting factor for many applications. Micromechanical exfoliation is operated by peeling off layers of graphite by using common scotch tape. Even if this technique presents evident limitations for scaling, it is still a common choice for many research groups at a proof-of-concept stage. The unzipping of carbon nanotubes, as it is seen for the fabrication of </w:t>
      </w:r>
      <w:proofErr w:type="spellStart"/>
      <w:r w:rsidRPr="00C2021A">
        <w:rPr>
          <w:rFonts w:cs="Arial"/>
          <w:color w:val="auto"/>
        </w:rPr>
        <w:t>rGO</w:t>
      </w:r>
      <w:proofErr w:type="spellEnd"/>
      <w:r w:rsidRPr="00C2021A">
        <w:rPr>
          <w:rFonts w:cs="Arial"/>
          <w:color w:val="auto"/>
        </w:rPr>
        <w:t xml:space="preserve">, can also be achieved via the use of strong oxidants to produce graphene nanoribbons. The properties of the obtained nanoribbons mainly depend on the direction where the nanotube structure has been opened (zigzag or armchair) </w:t>
      </w:r>
      <w:r w:rsidRPr="00C2021A">
        <w:rPr>
          <w:rFonts w:cs="Arial"/>
          <w:noProof/>
          <w:color w:val="auto"/>
        </w:rPr>
        <w:t>(Dhakate et al. 2011)</w:t>
      </w:r>
      <w:r w:rsidRPr="00C2021A">
        <w:rPr>
          <w:rFonts w:cs="Arial"/>
          <w:color w:val="auto"/>
        </w:rPr>
        <w:t xml:space="preserve">. This technique can give a high yield at a moderate cost and presents good potential for scalability. </w:t>
      </w:r>
    </w:p>
    <w:p w14:paraId="1DF0B51D" w14:textId="1642F9A6" w:rsidR="00154DB5" w:rsidRPr="00C2021A" w:rsidRDefault="00154DB5" w:rsidP="00C0756F">
      <w:pPr>
        <w:spacing w:after="0" w:line="240" w:lineRule="auto"/>
        <w:ind w:firstLine="720"/>
        <w:jc w:val="both"/>
        <w:rPr>
          <w:rFonts w:cs="Arial"/>
          <w:color w:val="auto"/>
        </w:rPr>
      </w:pPr>
      <w:r w:rsidRPr="00C2021A">
        <w:rPr>
          <w:rFonts w:cs="Arial"/>
          <w:color w:val="auto"/>
        </w:rPr>
        <w:t xml:space="preserve">Bottom-up approaches </w:t>
      </w:r>
      <w:proofErr w:type="gramStart"/>
      <w:r w:rsidRPr="00C2021A">
        <w:rPr>
          <w:rFonts w:cs="Arial"/>
          <w:color w:val="auto"/>
        </w:rPr>
        <w:t>for the production of</w:t>
      </w:r>
      <w:proofErr w:type="gramEnd"/>
      <w:r w:rsidRPr="00C2021A">
        <w:rPr>
          <w:rFonts w:cs="Arial"/>
          <w:color w:val="auto"/>
        </w:rPr>
        <w:t xml:space="preserve"> graphene include epitaxial growth, chemical vapor deposition, and self-assembly. A graphene thin film with high quality can be obtained by epitaxial growth in ultra-high vacuum (UHV) on </w:t>
      </w:r>
      <w:proofErr w:type="spellStart"/>
      <w:r w:rsidRPr="00C2021A">
        <w:rPr>
          <w:rFonts w:cs="Arial"/>
          <w:color w:val="auto"/>
        </w:rPr>
        <w:t>SiC</w:t>
      </w:r>
      <w:proofErr w:type="spellEnd"/>
      <w:r w:rsidRPr="00C2021A">
        <w:rPr>
          <w:rFonts w:cs="Arial"/>
          <w:color w:val="auto"/>
        </w:rPr>
        <w:t xml:space="preserve"> at very high temperatures </w:t>
      </w:r>
      <w:r w:rsidRPr="00C2021A">
        <w:rPr>
          <w:rFonts w:cs="Arial"/>
          <w:noProof/>
          <w:color w:val="auto"/>
        </w:rPr>
        <w:t>(Camara et al. 2008; Shivaraman et al. 2009)</w:t>
      </w:r>
      <w:r w:rsidRPr="00C2021A">
        <w:rPr>
          <w:rFonts w:cs="Arial"/>
          <w:color w:val="auto"/>
        </w:rPr>
        <w:t xml:space="preserve">. One downside of this technique is the difficulty in precisely controlling the growth process. Chemical vapor deposition (CVD) on metal substrates is one of the </w:t>
      </w:r>
      <w:proofErr w:type="gramStart"/>
      <w:r w:rsidRPr="00C2021A">
        <w:rPr>
          <w:rFonts w:cs="Arial"/>
          <w:color w:val="auto"/>
        </w:rPr>
        <w:t>most commonly employed</w:t>
      </w:r>
      <w:proofErr w:type="gramEnd"/>
      <w:r w:rsidRPr="00C2021A">
        <w:rPr>
          <w:rFonts w:cs="Arial"/>
          <w:color w:val="auto"/>
        </w:rPr>
        <w:t xml:space="preserve"> methods to produce graphene on a large scale </w:t>
      </w:r>
      <w:r w:rsidRPr="00C2021A">
        <w:rPr>
          <w:rFonts w:cs="Arial"/>
          <w:noProof/>
          <w:color w:val="auto"/>
        </w:rPr>
        <w:t>(Dong et al. 2011; Gao et al. 2010)</w:t>
      </w:r>
      <w:r w:rsidRPr="00C2021A">
        <w:rPr>
          <w:rFonts w:cs="Arial"/>
          <w:color w:val="auto"/>
        </w:rPr>
        <w:t xml:space="preserve">. This technique, however, is still considered only moderately scalable for large productions. Self-assembly of chemical modified </w:t>
      </w:r>
      <w:proofErr w:type="spellStart"/>
      <w:r w:rsidRPr="00C2021A">
        <w:rPr>
          <w:rFonts w:cs="Arial"/>
          <w:color w:val="auto"/>
        </w:rPr>
        <w:t>graphenes</w:t>
      </w:r>
      <w:proofErr w:type="spellEnd"/>
      <w:r w:rsidRPr="00C2021A">
        <w:rPr>
          <w:rFonts w:cs="Arial"/>
          <w:color w:val="auto"/>
        </w:rPr>
        <w:t xml:space="preserve"> (CMGs) is a solution-based technique that </w:t>
      </w:r>
      <w:r w:rsidR="007B29A7">
        <w:rPr>
          <w:rFonts w:cs="Arial"/>
          <w:color w:val="auto"/>
        </w:rPr>
        <w:t>uses</w:t>
      </w:r>
      <w:r w:rsidRPr="00C2021A">
        <w:rPr>
          <w:rFonts w:cs="Arial"/>
          <w:color w:val="auto"/>
        </w:rPr>
        <w:t xml:space="preserve"> the pi-pi interactions and van der Waals forces acting between graphene layers. Layer by layer and Langmuir-Blodgett deposition are among the most used self-assembly techniques to produce graphene. Despite the advances in this area, finely tuning the shape and surface chemistry of the obtained material remains a grand challenge, and affordable production strategies are still needed to scale up this technology </w:t>
      </w:r>
      <w:r w:rsidRPr="00C2021A">
        <w:rPr>
          <w:rFonts w:cs="Arial"/>
          <w:noProof/>
          <w:color w:val="auto"/>
        </w:rPr>
        <w:t>(Yuan et al. 2018)</w:t>
      </w:r>
      <w:r w:rsidRPr="00C2021A">
        <w:rPr>
          <w:rFonts w:cs="Arial"/>
          <w:color w:val="auto"/>
        </w:rPr>
        <w:t xml:space="preserve">. </w:t>
      </w:r>
    </w:p>
    <w:p w14:paraId="3660E271" w14:textId="77777777" w:rsidR="00154DB5" w:rsidRPr="00C2021A" w:rsidRDefault="00154DB5" w:rsidP="00670DB2">
      <w:pPr>
        <w:spacing w:after="0" w:line="240" w:lineRule="auto"/>
        <w:jc w:val="both"/>
        <w:rPr>
          <w:rFonts w:cs="Arial"/>
          <w:color w:val="auto"/>
        </w:rPr>
      </w:pPr>
    </w:p>
    <w:p w14:paraId="3DDBD8C6" w14:textId="025BF081" w:rsidR="00154DB5" w:rsidRPr="00C2021A" w:rsidRDefault="00154DB5" w:rsidP="00670DB2">
      <w:pPr>
        <w:spacing w:after="0" w:line="240" w:lineRule="auto"/>
        <w:jc w:val="both"/>
        <w:rPr>
          <w:rFonts w:cs="Arial"/>
          <w:b/>
          <w:i/>
          <w:color w:val="auto"/>
        </w:rPr>
      </w:pPr>
      <w:r w:rsidRPr="00C2021A">
        <w:rPr>
          <w:rFonts w:cs="Arial"/>
          <w:b/>
          <w:i/>
          <w:color w:val="auto"/>
        </w:rPr>
        <w:t>2.3. Graphene-based biosensor architecture and performance metrics</w:t>
      </w:r>
    </w:p>
    <w:p w14:paraId="52F62EA6" w14:textId="3CFE9A57" w:rsidR="00154DB5" w:rsidRPr="00C2021A" w:rsidRDefault="000815BD" w:rsidP="00670DB2">
      <w:pPr>
        <w:spacing w:after="0" w:line="240" w:lineRule="auto"/>
        <w:jc w:val="both"/>
        <w:rPr>
          <w:rFonts w:cs="Arial"/>
          <w:bCs/>
          <w:iCs/>
          <w:color w:val="auto"/>
        </w:rPr>
      </w:pPr>
      <w:bookmarkStart w:id="4" w:name="_Hlk51163503"/>
      <w:r w:rsidRPr="00C2021A">
        <w:rPr>
          <w:rFonts w:cs="Arial"/>
          <w:bCs/>
          <w:iCs/>
          <w:color w:val="auto"/>
        </w:rPr>
        <w:t>In 1977, t</w:t>
      </w:r>
      <w:r w:rsidR="00154DB5" w:rsidRPr="00C2021A">
        <w:rPr>
          <w:rFonts w:cs="Arial"/>
          <w:bCs/>
          <w:iCs/>
          <w:color w:val="auto"/>
        </w:rPr>
        <w:t xml:space="preserve">he term </w:t>
      </w:r>
      <w:r w:rsidRPr="00C2021A">
        <w:rPr>
          <w:rFonts w:cs="Arial"/>
          <w:bCs/>
          <w:iCs/>
          <w:color w:val="auto"/>
        </w:rPr>
        <w:t>“</w:t>
      </w:r>
      <w:r w:rsidR="00154DB5" w:rsidRPr="00C2021A">
        <w:rPr>
          <w:rFonts w:cs="Arial"/>
          <w:bCs/>
          <w:iCs/>
          <w:color w:val="auto"/>
        </w:rPr>
        <w:t>biosensor</w:t>
      </w:r>
      <w:r w:rsidRPr="00C2021A">
        <w:rPr>
          <w:rFonts w:cs="Arial"/>
          <w:bCs/>
          <w:iCs/>
          <w:color w:val="auto"/>
        </w:rPr>
        <w:t>”</w:t>
      </w:r>
      <w:r w:rsidR="00154DB5" w:rsidRPr="00C2021A">
        <w:rPr>
          <w:rFonts w:cs="Arial"/>
          <w:bCs/>
          <w:iCs/>
          <w:color w:val="auto"/>
        </w:rPr>
        <w:t xml:space="preserve"> was coined by </w:t>
      </w:r>
      <w:proofErr w:type="spellStart"/>
      <w:r w:rsidR="00154DB5" w:rsidRPr="00C2021A">
        <w:rPr>
          <w:rFonts w:cs="Arial"/>
          <w:bCs/>
          <w:iCs/>
          <w:color w:val="auto"/>
        </w:rPr>
        <w:t>Cammann</w:t>
      </w:r>
      <w:proofErr w:type="spellEnd"/>
      <w:r w:rsidR="00154DB5" w:rsidRPr="00C2021A">
        <w:rPr>
          <w:rFonts w:cs="Arial"/>
          <w:bCs/>
          <w:iCs/>
          <w:color w:val="auto"/>
        </w:rPr>
        <w:t xml:space="preserve"> </w:t>
      </w:r>
      <w:r w:rsidR="00154DB5" w:rsidRPr="00C2021A">
        <w:rPr>
          <w:rFonts w:cs="Arial"/>
          <w:bCs/>
          <w:iCs/>
          <w:noProof/>
          <w:color w:val="auto"/>
        </w:rPr>
        <w:t>(Cammann 1977)</w:t>
      </w:r>
      <w:r w:rsidRPr="00C2021A">
        <w:rPr>
          <w:rFonts w:cs="Arial"/>
          <w:bCs/>
          <w:iCs/>
          <w:noProof/>
          <w:color w:val="auto"/>
        </w:rPr>
        <w:t xml:space="preserve">, which was </w:t>
      </w:r>
      <w:r w:rsidR="00154DB5" w:rsidRPr="00C2021A">
        <w:rPr>
          <w:rFonts w:cs="Arial"/>
          <w:bCs/>
          <w:iCs/>
          <w:color w:val="auto"/>
        </w:rPr>
        <w:t xml:space="preserve">officially recognized by the IUPAC in 1999 </w:t>
      </w:r>
      <w:r w:rsidRPr="00C2021A">
        <w:rPr>
          <w:rFonts w:cs="Arial"/>
          <w:bCs/>
          <w:iCs/>
          <w:color w:val="auto"/>
        </w:rPr>
        <w:t>as an analytical device that can translate a biological event into a meaningful electrical signal</w:t>
      </w:r>
      <w:r w:rsidRPr="00C2021A">
        <w:rPr>
          <w:rFonts w:cs="Arial"/>
          <w:bCs/>
          <w:iCs/>
          <w:noProof/>
          <w:color w:val="auto"/>
        </w:rPr>
        <w:t xml:space="preserve"> </w:t>
      </w:r>
      <w:r w:rsidR="00154DB5" w:rsidRPr="00C2021A">
        <w:rPr>
          <w:rFonts w:cs="Arial"/>
          <w:bCs/>
          <w:iCs/>
          <w:noProof/>
          <w:color w:val="auto"/>
        </w:rPr>
        <w:t>(Thevenot et al. 1999)</w:t>
      </w:r>
      <w:r w:rsidR="00154DB5" w:rsidRPr="00C2021A">
        <w:rPr>
          <w:rFonts w:cs="Arial"/>
          <w:bCs/>
          <w:iCs/>
          <w:color w:val="auto"/>
        </w:rPr>
        <w:t xml:space="preserve">. </w:t>
      </w:r>
      <w:r w:rsidR="00AB11C7" w:rsidRPr="00C2021A">
        <w:rPr>
          <w:rFonts w:cs="Arial"/>
          <w:b/>
          <w:bCs/>
          <w:iCs/>
          <w:color w:val="auto"/>
        </w:rPr>
        <w:t>Figure 3</w:t>
      </w:r>
      <w:r w:rsidR="00AB11C7" w:rsidRPr="00C2021A">
        <w:rPr>
          <w:rFonts w:cs="Arial"/>
          <w:bCs/>
          <w:iCs/>
          <w:color w:val="auto"/>
        </w:rPr>
        <w:t xml:space="preserve"> shows a schematic illustration of a typical biosensor composed of a transducer, biorecognition elements, and targeted molecules. B</w:t>
      </w:r>
      <w:r w:rsidR="00154DB5" w:rsidRPr="00C2021A">
        <w:rPr>
          <w:rFonts w:cs="Arial"/>
          <w:bCs/>
          <w:iCs/>
          <w:color w:val="auto"/>
        </w:rPr>
        <w:t xml:space="preserve">iosensors </w:t>
      </w:r>
      <w:r w:rsidR="00AB11C7" w:rsidRPr="00C2021A">
        <w:rPr>
          <w:rFonts w:cs="Arial"/>
          <w:bCs/>
          <w:iCs/>
          <w:color w:val="auto"/>
        </w:rPr>
        <w:t xml:space="preserve">can use </w:t>
      </w:r>
      <w:r w:rsidR="00154DB5" w:rsidRPr="00C2021A">
        <w:rPr>
          <w:rFonts w:cs="Arial"/>
          <w:bCs/>
          <w:iCs/>
          <w:color w:val="auto"/>
        </w:rPr>
        <w:t>different transduction modalities (optical, ele</w:t>
      </w:r>
      <w:r w:rsidR="00AB11C7" w:rsidRPr="00C2021A">
        <w:rPr>
          <w:rFonts w:cs="Arial"/>
          <w:bCs/>
          <w:iCs/>
          <w:color w:val="auto"/>
        </w:rPr>
        <w:t>ctrochemical, electronic, etc.), depending on target analytes</w:t>
      </w:r>
      <w:r w:rsidR="00154DB5" w:rsidRPr="00C2021A">
        <w:rPr>
          <w:rFonts w:cs="Arial"/>
          <w:bCs/>
          <w:iCs/>
          <w:color w:val="auto"/>
        </w:rPr>
        <w:t>.</w:t>
      </w:r>
      <w:r w:rsidR="00AB11C7" w:rsidRPr="00C2021A">
        <w:rPr>
          <w:rFonts w:cs="Arial"/>
          <w:bCs/>
          <w:iCs/>
          <w:color w:val="auto"/>
        </w:rPr>
        <w:t xml:space="preserve"> </w:t>
      </w:r>
      <w:r w:rsidR="00154DB5" w:rsidRPr="00C2021A">
        <w:rPr>
          <w:rFonts w:cs="Arial"/>
          <w:bCs/>
          <w:iCs/>
          <w:color w:val="auto"/>
        </w:rPr>
        <w:t xml:space="preserve">Among </w:t>
      </w:r>
      <w:r w:rsidR="00AB11C7" w:rsidRPr="00C2021A">
        <w:rPr>
          <w:rFonts w:cs="Arial"/>
          <w:bCs/>
          <w:iCs/>
          <w:color w:val="auto"/>
        </w:rPr>
        <w:t>various biosensors</w:t>
      </w:r>
      <w:r w:rsidR="00154DB5" w:rsidRPr="00C2021A">
        <w:rPr>
          <w:rFonts w:cs="Arial"/>
          <w:bCs/>
          <w:iCs/>
          <w:color w:val="auto"/>
        </w:rPr>
        <w:t xml:space="preserve">, graphene-based biosensor </w:t>
      </w:r>
      <w:r w:rsidR="00AB11C7" w:rsidRPr="00C2021A">
        <w:rPr>
          <w:rFonts w:cs="Arial"/>
          <w:bCs/>
          <w:iCs/>
          <w:color w:val="auto"/>
        </w:rPr>
        <w:t xml:space="preserve">utilizes </w:t>
      </w:r>
      <w:r w:rsidR="00154DB5" w:rsidRPr="00C2021A">
        <w:rPr>
          <w:rFonts w:cs="Arial"/>
          <w:bCs/>
          <w:iCs/>
          <w:color w:val="auto"/>
        </w:rPr>
        <w:t>graphene, graphene derivatives</w:t>
      </w:r>
      <w:r w:rsidR="00AB11C7" w:rsidRPr="00C2021A">
        <w:rPr>
          <w:rFonts w:cs="Arial"/>
          <w:bCs/>
          <w:iCs/>
          <w:color w:val="auto"/>
        </w:rPr>
        <w:t>,</w:t>
      </w:r>
      <w:r w:rsidR="00154DB5" w:rsidRPr="00C2021A">
        <w:rPr>
          <w:rFonts w:cs="Arial"/>
          <w:bCs/>
          <w:iCs/>
          <w:color w:val="auto"/>
        </w:rPr>
        <w:t xml:space="preserve"> or graphene-based nanomaterials as the transducing element. A bioreceptor is immobilized on the surface of the transducing layer</w:t>
      </w:r>
      <w:r w:rsidR="00AB11C7" w:rsidRPr="00C2021A">
        <w:rPr>
          <w:rFonts w:cs="Arial"/>
          <w:bCs/>
          <w:iCs/>
          <w:color w:val="auto"/>
        </w:rPr>
        <w:t xml:space="preserve"> via a </w:t>
      </w:r>
      <w:r w:rsidR="00154DB5" w:rsidRPr="00C2021A">
        <w:rPr>
          <w:rFonts w:cs="Arial"/>
          <w:bCs/>
          <w:iCs/>
          <w:color w:val="auto"/>
        </w:rPr>
        <w:t xml:space="preserve">chemical or physical </w:t>
      </w:r>
      <w:r w:rsidR="00AB11C7" w:rsidRPr="00C2021A">
        <w:rPr>
          <w:rFonts w:cs="Arial"/>
          <w:bCs/>
          <w:iCs/>
          <w:color w:val="auto"/>
        </w:rPr>
        <w:t>functionalization process</w:t>
      </w:r>
      <w:r w:rsidR="00154DB5" w:rsidRPr="00C2021A">
        <w:rPr>
          <w:rFonts w:cs="Arial"/>
          <w:bCs/>
          <w:iCs/>
          <w:color w:val="auto"/>
        </w:rPr>
        <w:t xml:space="preserve">. Examples of </w:t>
      </w:r>
      <w:r w:rsidR="00AB11C7" w:rsidRPr="00C2021A">
        <w:rPr>
          <w:rFonts w:cs="Arial"/>
          <w:bCs/>
          <w:iCs/>
          <w:color w:val="auto"/>
        </w:rPr>
        <w:t xml:space="preserve">widely used biorecognition elements include </w:t>
      </w:r>
      <w:r w:rsidR="00154DB5" w:rsidRPr="00C2021A">
        <w:rPr>
          <w:rFonts w:cs="Arial"/>
          <w:bCs/>
          <w:iCs/>
          <w:color w:val="auto"/>
        </w:rPr>
        <w:t xml:space="preserve">antibodies </w:t>
      </w:r>
      <w:r w:rsidR="00154DB5" w:rsidRPr="00C2021A">
        <w:rPr>
          <w:rFonts w:cs="Arial"/>
          <w:bCs/>
          <w:iCs/>
          <w:noProof/>
          <w:color w:val="auto"/>
        </w:rPr>
        <w:t>(North 1985)</w:t>
      </w:r>
      <w:r w:rsidR="00154DB5" w:rsidRPr="00C2021A">
        <w:rPr>
          <w:rFonts w:cs="Arial"/>
          <w:bCs/>
          <w:iCs/>
          <w:color w:val="auto"/>
        </w:rPr>
        <w:t xml:space="preserve">, DNA single strands </w:t>
      </w:r>
      <w:r w:rsidR="00154DB5" w:rsidRPr="00C2021A">
        <w:rPr>
          <w:rFonts w:cs="Arial"/>
          <w:bCs/>
          <w:iCs/>
          <w:noProof/>
          <w:color w:val="auto"/>
        </w:rPr>
        <w:t>(Wang 1998)</w:t>
      </w:r>
      <w:r w:rsidR="00AB11C7" w:rsidRPr="00C2021A">
        <w:rPr>
          <w:rFonts w:cs="Arial"/>
          <w:bCs/>
          <w:iCs/>
          <w:noProof/>
          <w:color w:val="auto"/>
        </w:rPr>
        <w:t>,</w:t>
      </w:r>
      <w:r w:rsidR="00154DB5" w:rsidRPr="00C2021A">
        <w:rPr>
          <w:rFonts w:cs="Arial"/>
          <w:bCs/>
          <w:iCs/>
          <w:color w:val="auto"/>
        </w:rPr>
        <w:t xml:space="preserve"> and enzymes </w:t>
      </w:r>
      <w:r w:rsidR="00154DB5" w:rsidRPr="00C2021A">
        <w:rPr>
          <w:rFonts w:cs="Arial"/>
          <w:bCs/>
          <w:iCs/>
          <w:noProof/>
          <w:color w:val="auto"/>
        </w:rPr>
        <w:t>(Wilson and Hu 2000)</w:t>
      </w:r>
      <w:r w:rsidR="00154DB5" w:rsidRPr="00C2021A">
        <w:rPr>
          <w:rFonts w:cs="Arial"/>
          <w:bCs/>
          <w:iCs/>
          <w:color w:val="auto"/>
        </w:rPr>
        <w:t>.</w:t>
      </w:r>
    </w:p>
    <w:p w14:paraId="48D0B406" w14:textId="7F441559" w:rsidR="00154DB5" w:rsidRPr="00C2021A" w:rsidRDefault="00154DB5" w:rsidP="00670DB2">
      <w:pPr>
        <w:spacing w:after="0" w:line="240" w:lineRule="auto"/>
        <w:jc w:val="both"/>
        <w:rPr>
          <w:rFonts w:cs="Arial"/>
          <w:bCs/>
          <w:iCs/>
          <w:color w:val="auto"/>
        </w:rPr>
      </w:pPr>
      <w:r w:rsidRPr="00C2021A">
        <w:rPr>
          <w:rFonts w:cs="Arial"/>
          <w:bCs/>
          <w:iCs/>
          <w:color w:val="auto"/>
        </w:rPr>
        <w:tab/>
      </w:r>
      <w:r w:rsidR="00AB11C7" w:rsidRPr="00C2021A">
        <w:rPr>
          <w:rFonts w:cs="Arial"/>
          <w:bCs/>
          <w:iCs/>
          <w:color w:val="auto"/>
        </w:rPr>
        <w:t xml:space="preserve">Upon </w:t>
      </w:r>
      <w:r w:rsidR="007B29A7">
        <w:rPr>
          <w:rFonts w:cs="Arial"/>
          <w:bCs/>
          <w:iCs/>
          <w:color w:val="auto"/>
        </w:rPr>
        <w:t xml:space="preserve">developing graphene biosensors, many design considerations should be </w:t>
      </w:r>
      <w:proofErr w:type="gramStart"/>
      <w:r w:rsidR="007B29A7">
        <w:rPr>
          <w:rFonts w:cs="Arial"/>
          <w:bCs/>
          <w:iCs/>
          <w:color w:val="auto"/>
        </w:rPr>
        <w:t>taken into account</w:t>
      </w:r>
      <w:proofErr w:type="gramEnd"/>
      <w:r w:rsidR="007B29A7">
        <w:rPr>
          <w:rFonts w:cs="Arial"/>
          <w:bCs/>
          <w:iCs/>
          <w:color w:val="auto"/>
        </w:rPr>
        <w:t xml:space="preserve"> since some of the properties of graphene can largely affect the device's performan</w:t>
      </w:r>
      <w:r w:rsidRPr="00C2021A">
        <w:rPr>
          <w:rFonts w:cs="Arial"/>
          <w:bCs/>
          <w:iCs/>
          <w:color w:val="auto"/>
        </w:rPr>
        <w:t xml:space="preserve">ce. </w:t>
      </w:r>
      <w:proofErr w:type="gramStart"/>
      <w:r w:rsidR="00AB11C7" w:rsidRPr="00C2021A">
        <w:rPr>
          <w:rFonts w:cs="Arial"/>
          <w:bCs/>
          <w:iCs/>
          <w:color w:val="auto"/>
        </w:rPr>
        <w:t>First of all</w:t>
      </w:r>
      <w:proofErr w:type="gramEnd"/>
      <w:r w:rsidRPr="00C2021A">
        <w:rPr>
          <w:rFonts w:cs="Arial"/>
          <w:bCs/>
          <w:iCs/>
          <w:color w:val="auto"/>
        </w:rPr>
        <w:t xml:space="preserve">, </w:t>
      </w:r>
      <w:r w:rsidR="00AB11C7" w:rsidRPr="00C2021A">
        <w:rPr>
          <w:rFonts w:cs="Arial"/>
          <w:bCs/>
          <w:iCs/>
          <w:color w:val="auto"/>
        </w:rPr>
        <w:t xml:space="preserve">sensor </w:t>
      </w:r>
      <w:r w:rsidRPr="00C2021A">
        <w:rPr>
          <w:rFonts w:cs="Arial"/>
          <w:bCs/>
          <w:iCs/>
          <w:color w:val="auto"/>
        </w:rPr>
        <w:t xml:space="preserve">performance </w:t>
      </w:r>
      <w:r w:rsidR="00AB11C7" w:rsidRPr="00C2021A">
        <w:rPr>
          <w:rFonts w:cs="Arial"/>
          <w:bCs/>
          <w:iCs/>
          <w:color w:val="auto"/>
        </w:rPr>
        <w:t xml:space="preserve">metrics </w:t>
      </w:r>
      <w:r w:rsidRPr="00C2021A">
        <w:rPr>
          <w:rFonts w:cs="Arial"/>
          <w:bCs/>
          <w:iCs/>
          <w:color w:val="auto"/>
        </w:rPr>
        <w:t xml:space="preserve">have been introduced to </w:t>
      </w:r>
      <w:r w:rsidR="00AB11C7" w:rsidRPr="00C2021A">
        <w:rPr>
          <w:rFonts w:cs="Arial"/>
          <w:bCs/>
          <w:iCs/>
          <w:color w:val="auto"/>
        </w:rPr>
        <w:t xml:space="preserve">offer the evaluation </w:t>
      </w:r>
      <w:r w:rsidRPr="00C2021A">
        <w:rPr>
          <w:rFonts w:cs="Arial"/>
          <w:bCs/>
          <w:iCs/>
          <w:color w:val="auto"/>
        </w:rPr>
        <w:t>standard of biosensors.</w:t>
      </w:r>
      <w:r w:rsidR="00AB11C7" w:rsidRPr="00C2021A">
        <w:rPr>
          <w:rFonts w:cs="Arial"/>
          <w:bCs/>
          <w:iCs/>
          <w:color w:val="auto"/>
        </w:rPr>
        <w:t xml:space="preserve"> </w:t>
      </w:r>
      <w:r w:rsidRPr="00C2021A">
        <w:rPr>
          <w:rFonts w:cs="Arial"/>
          <w:bCs/>
          <w:iCs/>
          <w:color w:val="auto"/>
        </w:rPr>
        <w:t xml:space="preserve">The limit of detection (LOD) of an analytical measurement is defined as the lowest amount of analyte </w:t>
      </w:r>
      <w:proofErr w:type="gramStart"/>
      <w:r w:rsidRPr="00C2021A">
        <w:rPr>
          <w:rFonts w:cs="Arial"/>
          <w:bCs/>
          <w:iCs/>
          <w:color w:val="auto"/>
        </w:rPr>
        <w:t>in a given</w:t>
      </w:r>
      <w:proofErr w:type="gramEnd"/>
      <w:r w:rsidRPr="00C2021A">
        <w:rPr>
          <w:rFonts w:cs="Arial"/>
          <w:bCs/>
          <w:iCs/>
          <w:color w:val="auto"/>
        </w:rPr>
        <w:t xml:space="preserve"> sample that can </w:t>
      </w:r>
      <w:r w:rsidR="00AB11C7" w:rsidRPr="00C2021A">
        <w:rPr>
          <w:rFonts w:cs="Arial"/>
          <w:bCs/>
          <w:iCs/>
          <w:color w:val="auto"/>
        </w:rPr>
        <w:t xml:space="preserve">be </w:t>
      </w:r>
      <w:r w:rsidRPr="00C2021A">
        <w:rPr>
          <w:rFonts w:cs="Arial"/>
          <w:bCs/>
          <w:iCs/>
          <w:color w:val="auto"/>
        </w:rPr>
        <w:t xml:space="preserve">detected. While many approaches for calculating </w:t>
      </w:r>
      <w:r w:rsidRPr="00C2021A">
        <w:rPr>
          <w:rFonts w:cs="Arial"/>
          <w:bCs/>
          <w:iCs/>
          <w:color w:val="auto"/>
        </w:rPr>
        <w:lastRenderedPageBreak/>
        <w:t>the LOD exist, one of the most widely used procedure</w:t>
      </w:r>
      <w:r w:rsidR="00AB11C7" w:rsidRPr="00C2021A">
        <w:rPr>
          <w:rFonts w:cs="Arial"/>
          <w:bCs/>
          <w:iCs/>
          <w:color w:val="auto"/>
        </w:rPr>
        <w:t xml:space="preserve">s is to analyze </w:t>
      </w:r>
      <w:r w:rsidRPr="00C2021A">
        <w:rPr>
          <w:rFonts w:cs="Arial"/>
          <w:bCs/>
          <w:iCs/>
          <w:color w:val="auto"/>
        </w:rPr>
        <w:t>a calibration plot</w:t>
      </w:r>
      <w:r w:rsidR="00AB11C7" w:rsidRPr="00C2021A">
        <w:rPr>
          <w:rFonts w:cs="Arial"/>
          <w:bCs/>
          <w:iCs/>
          <w:color w:val="auto"/>
        </w:rPr>
        <w:t xml:space="preserve"> that show</w:t>
      </w:r>
      <w:r w:rsidRPr="00C2021A">
        <w:rPr>
          <w:rFonts w:cs="Arial"/>
          <w:bCs/>
          <w:iCs/>
          <w:color w:val="auto"/>
        </w:rPr>
        <w:t xml:space="preserve">s the biosensor response against the analyte concentration. In </w:t>
      </w:r>
      <w:r w:rsidR="00AB11C7" w:rsidRPr="00C2021A">
        <w:rPr>
          <w:rFonts w:cs="Arial"/>
          <w:bCs/>
          <w:iCs/>
          <w:color w:val="auto"/>
        </w:rPr>
        <w:t xml:space="preserve">this </w:t>
      </w:r>
      <w:r w:rsidRPr="00C2021A">
        <w:rPr>
          <w:rFonts w:cs="Arial"/>
          <w:bCs/>
          <w:iCs/>
          <w:color w:val="auto"/>
        </w:rPr>
        <w:t>case</w:t>
      </w:r>
      <w:r w:rsidR="00AB11C7" w:rsidRPr="00C2021A">
        <w:rPr>
          <w:rFonts w:cs="Arial"/>
          <w:bCs/>
          <w:iCs/>
          <w:color w:val="auto"/>
        </w:rPr>
        <w:t>,</w:t>
      </w:r>
      <w:r w:rsidRPr="00C2021A">
        <w:rPr>
          <w:rFonts w:cs="Arial"/>
          <w:bCs/>
          <w:iCs/>
          <w:color w:val="auto"/>
        </w:rPr>
        <w:t xml:space="preserve"> the LOD </w:t>
      </w:r>
      <w:r w:rsidR="00AB11C7" w:rsidRPr="00C2021A">
        <w:rPr>
          <w:rFonts w:cs="Arial"/>
          <w:bCs/>
          <w:iCs/>
          <w:color w:val="auto"/>
        </w:rPr>
        <w:t xml:space="preserve">is </w:t>
      </w:r>
      <w:r w:rsidRPr="00C2021A">
        <w:rPr>
          <w:rFonts w:cs="Arial"/>
          <w:bCs/>
          <w:iCs/>
          <w:color w:val="auto"/>
        </w:rPr>
        <w:t>defined as:</w:t>
      </w:r>
    </w:p>
    <w:p w14:paraId="07281BAA" w14:textId="77777777" w:rsidR="00154DB5" w:rsidRPr="00C2021A" w:rsidRDefault="00154DB5" w:rsidP="00670DB2">
      <w:pPr>
        <w:spacing w:after="0" w:line="240" w:lineRule="auto"/>
        <w:jc w:val="both"/>
        <w:rPr>
          <w:rFonts w:cs="Arial"/>
          <w:bCs/>
          <w:iCs/>
          <w:color w:val="auto"/>
        </w:rPr>
      </w:pPr>
      <m:oMathPara>
        <m:oMathParaPr>
          <m:jc m:val="center"/>
        </m:oMathParaPr>
        <m:oMath>
          <m:r>
            <w:rPr>
              <w:rFonts w:ascii="Cambria Math" w:hAnsi="Cambria Math" w:cs="Arial"/>
              <w:color w:val="auto"/>
            </w:rPr>
            <m:t xml:space="preserve">LOD= </m:t>
          </m:r>
          <m:f>
            <m:fPr>
              <m:ctrlPr>
                <w:rPr>
                  <w:rFonts w:ascii="Cambria Math" w:hAnsi="Cambria Math" w:cs="Arial"/>
                  <w:bCs/>
                  <w:i/>
                  <w:iCs/>
                  <w:color w:val="auto"/>
                </w:rPr>
              </m:ctrlPr>
            </m:fPr>
            <m:num>
              <m:r>
                <w:rPr>
                  <w:rFonts w:ascii="Cambria Math" w:hAnsi="Cambria Math" w:cs="Arial"/>
                  <w:color w:val="auto"/>
                </w:rPr>
                <m:t>3S</m:t>
              </m:r>
            </m:num>
            <m:den>
              <m:r>
                <w:rPr>
                  <w:rFonts w:ascii="Cambria Math" w:hAnsi="Cambria Math" w:cs="Arial"/>
                  <w:color w:val="auto"/>
                </w:rPr>
                <m:t>b</m:t>
              </m:r>
            </m:den>
          </m:f>
        </m:oMath>
      </m:oMathPara>
    </w:p>
    <w:p w14:paraId="7B7DD685" w14:textId="39759C88" w:rsidR="00154DB5" w:rsidRPr="00C2021A" w:rsidRDefault="00154DB5" w:rsidP="00BC4C14">
      <w:pPr>
        <w:spacing w:after="0" w:line="240" w:lineRule="auto"/>
        <w:jc w:val="both"/>
        <w:rPr>
          <w:rFonts w:cs="Arial"/>
          <w:bCs/>
          <w:iCs/>
          <w:color w:val="auto"/>
        </w:rPr>
      </w:pPr>
      <w:r w:rsidRPr="00C2021A">
        <w:rPr>
          <w:rFonts w:cs="Arial"/>
          <w:bCs/>
          <w:iCs/>
          <w:color w:val="auto"/>
        </w:rPr>
        <w:t xml:space="preserve">where </w:t>
      </w:r>
      <w:r w:rsidRPr="00C2021A">
        <w:rPr>
          <w:rFonts w:cs="Arial"/>
          <w:bCs/>
          <w:i/>
          <w:iCs/>
          <w:color w:val="auto"/>
        </w:rPr>
        <w:t>S</w:t>
      </w:r>
      <w:r w:rsidRPr="00C2021A">
        <w:rPr>
          <w:rFonts w:cs="Arial"/>
          <w:bCs/>
          <w:iCs/>
          <w:color w:val="auto"/>
        </w:rPr>
        <w:t xml:space="preserve"> is the standard deviation of the response and </w:t>
      </w:r>
      <w:r w:rsidRPr="00C2021A">
        <w:rPr>
          <w:rFonts w:cs="Arial"/>
          <w:bCs/>
          <w:i/>
          <w:color w:val="auto"/>
        </w:rPr>
        <w:t>b</w:t>
      </w:r>
      <w:r w:rsidRPr="00C2021A">
        <w:rPr>
          <w:rFonts w:cs="Arial"/>
          <w:bCs/>
          <w:iCs/>
          <w:color w:val="auto"/>
        </w:rPr>
        <w:t xml:space="preserve"> is the slope of the calibration curve. </w:t>
      </w:r>
      <w:r w:rsidR="00414571" w:rsidRPr="00C2021A">
        <w:rPr>
          <w:rFonts w:cs="Arial"/>
          <w:bCs/>
          <w:iCs/>
          <w:color w:val="auto"/>
        </w:rPr>
        <w:t>T</w:t>
      </w:r>
      <w:r w:rsidRPr="00C2021A">
        <w:rPr>
          <w:rFonts w:cs="Arial"/>
          <w:bCs/>
          <w:iCs/>
          <w:color w:val="auto"/>
        </w:rPr>
        <w:t xml:space="preserve">he slope of the calibration curve </w:t>
      </w:r>
      <w:r w:rsidRPr="00C2021A">
        <w:rPr>
          <w:rFonts w:cs="Arial"/>
          <w:bCs/>
          <w:i/>
          <w:color w:val="auto"/>
        </w:rPr>
        <w:t>b</w:t>
      </w:r>
      <w:r w:rsidRPr="00C2021A">
        <w:rPr>
          <w:rFonts w:cs="Arial"/>
          <w:bCs/>
          <w:iCs/>
          <w:color w:val="auto"/>
        </w:rPr>
        <w:t xml:space="preserve"> represents the </w:t>
      </w:r>
      <w:r w:rsidR="00414571" w:rsidRPr="00C2021A">
        <w:rPr>
          <w:rFonts w:cs="Arial"/>
          <w:bCs/>
          <w:iCs/>
          <w:color w:val="auto"/>
        </w:rPr>
        <w:t xml:space="preserve">device </w:t>
      </w:r>
      <w:r w:rsidRPr="00C2021A">
        <w:rPr>
          <w:rFonts w:cs="Arial"/>
          <w:bCs/>
          <w:iCs/>
          <w:color w:val="auto"/>
        </w:rPr>
        <w:t xml:space="preserve">sensitivity. While </w:t>
      </w:r>
      <w:r w:rsidR="00A36E7F" w:rsidRPr="00C2021A">
        <w:rPr>
          <w:rFonts w:cs="Arial"/>
          <w:bCs/>
          <w:iCs/>
          <w:color w:val="auto"/>
        </w:rPr>
        <w:t>most</w:t>
      </w:r>
      <w:r w:rsidRPr="00C2021A">
        <w:rPr>
          <w:rFonts w:cs="Arial"/>
          <w:bCs/>
          <w:iCs/>
          <w:color w:val="auto"/>
        </w:rPr>
        <w:t xml:space="preserve"> studies calculate the LOD from linear regression using an S/b ratio of 3, some authors can also arbitrarily choose to employ a value of S/b = 2</w:t>
      </w:r>
      <w:r w:rsidR="00414571" w:rsidRPr="00C2021A">
        <w:rPr>
          <w:rFonts w:cs="Arial"/>
          <w:bCs/>
          <w:iCs/>
          <w:color w:val="auto"/>
        </w:rPr>
        <w:t xml:space="preserve"> </w:t>
      </w:r>
      <w:r w:rsidRPr="00C2021A">
        <w:rPr>
          <w:rFonts w:cs="Arial"/>
          <w:bCs/>
          <w:iCs/>
          <w:noProof/>
          <w:color w:val="auto"/>
        </w:rPr>
        <w:t>(Martínez-García et al. 2016)</w:t>
      </w:r>
      <w:r w:rsidRPr="00C2021A">
        <w:rPr>
          <w:rFonts w:cs="Arial"/>
          <w:bCs/>
          <w:iCs/>
          <w:color w:val="auto"/>
        </w:rPr>
        <w:t>.</w:t>
      </w:r>
      <w:r w:rsidR="00BC4C14" w:rsidRPr="00C2021A">
        <w:rPr>
          <w:rFonts w:cs="Arial"/>
          <w:bCs/>
          <w:iCs/>
          <w:color w:val="auto"/>
        </w:rPr>
        <w:t xml:space="preserve"> </w:t>
      </w:r>
      <w:r w:rsidRPr="00C2021A">
        <w:rPr>
          <w:rFonts w:cs="Arial"/>
          <w:bCs/>
          <w:iCs/>
          <w:color w:val="auto"/>
        </w:rPr>
        <w:t xml:space="preserve">Another </w:t>
      </w:r>
      <w:r w:rsidR="00A36E7F" w:rsidRPr="00C2021A">
        <w:rPr>
          <w:rFonts w:cs="Arial"/>
          <w:bCs/>
          <w:iCs/>
          <w:color w:val="auto"/>
        </w:rPr>
        <w:t>critical</w:t>
      </w:r>
      <w:r w:rsidR="00BC4C14" w:rsidRPr="00C2021A">
        <w:rPr>
          <w:rFonts w:cs="Arial"/>
          <w:bCs/>
          <w:iCs/>
          <w:color w:val="auto"/>
        </w:rPr>
        <w:t xml:space="preserve"> </w:t>
      </w:r>
      <w:r w:rsidRPr="00C2021A">
        <w:rPr>
          <w:rFonts w:cs="Arial"/>
          <w:bCs/>
          <w:iCs/>
          <w:color w:val="auto"/>
        </w:rPr>
        <w:t xml:space="preserve">parameter </w:t>
      </w:r>
      <w:r w:rsidR="00BC4C14" w:rsidRPr="00C2021A">
        <w:rPr>
          <w:rFonts w:cs="Arial"/>
          <w:bCs/>
          <w:iCs/>
          <w:color w:val="auto"/>
        </w:rPr>
        <w:t xml:space="preserve">in </w:t>
      </w:r>
      <w:r w:rsidR="00A36E7F" w:rsidRPr="00C2021A">
        <w:rPr>
          <w:rFonts w:cs="Arial"/>
          <w:bCs/>
          <w:iCs/>
          <w:color w:val="auto"/>
        </w:rPr>
        <w:t>evaluating</w:t>
      </w:r>
      <w:r w:rsidR="00BC4C14" w:rsidRPr="00C2021A">
        <w:rPr>
          <w:rFonts w:cs="Arial"/>
          <w:bCs/>
          <w:iCs/>
          <w:color w:val="auto"/>
        </w:rPr>
        <w:t xml:space="preserve"> </w:t>
      </w:r>
      <w:r w:rsidRPr="00C2021A">
        <w:rPr>
          <w:rFonts w:cs="Arial"/>
          <w:bCs/>
          <w:iCs/>
          <w:color w:val="auto"/>
        </w:rPr>
        <w:t xml:space="preserve">the </w:t>
      </w:r>
      <w:r w:rsidR="00BC4C14" w:rsidRPr="00C2021A">
        <w:rPr>
          <w:rFonts w:cs="Arial"/>
          <w:bCs/>
          <w:iCs/>
          <w:color w:val="auto"/>
        </w:rPr>
        <w:t xml:space="preserve">sensor </w:t>
      </w:r>
      <w:r w:rsidRPr="00C2021A">
        <w:rPr>
          <w:rFonts w:cs="Arial"/>
          <w:bCs/>
          <w:iCs/>
          <w:color w:val="auto"/>
        </w:rPr>
        <w:t xml:space="preserve">performance is the </w:t>
      </w:r>
      <w:r w:rsidR="00BC4C14" w:rsidRPr="00C2021A">
        <w:rPr>
          <w:rFonts w:cs="Arial"/>
          <w:bCs/>
          <w:iCs/>
          <w:color w:val="auto"/>
        </w:rPr>
        <w:t xml:space="preserve">sensing </w:t>
      </w:r>
      <w:r w:rsidRPr="00C2021A">
        <w:rPr>
          <w:rFonts w:cs="Arial"/>
          <w:bCs/>
          <w:iCs/>
          <w:color w:val="auto"/>
        </w:rPr>
        <w:t>linearity</w:t>
      </w:r>
      <w:r w:rsidR="00BC4C14" w:rsidRPr="00C2021A">
        <w:rPr>
          <w:rFonts w:cs="Arial"/>
          <w:bCs/>
          <w:iCs/>
          <w:color w:val="auto"/>
        </w:rPr>
        <w:t xml:space="preserve">, which </w:t>
      </w:r>
      <w:r w:rsidRPr="00C2021A">
        <w:rPr>
          <w:rFonts w:cs="Arial"/>
          <w:bCs/>
          <w:iCs/>
          <w:color w:val="auto"/>
        </w:rPr>
        <w:t>can be defined as the range of analyte concentration for which the biosensor produces a linear response.</w:t>
      </w:r>
      <w:r w:rsidR="00BC4C14" w:rsidRPr="00C2021A">
        <w:rPr>
          <w:rFonts w:cs="Arial"/>
          <w:bCs/>
          <w:iCs/>
          <w:color w:val="auto"/>
        </w:rPr>
        <w:t xml:space="preserve"> In addition, the device stability needs to be evaluated to determine </w:t>
      </w:r>
      <w:r w:rsidRPr="00C2021A">
        <w:rPr>
          <w:rFonts w:cs="Arial"/>
          <w:bCs/>
          <w:iCs/>
          <w:color w:val="auto"/>
        </w:rPr>
        <w:t xml:space="preserve">how long the biosensor can </w:t>
      </w:r>
      <w:r w:rsidR="00BC4C14" w:rsidRPr="00C2021A">
        <w:rPr>
          <w:rFonts w:cs="Arial"/>
          <w:bCs/>
          <w:iCs/>
          <w:color w:val="auto"/>
        </w:rPr>
        <w:t xml:space="preserve">maintain the </w:t>
      </w:r>
      <w:r w:rsidRPr="00C2021A">
        <w:rPr>
          <w:rFonts w:cs="Arial"/>
          <w:bCs/>
          <w:iCs/>
          <w:color w:val="auto"/>
        </w:rPr>
        <w:t xml:space="preserve">performance. Stability is </w:t>
      </w:r>
      <w:r w:rsidR="00BC4C14" w:rsidRPr="00C2021A">
        <w:rPr>
          <w:rFonts w:cs="Arial"/>
          <w:bCs/>
          <w:iCs/>
          <w:color w:val="auto"/>
        </w:rPr>
        <w:t xml:space="preserve">typically </w:t>
      </w:r>
      <w:r w:rsidRPr="00C2021A">
        <w:rPr>
          <w:rFonts w:cs="Arial"/>
          <w:bCs/>
          <w:iCs/>
          <w:color w:val="auto"/>
        </w:rPr>
        <w:t xml:space="preserve">calculated as the ratio </w:t>
      </w:r>
      <w:r w:rsidR="00BC4C14" w:rsidRPr="00C2021A">
        <w:rPr>
          <w:rFonts w:cs="Arial"/>
          <w:bCs/>
          <w:iCs/>
          <w:color w:val="auto"/>
        </w:rPr>
        <w:t xml:space="preserve">of </w:t>
      </w:r>
      <w:r w:rsidRPr="00C2021A">
        <w:rPr>
          <w:rFonts w:cs="Arial"/>
          <w:bCs/>
          <w:iCs/>
          <w:color w:val="auto"/>
        </w:rPr>
        <w:t xml:space="preserve">the response to a given analyte concentration, measured before and after the dry storage period. Alternatively, a </w:t>
      </w:r>
      <w:r w:rsidR="00BC4C14" w:rsidRPr="00C2021A">
        <w:rPr>
          <w:rFonts w:cs="Arial"/>
          <w:bCs/>
          <w:iCs/>
          <w:color w:val="auto"/>
        </w:rPr>
        <w:t xml:space="preserve">percent </w:t>
      </w:r>
      <w:r w:rsidRPr="00C2021A">
        <w:rPr>
          <w:rFonts w:cs="Arial"/>
          <w:bCs/>
          <w:iCs/>
          <w:color w:val="auto"/>
        </w:rPr>
        <w:t>loss can be simply calculated as:</w:t>
      </w:r>
    </w:p>
    <w:p w14:paraId="6152CF55" w14:textId="0AEBA575" w:rsidR="00154DB5" w:rsidRPr="00C2021A" w:rsidRDefault="00414571" w:rsidP="00414571">
      <w:pPr>
        <w:spacing w:after="0" w:line="240" w:lineRule="auto"/>
        <w:jc w:val="center"/>
        <w:rPr>
          <w:rFonts w:cs="Arial"/>
          <w:bCs/>
          <w:iCs/>
          <w:color w:val="auto"/>
        </w:rPr>
      </w:pPr>
      <m:oMathPara>
        <m:oMath>
          <m:r>
            <w:rPr>
              <w:rFonts w:ascii="Cambria Math" w:hAnsi="Cambria Math" w:cs="Arial"/>
              <w:color w:val="auto"/>
            </w:rPr>
            <m:t xml:space="preserve">Loss </m:t>
          </m:r>
          <m:d>
            <m:dPr>
              <m:ctrlPr>
                <w:rPr>
                  <w:rFonts w:ascii="Cambria Math" w:hAnsi="Cambria Math" w:cs="Arial"/>
                  <w:bCs/>
                  <w:i/>
                  <w:iCs/>
                  <w:color w:val="auto"/>
                </w:rPr>
              </m:ctrlPr>
            </m:dPr>
            <m:e>
              <m:r>
                <w:rPr>
                  <w:rFonts w:ascii="Cambria Math" w:hAnsi="Cambria Math" w:cs="Arial"/>
                  <w:color w:val="auto"/>
                </w:rPr>
                <m:t>%</m:t>
              </m:r>
            </m:e>
          </m:d>
          <m:r>
            <w:rPr>
              <w:rFonts w:ascii="Cambria Math" w:hAnsi="Cambria Math" w:cs="Arial"/>
              <w:color w:val="auto"/>
            </w:rPr>
            <m:t>=100-stability(%)</m:t>
          </m:r>
        </m:oMath>
      </m:oMathPara>
    </w:p>
    <w:p w14:paraId="777139B2" w14:textId="0B95A86B" w:rsidR="00BC4C14" w:rsidRPr="00C2021A" w:rsidRDefault="00BC4C14" w:rsidP="00BC4C14">
      <w:pPr>
        <w:spacing w:after="0" w:line="240" w:lineRule="auto"/>
        <w:jc w:val="both"/>
        <w:rPr>
          <w:rFonts w:cs="Arial"/>
          <w:color w:val="auto"/>
        </w:rPr>
      </w:pPr>
      <w:r w:rsidRPr="00C2021A">
        <w:rPr>
          <w:rFonts w:cs="Arial"/>
          <w:color w:val="auto"/>
        </w:rPr>
        <w:tab/>
        <w:t xml:space="preserve">Furthermore, the selectivity of a biosensor is critical to offer </w:t>
      </w:r>
      <w:r w:rsidR="00154DB5" w:rsidRPr="00C2021A">
        <w:rPr>
          <w:rFonts w:cs="Arial"/>
          <w:color w:val="auto"/>
        </w:rPr>
        <w:t xml:space="preserve">reliable and accurate </w:t>
      </w:r>
      <w:r w:rsidRPr="00C2021A">
        <w:rPr>
          <w:rFonts w:cs="Arial"/>
          <w:color w:val="auto"/>
        </w:rPr>
        <w:t>detection of target analytes</w:t>
      </w:r>
      <w:r w:rsidR="00154DB5" w:rsidRPr="00C2021A">
        <w:rPr>
          <w:rFonts w:cs="Arial"/>
          <w:color w:val="auto"/>
        </w:rPr>
        <w:t xml:space="preserve">. Such selectivity is </w:t>
      </w:r>
      <w:r w:rsidRPr="00C2021A">
        <w:rPr>
          <w:rFonts w:cs="Arial"/>
          <w:color w:val="auto"/>
        </w:rPr>
        <w:t xml:space="preserve">investigated </w:t>
      </w:r>
      <w:r w:rsidR="00154DB5" w:rsidRPr="00C2021A">
        <w:rPr>
          <w:rFonts w:cs="Arial"/>
          <w:color w:val="auto"/>
        </w:rPr>
        <w:t xml:space="preserve">by adding interferent species in </w:t>
      </w:r>
      <w:r w:rsidRPr="00C2021A">
        <w:rPr>
          <w:rFonts w:cs="Arial"/>
          <w:color w:val="auto"/>
        </w:rPr>
        <w:t xml:space="preserve">a </w:t>
      </w:r>
      <w:r w:rsidR="00154DB5" w:rsidRPr="00C2021A">
        <w:rPr>
          <w:rFonts w:cs="Arial"/>
          <w:color w:val="auto"/>
        </w:rPr>
        <w:t xml:space="preserve">saliva sample </w:t>
      </w:r>
      <w:r w:rsidRPr="00C2021A">
        <w:rPr>
          <w:rFonts w:cs="Arial"/>
          <w:color w:val="auto"/>
        </w:rPr>
        <w:t xml:space="preserve">while exclusively </w:t>
      </w:r>
      <w:r w:rsidR="00154DB5" w:rsidRPr="00C2021A">
        <w:rPr>
          <w:rFonts w:cs="Arial"/>
          <w:color w:val="auto"/>
        </w:rPr>
        <w:t xml:space="preserve">measuring the </w:t>
      </w:r>
      <w:r w:rsidRPr="00C2021A">
        <w:rPr>
          <w:rFonts w:cs="Arial"/>
          <w:color w:val="auto"/>
        </w:rPr>
        <w:t xml:space="preserve">sensor </w:t>
      </w:r>
      <w:r w:rsidR="00154DB5" w:rsidRPr="00C2021A">
        <w:rPr>
          <w:rFonts w:cs="Arial"/>
          <w:color w:val="auto"/>
        </w:rPr>
        <w:t xml:space="preserve">response </w:t>
      </w:r>
      <w:r w:rsidRPr="00C2021A">
        <w:rPr>
          <w:rFonts w:cs="Arial"/>
          <w:color w:val="auto"/>
        </w:rPr>
        <w:t>on the designated target</w:t>
      </w:r>
      <w:r w:rsidR="00154DB5" w:rsidRPr="00C2021A">
        <w:rPr>
          <w:rFonts w:cs="Arial"/>
          <w:color w:val="auto"/>
        </w:rPr>
        <w:t xml:space="preserve">. </w:t>
      </w:r>
    </w:p>
    <w:p w14:paraId="155FE69D" w14:textId="3B7FF29E" w:rsidR="00154DB5" w:rsidRPr="00C2021A" w:rsidRDefault="00BC4C14" w:rsidP="00B210BF">
      <w:pPr>
        <w:spacing w:after="0" w:line="240" w:lineRule="auto"/>
        <w:jc w:val="both"/>
        <w:rPr>
          <w:rFonts w:cs="Arial"/>
          <w:color w:val="auto"/>
        </w:rPr>
      </w:pPr>
      <w:r w:rsidRPr="00C2021A">
        <w:rPr>
          <w:rFonts w:cs="Arial"/>
          <w:color w:val="auto"/>
        </w:rPr>
        <w:t>Although there is no specific calculation method on the selectivity, researchers calculate the signal-to-noise ratio where the signal is for the target</w:t>
      </w:r>
      <w:r w:rsidR="00A36E7F" w:rsidRPr="00C2021A">
        <w:rPr>
          <w:rFonts w:cs="Arial"/>
          <w:color w:val="auto"/>
        </w:rPr>
        <w:t>,</w:t>
      </w:r>
      <w:r w:rsidRPr="00C2021A">
        <w:rPr>
          <w:rFonts w:cs="Arial"/>
          <w:color w:val="auto"/>
        </w:rPr>
        <w:t xml:space="preserve"> and noise is for unwanted other analytes. Another useful evaluation metric is the sensor recovery to </w:t>
      </w:r>
      <w:r w:rsidR="00154DB5" w:rsidRPr="00C2021A">
        <w:rPr>
          <w:rFonts w:cs="Arial"/>
          <w:color w:val="auto"/>
        </w:rPr>
        <w:t>d</w:t>
      </w:r>
      <w:r w:rsidRPr="00C2021A">
        <w:rPr>
          <w:rFonts w:cs="Arial"/>
          <w:color w:val="auto"/>
        </w:rPr>
        <w:t xml:space="preserve">etect a target </w:t>
      </w:r>
      <w:r w:rsidR="00154DB5" w:rsidRPr="00C2021A">
        <w:rPr>
          <w:rFonts w:cs="Arial"/>
          <w:color w:val="auto"/>
        </w:rPr>
        <w:t xml:space="preserve">analyte in a complex </w:t>
      </w:r>
      <w:r w:rsidRPr="00C2021A">
        <w:rPr>
          <w:rFonts w:cs="Arial"/>
          <w:color w:val="auto"/>
        </w:rPr>
        <w:t xml:space="preserve">sample </w:t>
      </w:r>
      <w:r w:rsidR="00154DB5" w:rsidRPr="00C2021A">
        <w:rPr>
          <w:rFonts w:cs="Arial"/>
          <w:color w:val="auto"/>
        </w:rPr>
        <w:t>matrix (i.e.</w:t>
      </w:r>
      <w:r w:rsidRPr="00C2021A">
        <w:rPr>
          <w:rFonts w:cs="Arial"/>
          <w:color w:val="auto"/>
        </w:rPr>
        <w:t>,</w:t>
      </w:r>
      <w:r w:rsidR="00154DB5" w:rsidRPr="00C2021A">
        <w:rPr>
          <w:rFonts w:cs="Arial"/>
          <w:color w:val="auto"/>
        </w:rPr>
        <w:t xml:space="preserve"> whole saliva). The matrix is spiked with a known concentration of the analyte of interest, then a practical measurement using the biosensor is carried out. The </w:t>
      </w:r>
      <w:r w:rsidRPr="00C2021A">
        <w:rPr>
          <w:rFonts w:cs="Arial"/>
          <w:color w:val="auto"/>
        </w:rPr>
        <w:t xml:space="preserve">percentage </w:t>
      </w:r>
      <w:r w:rsidR="00154DB5" w:rsidRPr="00C2021A">
        <w:rPr>
          <w:rFonts w:cs="Arial"/>
          <w:color w:val="auto"/>
        </w:rPr>
        <w:t>ratio between the theoretical (known) and practical (measured) concentration of the analyte</w:t>
      </w:r>
      <w:r w:rsidRPr="00C2021A">
        <w:rPr>
          <w:rFonts w:cs="Arial"/>
          <w:color w:val="auto"/>
        </w:rPr>
        <w:t xml:space="preserve"> provides </w:t>
      </w:r>
      <w:r w:rsidR="00154DB5" w:rsidRPr="00C2021A">
        <w:rPr>
          <w:rFonts w:cs="Arial"/>
          <w:color w:val="auto"/>
        </w:rPr>
        <w:t>the recovery value.</w:t>
      </w:r>
      <w:r w:rsidR="00A36E7F" w:rsidRPr="00C2021A">
        <w:rPr>
          <w:rFonts w:cs="Arial"/>
          <w:color w:val="auto"/>
        </w:rPr>
        <w:t xml:space="preserve"> </w:t>
      </w:r>
      <w:r w:rsidRPr="00C2021A">
        <w:rPr>
          <w:rFonts w:cs="Arial"/>
          <w:color w:val="auto"/>
        </w:rPr>
        <w:t xml:space="preserve">Lastly, both </w:t>
      </w:r>
      <w:r w:rsidR="00A36E7F" w:rsidRPr="00C2021A">
        <w:rPr>
          <w:rFonts w:cs="Arial"/>
          <w:color w:val="auto"/>
        </w:rPr>
        <w:t xml:space="preserve">the </w:t>
      </w:r>
      <w:r w:rsidRPr="00C2021A">
        <w:rPr>
          <w:rFonts w:cs="Arial"/>
          <w:color w:val="auto"/>
        </w:rPr>
        <w:t>r</w:t>
      </w:r>
      <w:r w:rsidR="00154DB5" w:rsidRPr="00C2021A">
        <w:rPr>
          <w:rFonts w:cs="Arial"/>
          <w:color w:val="auto"/>
        </w:rPr>
        <w:t xml:space="preserve">epeatability and reproducibility of a sensor are two metrics that </w:t>
      </w:r>
      <w:r w:rsidRPr="00C2021A">
        <w:rPr>
          <w:rFonts w:cs="Arial"/>
          <w:color w:val="auto"/>
        </w:rPr>
        <w:t xml:space="preserve">reveal the </w:t>
      </w:r>
      <w:r w:rsidR="007B29A7">
        <w:rPr>
          <w:rFonts w:cs="Arial"/>
          <w:color w:val="auto"/>
        </w:rPr>
        <w:t>sensor's reliable use</w:t>
      </w:r>
      <w:r w:rsidR="00154DB5" w:rsidRPr="00C2021A">
        <w:rPr>
          <w:rFonts w:cs="Arial"/>
          <w:color w:val="auto"/>
        </w:rPr>
        <w:t xml:space="preserve">. </w:t>
      </w:r>
      <w:r w:rsidRPr="00C2021A">
        <w:rPr>
          <w:rFonts w:cs="Arial"/>
          <w:color w:val="auto"/>
        </w:rPr>
        <w:t xml:space="preserve">Typically, </w:t>
      </w:r>
      <w:r w:rsidR="00154DB5" w:rsidRPr="00C2021A">
        <w:rPr>
          <w:rFonts w:cs="Arial"/>
          <w:color w:val="auto"/>
        </w:rPr>
        <w:t xml:space="preserve">the relative standard deviation (RSD) </w:t>
      </w:r>
      <w:r w:rsidRPr="00C2021A">
        <w:rPr>
          <w:rFonts w:cs="Arial"/>
          <w:color w:val="auto"/>
        </w:rPr>
        <w:t xml:space="preserve">is calculated to </w:t>
      </w:r>
      <w:r w:rsidR="00154DB5" w:rsidRPr="00C2021A">
        <w:rPr>
          <w:rFonts w:cs="Arial"/>
          <w:color w:val="auto"/>
        </w:rPr>
        <w:t xml:space="preserve">relate the standard deviation </w:t>
      </w:r>
      <w:r w:rsidRPr="00C2021A">
        <w:rPr>
          <w:rFonts w:cs="Arial"/>
          <w:color w:val="auto"/>
        </w:rPr>
        <w:t xml:space="preserve">of measurement </w:t>
      </w:r>
      <w:r w:rsidR="00154DB5" w:rsidRPr="00C2021A">
        <w:rPr>
          <w:rFonts w:cs="Arial"/>
          <w:color w:val="auto"/>
        </w:rPr>
        <w:t>to the mea</w:t>
      </w:r>
      <w:r w:rsidR="007B29A7">
        <w:rPr>
          <w:rFonts w:cs="Arial"/>
          <w:color w:val="auto"/>
        </w:rPr>
        <w:t>surement's mean</w:t>
      </w:r>
      <w:r w:rsidR="00154DB5" w:rsidRPr="00C2021A">
        <w:rPr>
          <w:rFonts w:cs="Arial"/>
          <w:color w:val="auto"/>
        </w:rPr>
        <w:t xml:space="preserve">. When the RSD is computed on different tests performed on the same biosensor, it is called intra-assay RSD. Conversely, inter-assay RSD is calculated based on measurements carried out on distinct devices. </w:t>
      </w:r>
      <w:bookmarkEnd w:id="4"/>
    </w:p>
    <w:p w14:paraId="06ABBF04" w14:textId="77777777" w:rsidR="00154DB5" w:rsidRPr="00C2021A" w:rsidRDefault="00154DB5" w:rsidP="00C0756F">
      <w:pPr>
        <w:spacing w:after="0" w:line="240" w:lineRule="auto"/>
        <w:jc w:val="both"/>
        <w:rPr>
          <w:rFonts w:cs="Arial"/>
          <w:color w:val="auto"/>
        </w:rPr>
      </w:pPr>
    </w:p>
    <w:p w14:paraId="05CBB3E7" w14:textId="77777777" w:rsidR="00154DB5" w:rsidRPr="00C2021A" w:rsidRDefault="00154DB5" w:rsidP="00C0756F">
      <w:pPr>
        <w:spacing w:after="0" w:line="240" w:lineRule="auto"/>
        <w:jc w:val="both"/>
        <w:rPr>
          <w:rFonts w:cs="Arial"/>
          <w:b/>
          <w:bCs/>
          <w:color w:val="auto"/>
        </w:rPr>
      </w:pPr>
      <w:r w:rsidRPr="00C2021A">
        <w:rPr>
          <w:rFonts w:cs="Arial"/>
          <w:b/>
          <w:bCs/>
          <w:color w:val="auto"/>
        </w:rPr>
        <w:t xml:space="preserve">3. Biomarkers in human saliva </w:t>
      </w:r>
    </w:p>
    <w:p w14:paraId="72C16847" w14:textId="1DA65D35" w:rsidR="00154DB5" w:rsidRPr="00C2021A" w:rsidRDefault="00154DB5" w:rsidP="00041DBE">
      <w:pPr>
        <w:spacing w:after="0" w:line="240" w:lineRule="auto"/>
        <w:jc w:val="both"/>
        <w:rPr>
          <w:rFonts w:cs="Arial"/>
          <w:color w:val="auto"/>
        </w:rPr>
      </w:pPr>
      <w:r w:rsidRPr="00C2021A">
        <w:rPr>
          <w:rFonts w:cs="Arial"/>
          <w:color w:val="auto"/>
        </w:rPr>
        <w:t xml:space="preserve">Human saliva belongs to the family of body fluids that also include serum </w:t>
      </w:r>
      <w:r w:rsidRPr="00C2021A">
        <w:rPr>
          <w:rFonts w:cs="Arial"/>
          <w:noProof/>
          <w:color w:val="auto"/>
        </w:rPr>
        <w:t>(Albishri and Abd El-Hady 2019)</w:t>
      </w:r>
      <w:r w:rsidRPr="00C2021A">
        <w:rPr>
          <w:rFonts w:cs="Arial"/>
          <w:color w:val="auto"/>
        </w:rPr>
        <w:t xml:space="preserve">, sweat </w:t>
      </w:r>
      <w:r w:rsidRPr="00C2021A">
        <w:rPr>
          <w:rFonts w:cs="Arial"/>
          <w:noProof/>
          <w:color w:val="auto"/>
        </w:rPr>
        <w:t>(Torrente-Rodríguez et al. 2020)</w:t>
      </w:r>
      <w:r w:rsidRPr="00C2021A">
        <w:rPr>
          <w:rFonts w:cs="Arial"/>
          <w:color w:val="auto"/>
        </w:rPr>
        <w:t xml:space="preserve">, urine </w:t>
      </w:r>
      <w:r w:rsidRPr="00C2021A">
        <w:rPr>
          <w:rFonts w:cs="Arial"/>
          <w:noProof/>
          <w:color w:val="auto"/>
        </w:rPr>
        <w:t>(Janyasupab et al. 2019)</w:t>
      </w:r>
      <w:r w:rsidRPr="00C2021A">
        <w:rPr>
          <w:rFonts w:cs="Arial"/>
          <w:color w:val="auto"/>
        </w:rPr>
        <w:t xml:space="preserve">, and tears </w:t>
      </w:r>
      <w:r w:rsidRPr="00C2021A">
        <w:rPr>
          <w:rFonts w:cs="Arial"/>
          <w:noProof/>
          <w:color w:val="auto"/>
        </w:rPr>
        <w:t>(Kim et al. 2017a)</w:t>
      </w:r>
      <w:r w:rsidRPr="00C2021A">
        <w:rPr>
          <w:rFonts w:cs="Arial"/>
          <w:color w:val="auto"/>
        </w:rPr>
        <w:t xml:space="preserve">. Blood tests are still considered the gold standard for examinations, but other fluids that can be less invasively collected are widely used in advanced biosensors and bioelectronics </w:t>
      </w:r>
      <w:r w:rsidRPr="00C2021A">
        <w:rPr>
          <w:rFonts w:cs="Arial"/>
          <w:noProof/>
          <w:color w:val="auto"/>
        </w:rPr>
        <w:t>(Ma et al. 2020)</w:t>
      </w:r>
      <w:r w:rsidRPr="00C2021A">
        <w:rPr>
          <w:rFonts w:cs="Arial"/>
          <w:color w:val="auto"/>
        </w:rPr>
        <w:t xml:space="preserve">. </w:t>
      </w:r>
      <w:r w:rsidR="00A36E7F" w:rsidRPr="00C2021A">
        <w:rPr>
          <w:rFonts w:cs="Arial"/>
          <w:color w:val="auto"/>
        </w:rPr>
        <w:t>As summarized in Table 2, the</w:t>
      </w:r>
      <w:r w:rsidRPr="00C2021A">
        <w:rPr>
          <w:rFonts w:cs="Arial"/>
          <w:color w:val="auto"/>
        </w:rPr>
        <w:t xml:space="preserve"> abundance and continuous renovation, the ease of its collection, and its demonstrated richness in biomarkers </w:t>
      </w:r>
      <w:r w:rsidRPr="00C2021A">
        <w:rPr>
          <w:rFonts w:cs="Arial"/>
          <w:noProof/>
          <w:color w:val="auto"/>
        </w:rPr>
        <w:t>(Malon et al. 2014)</w:t>
      </w:r>
      <w:r w:rsidRPr="00C2021A">
        <w:rPr>
          <w:rFonts w:cs="Arial"/>
          <w:color w:val="auto"/>
        </w:rPr>
        <w:t xml:space="preserve"> is fostering saliva as a promising tool for remote diagnostics </w:t>
      </w:r>
      <w:r w:rsidRPr="00C2021A">
        <w:rPr>
          <w:rFonts w:cs="Arial"/>
          <w:noProof/>
          <w:color w:val="auto"/>
        </w:rPr>
        <w:t>(Goswami et al. 2015; Javaid et al. 2016)</w:t>
      </w:r>
      <w:r w:rsidRPr="00C2021A">
        <w:rPr>
          <w:rFonts w:cs="Arial"/>
          <w:color w:val="auto"/>
        </w:rPr>
        <w:t>. Saliva is produced by the salivary glands in the oral cavity, one of the connecting points between our organism and the outside environment (</w:t>
      </w:r>
      <w:r w:rsidRPr="00C2021A">
        <w:rPr>
          <w:rFonts w:cs="Arial"/>
          <w:b/>
          <w:bCs/>
          <w:color w:val="auto"/>
        </w:rPr>
        <w:t>Figure 4</w:t>
      </w:r>
      <w:r w:rsidRPr="00C2021A">
        <w:rPr>
          <w:rFonts w:cs="Arial"/>
          <w:color w:val="auto"/>
        </w:rPr>
        <w:t xml:space="preserve">) </w:t>
      </w:r>
      <w:r w:rsidRPr="00C2021A">
        <w:rPr>
          <w:rFonts w:cs="Arial"/>
          <w:noProof/>
          <w:color w:val="auto"/>
        </w:rPr>
        <w:t>(Wang et al. 2020)</w:t>
      </w:r>
      <w:r w:rsidRPr="00C2021A">
        <w:rPr>
          <w:rFonts w:cs="Arial"/>
          <w:color w:val="auto"/>
        </w:rPr>
        <w:t xml:space="preserve">. The oral cavity is also a location where many human systems converge. Food processing is carried out by the digestive and muscular system </w:t>
      </w:r>
      <w:r w:rsidRPr="00C2021A">
        <w:rPr>
          <w:rFonts w:cs="Arial"/>
          <w:noProof/>
          <w:color w:val="auto"/>
        </w:rPr>
        <w:t>(Breslin 2013)</w:t>
      </w:r>
      <w:r w:rsidRPr="00C2021A">
        <w:rPr>
          <w:rFonts w:cs="Arial"/>
          <w:color w:val="auto"/>
        </w:rPr>
        <w:t xml:space="preserve">. </w:t>
      </w:r>
      <w:r w:rsidR="007B29A7">
        <w:rPr>
          <w:rFonts w:cs="Arial"/>
          <w:color w:val="auto"/>
        </w:rPr>
        <w:t>Simultaneously</w:t>
      </w:r>
      <w:r w:rsidRPr="00C2021A">
        <w:rPr>
          <w:rFonts w:cs="Arial"/>
          <w:color w:val="auto"/>
        </w:rPr>
        <w:t xml:space="preserve">, the assumption of substances by matter exchange has a direct relationship with our health status, reflected in the circulatory, </w:t>
      </w:r>
      <w:proofErr w:type="gramStart"/>
      <w:r w:rsidRPr="00C2021A">
        <w:rPr>
          <w:rFonts w:cs="Arial"/>
          <w:color w:val="auto"/>
        </w:rPr>
        <w:t>respiratory</w:t>
      </w:r>
      <w:proofErr w:type="gramEnd"/>
      <w:r w:rsidRPr="00C2021A">
        <w:rPr>
          <w:rFonts w:cs="Arial"/>
          <w:color w:val="auto"/>
        </w:rPr>
        <w:t xml:space="preserve"> and nervous system </w:t>
      </w:r>
      <w:r w:rsidRPr="00C2021A">
        <w:rPr>
          <w:rFonts w:cs="Arial"/>
          <w:noProof/>
          <w:color w:val="auto"/>
        </w:rPr>
        <w:t>(Haeckel and Hanecke 1996; Ocak et al. 2015; Plummer et al. 2015)</w:t>
      </w:r>
      <w:r w:rsidRPr="00C2021A">
        <w:rPr>
          <w:rFonts w:cs="Arial"/>
          <w:color w:val="auto"/>
        </w:rPr>
        <w:t xml:space="preserve">. The immune system shields our body from several pathogens that could accidentally enter the oral cavity, </w:t>
      </w:r>
      <w:proofErr w:type="gramStart"/>
      <w:r w:rsidRPr="00C2021A">
        <w:rPr>
          <w:rFonts w:cs="Arial"/>
          <w:color w:val="auto"/>
        </w:rPr>
        <w:t>through the use of</w:t>
      </w:r>
      <w:proofErr w:type="gramEnd"/>
      <w:r w:rsidRPr="00C2021A">
        <w:rPr>
          <w:rFonts w:cs="Arial"/>
          <w:color w:val="auto"/>
        </w:rPr>
        <w:t xml:space="preserve"> various glands controlled by the excretory system </w:t>
      </w:r>
      <w:r w:rsidRPr="00C2021A">
        <w:rPr>
          <w:rFonts w:cs="Arial"/>
          <w:noProof/>
          <w:color w:val="auto"/>
        </w:rPr>
        <w:t>(Warinner et al. 2014; Wu et al. 2014)</w:t>
      </w:r>
      <w:r w:rsidRPr="00C2021A">
        <w:rPr>
          <w:rFonts w:cs="Arial"/>
          <w:color w:val="auto"/>
        </w:rPr>
        <w:t xml:space="preserve">. </w:t>
      </w:r>
    </w:p>
    <w:p w14:paraId="00CA50F3" w14:textId="77777777" w:rsidR="00154DB5" w:rsidRPr="00C2021A" w:rsidRDefault="00154DB5" w:rsidP="00774B8E">
      <w:pPr>
        <w:spacing w:after="0" w:line="240" w:lineRule="auto"/>
        <w:ind w:firstLine="720"/>
        <w:jc w:val="both"/>
        <w:rPr>
          <w:rFonts w:cs="Arial"/>
          <w:color w:val="auto"/>
        </w:rPr>
      </w:pPr>
      <w:bookmarkStart w:id="5" w:name="_Hlk51004660"/>
      <w:r w:rsidRPr="00C2021A">
        <w:rPr>
          <w:rFonts w:cs="Arial"/>
          <w:color w:val="auto"/>
        </w:rPr>
        <w:t xml:space="preserve">The presence of various biomarkers that are contained in saliva can be originated by either inflammatory cells proper of chronic diseases </w:t>
      </w:r>
      <w:r w:rsidRPr="00C2021A">
        <w:rPr>
          <w:rFonts w:cs="Arial"/>
          <w:noProof/>
          <w:color w:val="auto"/>
        </w:rPr>
        <w:t>(Prasad et al. 2016; Rathnayake et al. 2017)</w:t>
      </w:r>
      <w:r w:rsidRPr="00C2021A">
        <w:rPr>
          <w:rFonts w:cs="Arial"/>
          <w:color w:val="auto"/>
        </w:rPr>
        <w:t xml:space="preserve"> or molecules that are produced by the immune system </w:t>
      </w:r>
      <w:r w:rsidRPr="00C2021A">
        <w:rPr>
          <w:rFonts w:cs="Arial"/>
          <w:noProof/>
          <w:color w:val="auto"/>
        </w:rPr>
        <w:t xml:space="preserve">(Choromańska et al. 2017; Khurshid et al. </w:t>
      </w:r>
      <w:r w:rsidRPr="00C2021A">
        <w:rPr>
          <w:rFonts w:cs="Arial"/>
          <w:noProof/>
          <w:color w:val="auto"/>
        </w:rPr>
        <w:lastRenderedPageBreak/>
        <w:t>2016; Tartaglia et al. 2017)</w:t>
      </w:r>
      <w:r w:rsidRPr="00C2021A">
        <w:rPr>
          <w:rFonts w:cs="Arial"/>
          <w:color w:val="auto"/>
        </w:rPr>
        <w:t xml:space="preserve">. </w:t>
      </w:r>
      <w:bookmarkEnd w:id="5"/>
      <w:r w:rsidRPr="00C2021A">
        <w:rPr>
          <w:rFonts w:cs="Arial"/>
          <w:color w:val="auto"/>
        </w:rPr>
        <w:t xml:space="preserve">Saliva can also be used to monitor the pharmacokinetics of a specific drug during a treatment </w:t>
      </w:r>
      <w:r w:rsidRPr="00C2021A">
        <w:rPr>
          <w:rFonts w:cs="Arial"/>
          <w:noProof/>
          <w:color w:val="auto"/>
        </w:rPr>
        <w:t>(Idkaidek and Arafat 2012; Kaczor-Urbanowicz et al. 2017)</w:t>
      </w:r>
      <w:r w:rsidRPr="00C2021A">
        <w:rPr>
          <w:rFonts w:cs="Arial"/>
          <w:color w:val="auto"/>
        </w:rPr>
        <w:t xml:space="preserve">. </w:t>
      </w:r>
      <w:bookmarkStart w:id="6" w:name="_Hlk51170832"/>
      <w:r w:rsidRPr="00C2021A">
        <w:rPr>
          <w:rFonts w:cs="Arial"/>
          <w:color w:val="auto"/>
        </w:rPr>
        <w:t xml:space="preserve">Moreover, being it continuously renovated </w:t>
      </w:r>
      <w:r w:rsidRPr="00C2021A">
        <w:rPr>
          <w:rFonts w:cs="Arial"/>
          <w:noProof/>
          <w:color w:val="auto"/>
        </w:rPr>
        <w:t>(Jokerst et al. 2009)</w:t>
      </w:r>
      <w:r w:rsidRPr="00C2021A">
        <w:rPr>
          <w:rFonts w:cs="Arial"/>
          <w:color w:val="auto"/>
        </w:rPr>
        <w:t xml:space="preserve">, saliva is the perfect candidate for the continuous monitoring of electrolytes and metabolites in the oral cavity through POC devices </w:t>
      </w:r>
      <w:r w:rsidRPr="00C2021A">
        <w:rPr>
          <w:rFonts w:cs="Arial"/>
          <w:noProof/>
          <w:color w:val="auto"/>
        </w:rPr>
        <w:t>(Herr et al. 2007; Tan et al. 2008)</w:t>
      </w:r>
      <w:r w:rsidRPr="00C2021A">
        <w:rPr>
          <w:rFonts w:cs="Arial"/>
          <w:color w:val="auto"/>
        </w:rPr>
        <w:t xml:space="preserve">. </w:t>
      </w:r>
      <w:bookmarkEnd w:id="6"/>
      <w:r w:rsidRPr="00C2021A">
        <w:rPr>
          <w:rFonts w:cs="Arial"/>
          <w:color w:val="auto"/>
        </w:rPr>
        <w:t xml:space="preserve">Compared to the blood draw, the use of saliva requires easier collection and processing procedures, more appropriate for less-skilled personnel </w:t>
      </w:r>
      <w:r w:rsidRPr="00C2021A">
        <w:rPr>
          <w:rFonts w:cs="Arial"/>
          <w:noProof/>
          <w:color w:val="auto"/>
        </w:rPr>
        <w:t>(Campuzano et al. 2017)</w:t>
      </w:r>
      <w:r w:rsidRPr="00C2021A">
        <w:rPr>
          <w:rFonts w:cs="Arial"/>
          <w:color w:val="auto"/>
        </w:rPr>
        <w:t xml:space="preserve">. This becomes even more important when the patient is an infant or an older adult, that usually suffers from pain and anxiety associated with the blood sampling procedure </w:t>
      </w:r>
      <w:r w:rsidRPr="00C2021A">
        <w:rPr>
          <w:rFonts w:cs="Arial"/>
          <w:noProof/>
          <w:color w:val="auto"/>
        </w:rPr>
        <w:t>(Malon et al. 2014)</w:t>
      </w:r>
      <w:r w:rsidRPr="00C2021A">
        <w:rPr>
          <w:rFonts w:cs="Arial"/>
          <w:color w:val="auto"/>
        </w:rPr>
        <w:t xml:space="preserve">. As compared to blood, saliva also offers additional advantages related to sampling and handling. Saliva does not clot, and its analytes are stable over time, while blood could present issues of this kind. Moreover, saliva presents almost no risk of cross-contamination between patients or exposure to pathogens, which is quite more frequent with blood samples </w:t>
      </w:r>
      <w:r w:rsidRPr="00C2021A">
        <w:rPr>
          <w:rFonts w:cs="Arial"/>
          <w:noProof/>
          <w:color w:val="auto"/>
        </w:rPr>
        <w:t>(Malon et al. 2014)</w:t>
      </w:r>
      <w:r w:rsidRPr="00C2021A">
        <w:rPr>
          <w:rFonts w:cs="Arial"/>
          <w:color w:val="auto"/>
        </w:rPr>
        <w:t xml:space="preserve">. Despite these advantages, the saliva collection and processing workflow still lack a widely accepted and standardized set of rules </w:t>
      </w:r>
      <w:r w:rsidRPr="00C2021A">
        <w:rPr>
          <w:rFonts w:cs="Arial"/>
          <w:noProof/>
          <w:color w:val="auto"/>
        </w:rPr>
        <w:t>(Malon et al. 2014)</w:t>
      </w:r>
      <w:r w:rsidRPr="00C2021A">
        <w:rPr>
          <w:rFonts w:cs="Arial"/>
          <w:color w:val="auto"/>
        </w:rPr>
        <w:t xml:space="preserve">. As a result, it becomes difficult to precisely compare data coming from distinct research groups or different acquisition techniques. </w:t>
      </w:r>
    </w:p>
    <w:p w14:paraId="6C903625" w14:textId="38907241" w:rsidR="00154DB5" w:rsidRPr="00C2021A" w:rsidRDefault="00154DB5" w:rsidP="00774B8E">
      <w:pPr>
        <w:spacing w:after="0" w:line="240" w:lineRule="auto"/>
        <w:ind w:firstLine="720"/>
        <w:jc w:val="both"/>
        <w:rPr>
          <w:rFonts w:cs="Arial"/>
          <w:color w:val="auto"/>
        </w:rPr>
      </w:pPr>
      <w:r w:rsidRPr="00C2021A">
        <w:rPr>
          <w:rFonts w:cs="Arial"/>
          <w:color w:val="auto"/>
        </w:rPr>
        <w:t xml:space="preserve">Saliva is usually centrifuged to remove big unwanted particles and food residues that are not of interest for the detection. The supernatant is then typically diluted, but the dilution process is again not standardized. However, according to recent studies, a dilution of 1/10 for human saliva samples seems to be the </w:t>
      </w:r>
      <w:proofErr w:type="gramStart"/>
      <w:r w:rsidRPr="00C2021A">
        <w:rPr>
          <w:rFonts w:cs="Arial"/>
          <w:color w:val="auto"/>
        </w:rPr>
        <w:t>most commonly operated</w:t>
      </w:r>
      <w:proofErr w:type="gramEnd"/>
      <w:r w:rsidRPr="00C2021A">
        <w:rPr>
          <w:rFonts w:cs="Arial"/>
          <w:color w:val="auto"/>
        </w:rPr>
        <w:t xml:space="preserve"> procedure </w:t>
      </w:r>
      <w:r w:rsidRPr="00C2021A">
        <w:rPr>
          <w:rFonts w:cs="Arial"/>
          <w:noProof/>
          <w:color w:val="auto"/>
        </w:rPr>
        <w:t>(Liu et al. 2017)</w:t>
      </w:r>
      <w:r w:rsidRPr="00C2021A">
        <w:rPr>
          <w:rFonts w:cs="Arial"/>
          <w:color w:val="auto"/>
        </w:rPr>
        <w:t xml:space="preserve">. In some cases, human saliva samples are then spiked with a specified amount of the analytes of interest. Storage of saliva samples is also another factor that could potentially affect the analysis and should be </w:t>
      </w:r>
      <w:proofErr w:type="gramStart"/>
      <w:r w:rsidRPr="00C2021A">
        <w:rPr>
          <w:rFonts w:cs="Arial"/>
          <w:color w:val="auto"/>
        </w:rPr>
        <w:t>taken into account</w:t>
      </w:r>
      <w:proofErr w:type="gramEnd"/>
      <w:r w:rsidRPr="00C2021A">
        <w:rPr>
          <w:rFonts w:cs="Arial"/>
          <w:color w:val="auto"/>
        </w:rPr>
        <w:t xml:space="preserve"> when reporting the results. Established laboratory techniques for the analysis of saliva already exist and are highly reliable, even in terms of standardization of the procedure. </w:t>
      </w:r>
      <w:bookmarkStart w:id="7" w:name="_Hlk51171047"/>
      <w:r w:rsidRPr="00C2021A">
        <w:rPr>
          <w:rFonts w:cs="Arial"/>
          <w:color w:val="auto"/>
        </w:rPr>
        <w:t xml:space="preserve">However, </w:t>
      </w:r>
      <w:r w:rsidR="00DD7631" w:rsidRPr="00C2021A">
        <w:rPr>
          <w:rFonts w:cs="Arial"/>
          <w:color w:val="auto"/>
        </w:rPr>
        <w:t xml:space="preserve">since </w:t>
      </w:r>
      <w:r w:rsidRPr="00C2021A">
        <w:rPr>
          <w:rFonts w:cs="Arial"/>
          <w:color w:val="auto"/>
        </w:rPr>
        <w:t xml:space="preserve">these processes </w:t>
      </w:r>
      <w:r w:rsidR="00DD7631" w:rsidRPr="00C2021A">
        <w:rPr>
          <w:rFonts w:cs="Arial"/>
          <w:color w:val="auto"/>
        </w:rPr>
        <w:t xml:space="preserve">are </w:t>
      </w:r>
      <w:r w:rsidRPr="00C2021A">
        <w:rPr>
          <w:rFonts w:cs="Arial"/>
          <w:color w:val="auto"/>
        </w:rPr>
        <w:t xml:space="preserve">only performed in centralized laboratories, they suffer from slow and expensive </w:t>
      </w:r>
      <w:r w:rsidR="00DD7631" w:rsidRPr="00C2021A">
        <w:rPr>
          <w:rFonts w:cs="Arial"/>
          <w:color w:val="auto"/>
        </w:rPr>
        <w:t xml:space="preserve">operations, including sample preparation, data acquisition, and </w:t>
      </w:r>
      <w:r w:rsidRPr="00C2021A">
        <w:rPr>
          <w:rFonts w:cs="Arial"/>
          <w:color w:val="auto"/>
        </w:rPr>
        <w:t xml:space="preserve">shipment </w:t>
      </w:r>
      <w:r w:rsidRPr="00C2021A">
        <w:rPr>
          <w:rFonts w:cs="Arial"/>
          <w:noProof/>
          <w:color w:val="auto"/>
        </w:rPr>
        <w:t>(Rusling et al. 2010)</w:t>
      </w:r>
      <w:r w:rsidRPr="00C2021A">
        <w:rPr>
          <w:rFonts w:cs="Arial"/>
          <w:color w:val="auto"/>
        </w:rPr>
        <w:t xml:space="preserve">. </w:t>
      </w:r>
      <w:bookmarkEnd w:id="7"/>
      <w:r w:rsidR="00DD7631" w:rsidRPr="00C2021A">
        <w:rPr>
          <w:rFonts w:cs="Arial"/>
          <w:color w:val="auto"/>
        </w:rPr>
        <w:t>Standard</w:t>
      </w:r>
      <w:r w:rsidRPr="00C2021A">
        <w:rPr>
          <w:rFonts w:cs="Arial"/>
          <w:color w:val="auto"/>
        </w:rPr>
        <w:t xml:space="preserve"> techniques for the detection of biomarkers in saliva include immunoassays (radioimmunoassay </w:t>
      </w:r>
      <w:r w:rsidRPr="00C2021A">
        <w:rPr>
          <w:rFonts w:cs="Arial"/>
          <w:noProof/>
          <w:color w:val="auto"/>
        </w:rPr>
        <w:t>(Walker et al. 1978)</w:t>
      </w:r>
      <w:r w:rsidRPr="00C2021A">
        <w:rPr>
          <w:rFonts w:cs="Arial"/>
          <w:color w:val="auto"/>
        </w:rPr>
        <w:t xml:space="preserve">, chemiluminescence immunoassay </w:t>
      </w:r>
      <w:r w:rsidRPr="00C2021A">
        <w:rPr>
          <w:rFonts w:cs="Arial"/>
          <w:noProof/>
          <w:color w:val="auto"/>
        </w:rPr>
        <w:t>(De Boever et al. 1990)</w:t>
      </w:r>
      <w:r w:rsidRPr="00C2021A">
        <w:rPr>
          <w:rFonts w:cs="Arial"/>
          <w:color w:val="auto"/>
        </w:rPr>
        <w:t xml:space="preserve">, electrophoretic immunoassay </w:t>
      </w:r>
      <w:r w:rsidRPr="00C2021A">
        <w:rPr>
          <w:rFonts w:cs="Arial"/>
          <w:noProof/>
          <w:color w:val="auto"/>
        </w:rPr>
        <w:t>(Koutny et al. 1996)</w:t>
      </w:r>
      <w:r w:rsidRPr="00C2021A">
        <w:rPr>
          <w:rFonts w:cs="Arial"/>
          <w:color w:val="auto"/>
        </w:rPr>
        <w:t xml:space="preserve">), DNA-based techniques </w:t>
      </w:r>
      <w:r w:rsidRPr="00C2021A">
        <w:rPr>
          <w:rFonts w:cs="Arial"/>
          <w:noProof/>
          <w:color w:val="auto"/>
        </w:rPr>
        <w:t>(Garbieri et al. 2017)</w:t>
      </w:r>
      <w:r w:rsidRPr="00C2021A">
        <w:rPr>
          <w:rFonts w:cs="Arial"/>
          <w:color w:val="auto"/>
        </w:rPr>
        <w:t xml:space="preserve">, salivary proteomics </w:t>
      </w:r>
      <w:r w:rsidRPr="00C2021A">
        <w:rPr>
          <w:rFonts w:cs="Arial"/>
          <w:noProof/>
          <w:color w:val="auto"/>
        </w:rPr>
        <w:t>(Delaleu et al. 2015; Hu et al. 2008)</w:t>
      </w:r>
      <w:r w:rsidRPr="00C2021A">
        <w:rPr>
          <w:rFonts w:cs="Arial"/>
          <w:color w:val="auto"/>
        </w:rPr>
        <w:t xml:space="preserve"> and the most widely employed Enzyme-Linked Immunosorbent Assay (ELISA) </w:t>
      </w:r>
      <w:r w:rsidRPr="00C2021A">
        <w:rPr>
          <w:rFonts w:cs="Arial"/>
          <w:noProof/>
          <w:color w:val="auto"/>
        </w:rPr>
        <w:t>(Holmström et al. 1990; Oba et al. 2000; Pinho et al. 1999)</w:t>
      </w:r>
      <w:r w:rsidRPr="00C2021A">
        <w:rPr>
          <w:rFonts w:cs="Arial"/>
          <w:color w:val="auto"/>
        </w:rPr>
        <w:t xml:space="preserve">. These techniques are notably slow, expensive, and require highly trained personnel </w:t>
      </w:r>
      <w:r w:rsidRPr="00C2021A">
        <w:rPr>
          <w:rFonts w:cs="Arial"/>
          <w:noProof/>
          <w:color w:val="auto"/>
        </w:rPr>
        <w:t>(Choudhary et al. 2013)</w:t>
      </w:r>
      <w:r w:rsidRPr="00C2021A">
        <w:rPr>
          <w:rFonts w:cs="Arial"/>
          <w:color w:val="auto"/>
        </w:rPr>
        <w:t xml:space="preserve">. </w:t>
      </w:r>
    </w:p>
    <w:p w14:paraId="5726508D" w14:textId="417D8F41" w:rsidR="005A7E69" w:rsidRPr="00C2021A" w:rsidRDefault="00154DB5" w:rsidP="005A7E69">
      <w:pPr>
        <w:spacing w:after="0" w:line="240" w:lineRule="auto"/>
        <w:ind w:firstLine="720"/>
        <w:jc w:val="both"/>
        <w:rPr>
          <w:rFonts w:cs="Arial"/>
          <w:color w:val="auto"/>
        </w:rPr>
      </w:pPr>
      <w:r w:rsidRPr="00C2021A">
        <w:rPr>
          <w:rFonts w:cs="Arial"/>
          <w:color w:val="auto"/>
        </w:rPr>
        <w:t xml:space="preserve">Considering the limitations posed by conventional methods, there has been an increasing effort in the scientific community to develop biosensors that would allow rapid and affordable diagnostic tools for salivary analysis in either clinical or non-clinical settings. </w:t>
      </w:r>
      <w:bookmarkStart w:id="8" w:name="_Hlk51170471"/>
      <w:r w:rsidRPr="00C2021A">
        <w:rPr>
          <w:rFonts w:cs="Arial"/>
          <w:color w:val="auto"/>
        </w:rPr>
        <w:t xml:space="preserve">The development of biosensors that are accurate, reliable, and reproducible is still very challenging. One of these challenges </w:t>
      </w:r>
      <w:r w:rsidR="005A7E69" w:rsidRPr="00C2021A">
        <w:rPr>
          <w:rFonts w:cs="Arial"/>
          <w:color w:val="auto"/>
        </w:rPr>
        <w:t xml:space="preserve">is </w:t>
      </w:r>
      <w:r w:rsidRPr="00C2021A">
        <w:rPr>
          <w:rFonts w:cs="Arial"/>
          <w:color w:val="auto"/>
        </w:rPr>
        <w:t xml:space="preserve">the </w:t>
      </w:r>
      <w:r w:rsidR="005A7E69" w:rsidRPr="00C2021A">
        <w:rPr>
          <w:rFonts w:cs="Arial"/>
          <w:color w:val="auto"/>
        </w:rPr>
        <w:t xml:space="preserve">target </w:t>
      </w:r>
      <w:r w:rsidRPr="00C2021A">
        <w:rPr>
          <w:rFonts w:cs="Arial"/>
          <w:color w:val="auto"/>
        </w:rPr>
        <w:t>recognition layer</w:t>
      </w:r>
      <w:r w:rsidR="005A7E69" w:rsidRPr="00C2021A">
        <w:rPr>
          <w:rFonts w:cs="Arial"/>
          <w:color w:val="auto"/>
        </w:rPr>
        <w:t xml:space="preserve">; the enzyme-based biosensor </w:t>
      </w:r>
      <w:r w:rsidRPr="00C2021A">
        <w:rPr>
          <w:rFonts w:cs="Arial"/>
          <w:color w:val="auto"/>
        </w:rPr>
        <w:t xml:space="preserve">can be degraded by </w:t>
      </w:r>
      <w:r w:rsidR="005A7E69" w:rsidRPr="00C2021A">
        <w:rPr>
          <w:rFonts w:cs="Arial"/>
          <w:color w:val="auto"/>
        </w:rPr>
        <w:t xml:space="preserve">the changes of </w:t>
      </w:r>
      <w:r w:rsidRPr="00C2021A">
        <w:rPr>
          <w:rFonts w:cs="Arial"/>
          <w:color w:val="auto"/>
        </w:rPr>
        <w:t xml:space="preserve">environmental factors such as pH and temperature. Another </w:t>
      </w:r>
      <w:r w:rsidR="005A7E69" w:rsidRPr="00C2021A">
        <w:rPr>
          <w:rFonts w:cs="Arial"/>
          <w:color w:val="auto"/>
        </w:rPr>
        <w:t xml:space="preserve">challenge is the concern </w:t>
      </w:r>
      <w:r w:rsidRPr="00C2021A">
        <w:rPr>
          <w:rFonts w:cs="Arial"/>
          <w:color w:val="auto"/>
        </w:rPr>
        <w:t xml:space="preserve">of biofouling on the </w:t>
      </w:r>
      <w:r w:rsidR="005A7E69" w:rsidRPr="00C2021A">
        <w:rPr>
          <w:rFonts w:cs="Arial"/>
          <w:color w:val="auto"/>
        </w:rPr>
        <w:t xml:space="preserve">sensor </w:t>
      </w:r>
      <w:r w:rsidRPr="00C2021A">
        <w:rPr>
          <w:rFonts w:cs="Arial"/>
          <w:color w:val="auto"/>
        </w:rPr>
        <w:t xml:space="preserve">surface </w:t>
      </w:r>
      <w:r w:rsidR="005A7E69" w:rsidRPr="00C2021A">
        <w:rPr>
          <w:rFonts w:cs="Arial"/>
          <w:color w:val="auto"/>
        </w:rPr>
        <w:t xml:space="preserve">since it </w:t>
      </w:r>
      <w:r w:rsidRPr="00C2021A">
        <w:rPr>
          <w:rFonts w:cs="Arial"/>
          <w:color w:val="auto"/>
        </w:rPr>
        <w:t xml:space="preserve">reduces the </w:t>
      </w:r>
      <w:r w:rsidR="005A7E69" w:rsidRPr="00C2021A">
        <w:rPr>
          <w:rFonts w:cs="Arial"/>
          <w:color w:val="auto"/>
        </w:rPr>
        <w:t xml:space="preserve">detection </w:t>
      </w:r>
      <w:r w:rsidRPr="00C2021A">
        <w:rPr>
          <w:rFonts w:cs="Arial"/>
          <w:color w:val="auto"/>
        </w:rPr>
        <w:t xml:space="preserve">accuracy of the device. </w:t>
      </w:r>
      <w:r w:rsidR="005A7E69" w:rsidRPr="00C2021A">
        <w:rPr>
          <w:rFonts w:cs="Arial"/>
          <w:color w:val="auto"/>
        </w:rPr>
        <w:t xml:space="preserve">Many researchers are studying various materials and surface coating methods for surface </w:t>
      </w:r>
      <w:r w:rsidRPr="00C2021A">
        <w:rPr>
          <w:rFonts w:cs="Arial"/>
          <w:color w:val="auto"/>
        </w:rPr>
        <w:t xml:space="preserve">anti-fouling. </w:t>
      </w:r>
      <w:r w:rsidR="005A7E69" w:rsidRPr="00C2021A">
        <w:rPr>
          <w:rFonts w:cs="Arial"/>
          <w:color w:val="auto"/>
        </w:rPr>
        <w:t xml:space="preserve">In addition, wearable biosensors have challenges in </w:t>
      </w:r>
      <w:r w:rsidR="00CA5223" w:rsidRPr="00C2021A">
        <w:rPr>
          <w:rFonts w:cs="Arial"/>
          <w:color w:val="auto"/>
        </w:rPr>
        <w:t>developing</w:t>
      </w:r>
      <w:r w:rsidR="005A7E69" w:rsidRPr="00C2021A">
        <w:rPr>
          <w:rFonts w:cs="Arial"/>
          <w:color w:val="auto"/>
        </w:rPr>
        <w:t xml:space="preserve"> reusable biosensors that are hindered by the </w:t>
      </w:r>
      <w:r w:rsidRPr="00C2021A">
        <w:rPr>
          <w:rFonts w:cs="Arial"/>
          <w:color w:val="auto"/>
        </w:rPr>
        <w:t xml:space="preserve">strong binding between the receptor and the target molecule. While there are </w:t>
      </w:r>
      <w:r w:rsidR="005A7E69" w:rsidRPr="00C2021A">
        <w:rPr>
          <w:rFonts w:cs="Arial"/>
          <w:color w:val="auto"/>
        </w:rPr>
        <w:t xml:space="preserve">remaining </w:t>
      </w:r>
      <w:r w:rsidRPr="00C2021A">
        <w:rPr>
          <w:rFonts w:cs="Arial"/>
          <w:color w:val="auto"/>
        </w:rPr>
        <w:t xml:space="preserve">challenges, the </w:t>
      </w:r>
      <w:r w:rsidR="005A7E69" w:rsidRPr="00C2021A">
        <w:rPr>
          <w:rFonts w:cs="Arial"/>
          <w:color w:val="auto"/>
        </w:rPr>
        <w:t xml:space="preserve">advancements in nanotechnology and new materials have helped </w:t>
      </w:r>
      <w:r w:rsidR="00CA5223" w:rsidRPr="00C2021A">
        <w:rPr>
          <w:rFonts w:cs="Arial"/>
          <w:color w:val="auto"/>
        </w:rPr>
        <w:t>to design</w:t>
      </w:r>
      <w:r w:rsidR="005A7E69" w:rsidRPr="00C2021A">
        <w:rPr>
          <w:rFonts w:cs="Arial"/>
          <w:color w:val="auto"/>
        </w:rPr>
        <w:t xml:space="preserve"> </w:t>
      </w:r>
      <w:r w:rsidRPr="00C2021A">
        <w:rPr>
          <w:rFonts w:cs="Arial"/>
          <w:color w:val="auto"/>
        </w:rPr>
        <w:t xml:space="preserve">accurate POC devices. </w:t>
      </w:r>
      <w:r w:rsidR="00CA5223" w:rsidRPr="00C2021A">
        <w:rPr>
          <w:rFonts w:cs="Arial"/>
          <w:color w:val="auto"/>
        </w:rPr>
        <w:t xml:space="preserve">Among many examples, a group of investigators </w:t>
      </w:r>
      <w:r w:rsidRPr="00C2021A">
        <w:rPr>
          <w:rFonts w:cs="Arial"/>
          <w:color w:val="auto"/>
        </w:rPr>
        <w:t>reported how engineering the fractal dimension of the biosensing surface by combining different nanomaterial</w:t>
      </w:r>
      <w:r w:rsidR="00CA5223" w:rsidRPr="00C2021A">
        <w:rPr>
          <w:rFonts w:cs="Arial"/>
          <w:color w:val="auto"/>
        </w:rPr>
        <w:t>s</w:t>
      </w:r>
      <w:r w:rsidRPr="00C2021A">
        <w:rPr>
          <w:rFonts w:cs="Arial"/>
          <w:color w:val="auto"/>
        </w:rPr>
        <w:t xml:space="preserve"> could enhance the </w:t>
      </w:r>
      <w:r w:rsidR="00CA5223" w:rsidRPr="00C2021A">
        <w:rPr>
          <w:rFonts w:cs="Arial"/>
          <w:color w:val="auto"/>
        </w:rPr>
        <w:t xml:space="preserve">device </w:t>
      </w:r>
      <w:r w:rsidRPr="00C2021A">
        <w:rPr>
          <w:rFonts w:cs="Arial"/>
          <w:color w:val="auto"/>
        </w:rPr>
        <w:t xml:space="preserve">sensitivity </w:t>
      </w:r>
      <w:r w:rsidR="005A7E69" w:rsidRPr="00C2021A">
        <w:rPr>
          <w:rFonts w:cs="Arial"/>
          <w:noProof/>
          <w:color w:val="auto"/>
        </w:rPr>
        <w:t>(Sadana and Sadana 2008)</w:t>
      </w:r>
      <w:r w:rsidRPr="00C2021A">
        <w:rPr>
          <w:rFonts w:cs="Arial"/>
          <w:color w:val="auto"/>
        </w:rPr>
        <w:t xml:space="preserve">. </w:t>
      </w:r>
      <w:bookmarkEnd w:id="8"/>
    </w:p>
    <w:p w14:paraId="737A084D" w14:textId="6AE34DFB" w:rsidR="00154DB5" w:rsidRPr="00C2021A" w:rsidRDefault="00154DB5" w:rsidP="005A7E69">
      <w:pPr>
        <w:spacing w:after="0" w:line="240" w:lineRule="auto"/>
        <w:ind w:firstLine="720"/>
        <w:jc w:val="both"/>
        <w:rPr>
          <w:rFonts w:cs="Arial"/>
          <w:color w:val="auto"/>
        </w:rPr>
      </w:pPr>
      <w:r w:rsidRPr="00C2021A">
        <w:rPr>
          <w:rFonts w:cs="Arial"/>
          <w:color w:val="auto"/>
        </w:rPr>
        <w:t xml:space="preserve">The electrochemical techniques that can be utilized to detect the analytes and measure their concentration are various and mainly dependent upon the design constraints imposed by the application of the biosensor. The most common techniques </w:t>
      </w:r>
      <w:r w:rsidR="00792BD4">
        <w:rPr>
          <w:rFonts w:cs="Arial"/>
          <w:color w:val="auto"/>
        </w:rPr>
        <w:t>use e</w:t>
      </w:r>
      <w:r w:rsidRPr="00C2021A">
        <w:rPr>
          <w:rFonts w:cs="Arial"/>
          <w:bCs/>
          <w:color w:val="auto"/>
        </w:rPr>
        <w:t xml:space="preserve">lectronic transducers, such as field-effect transistors, produce current-voltage </w:t>
      </w:r>
      <w:r w:rsidR="00A3676E" w:rsidRPr="00C2021A">
        <w:rPr>
          <w:rFonts w:cs="Arial"/>
          <w:bCs/>
          <w:color w:val="auto"/>
        </w:rPr>
        <w:t xml:space="preserve">data </w:t>
      </w:r>
      <w:r w:rsidRPr="00C2021A">
        <w:rPr>
          <w:rFonts w:cs="Arial"/>
          <w:bCs/>
          <w:color w:val="auto"/>
        </w:rPr>
        <w:t xml:space="preserve">that contain a richer amount of information when compared to </w:t>
      </w:r>
      <w:r w:rsidR="00A3676E" w:rsidRPr="00C2021A">
        <w:rPr>
          <w:rFonts w:cs="Arial"/>
          <w:bCs/>
          <w:color w:val="auto"/>
        </w:rPr>
        <w:t xml:space="preserve">conventional </w:t>
      </w:r>
      <w:r w:rsidRPr="00C2021A">
        <w:rPr>
          <w:rFonts w:cs="Arial"/>
          <w:bCs/>
          <w:color w:val="auto"/>
        </w:rPr>
        <w:t xml:space="preserve">electrochemical techniques. As reported by </w:t>
      </w:r>
      <w:r w:rsidR="00A3676E" w:rsidRPr="00C2021A">
        <w:rPr>
          <w:rFonts w:cs="Arial"/>
          <w:bCs/>
          <w:color w:val="auto"/>
        </w:rPr>
        <w:t xml:space="preserve">a recent article </w:t>
      </w:r>
      <w:r w:rsidRPr="00C2021A">
        <w:rPr>
          <w:rFonts w:cs="Arial"/>
          <w:bCs/>
          <w:noProof/>
          <w:color w:val="auto"/>
        </w:rPr>
        <w:lastRenderedPageBreak/>
        <w:t>(Schroeder et al. 2019)</w:t>
      </w:r>
      <w:r w:rsidRPr="00C2021A">
        <w:rPr>
          <w:rFonts w:cs="Arial"/>
          <w:bCs/>
          <w:color w:val="auto"/>
        </w:rPr>
        <w:t xml:space="preserve">, interactions between the analyte and the sensing element leading to doping, Schottky Barrier modulation and change in mobility can be identified by characteristic traits of the </w:t>
      </w:r>
      <w:r w:rsidR="00A3676E" w:rsidRPr="00C2021A">
        <w:rPr>
          <w:rFonts w:cs="Arial"/>
          <w:bCs/>
          <w:color w:val="auto"/>
        </w:rPr>
        <w:t xml:space="preserve">current-voltage </w:t>
      </w:r>
      <w:r w:rsidRPr="00C2021A">
        <w:rPr>
          <w:rFonts w:cs="Arial"/>
          <w:bCs/>
          <w:color w:val="auto"/>
        </w:rPr>
        <w:t xml:space="preserve">plot. </w:t>
      </w:r>
      <w:r w:rsidRPr="00C2021A">
        <w:rPr>
          <w:rFonts w:cs="Arial"/>
          <w:color w:val="auto"/>
        </w:rPr>
        <w:t xml:space="preserve">However, they need a semiconductor parameter analyzer to interpret the data. </w:t>
      </w:r>
      <w:proofErr w:type="spellStart"/>
      <w:r w:rsidRPr="00C2021A">
        <w:rPr>
          <w:rFonts w:cs="Arial"/>
          <w:color w:val="auto"/>
        </w:rPr>
        <w:t>Chemiresistive</w:t>
      </w:r>
      <w:proofErr w:type="spellEnd"/>
      <w:r w:rsidRPr="00C2021A">
        <w:rPr>
          <w:rFonts w:cs="Arial"/>
          <w:color w:val="auto"/>
        </w:rPr>
        <w:t xml:space="preserve"> biosensors offer a very intuitive detection method that is limited in information but does not require complicated readout circuitry to interpret the data. A similar advantage can be found from chronoamperometry and other similar potentiometric techniques. The suitability of a detection technique is primarily given by the specific application of the biosensor and its design constraints.</w:t>
      </w:r>
    </w:p>
    <w:p w14:paraId="2B9D55B4" w14:textId="77777777" w:rsidR="00154DB5" w:rsidRPr="00C2021A" w:rsidRDefault="00154DB5" w:rsidP="00041DBE">
      <w:pPr>
        <w:spacing w:after="0" w:line="240" w:lineRule="auto"/>
        <w:jc w:val="both"/>
        <w:rPr>
          <w:rFonts w:cs="Arial"/>
          <w:color w:val="auto"/>
        </w:rPr>
      </w:pPr>
    </w:p>
    <w:p w14:paraId="4DEDAB3D" w14:textId="77777777" w:rsidR="00154DB5" w:rsidRPr="00C2021A" w:rsidRDefault="00154DB5" w:rsidP="00A15AA1">
      <w:pPr>
        <w:spacing w:after="0" w:line="240" w:lineRule="auto"/>
        <w:jc w:val="both"/>
        <w:rPr>
          <w:rFonts w:cs="Arial"/>
          <w:b/>
          <w:bCs/>
          <w:color w:val="auto"/>
        </w:rPr>
      </w:pPr>
      <w:r w:rsidRPr="00C2021A">
        <w:rPr>
          <w:rFonts w:cs="Arial"/>
          <w:b/>
          <w:bCs/>
          <w:color w:val="auto"/>
        </w:rPr>
        <w:t xml:space="preserve">4. Detection of various types of salivary biomarkers by using graphene </w:t>
      </w:r>
      <w:proofErr w:type="gramStart"/>
      <w:r w:rsidRPr="00C2021A">
        <w:rPr>
          <w:rFonts w:cs="Arial"/>
          <w:b/>
          <w:bCs/>
          <w:color w:val="auto"/>
        </w:rPr>
        <w:t>biosensors</w:t>
      </w:r>
      <w:proofErr w:type="gramEnd"/>
    </w:p>
    <w:p w14:paraId="7189FB51" w14:textId="52F61831" w:rsidR="00154DB5" w:rsidRPr="00C2021A" w:rsidRDefault="00154DB5" w:rsidP="00DD7631">
      <w:pPr>
        <w:spacing w:after="0" w:line="240" w:lineRule="auto"/>
        <w:jc w:val="both"/>
        <w:rPr>
          <w:rFonts w:cs="Arial"/>
          <w:color w:val="auto"/>
        </w:rPr>
      </w:pPr>
      <w:r w:rsidRPr="00C2021A">
        <w:rPr>
          <w:rFonts w:cs="Arial"/>
          <w:color w:val="auto"/>
        </w:rPr>
        <w:t>To overcome the</w:t>
      </w:r>
      <w:r w:rsidR="00DD7631" w:rsidRPr="00C2021A">
        <w:rPr>
          <w:rFonts w:cs="Arial"/>
          <w:color w:val="auto"/>
        </w:rPr>
        <w:t xml:space="preserve"> existing</w:t>
      </w:r>
      <w:r w:rsidRPr="00C2021A">
        <w:rPr>
          <w:rFonts w:cs="Arial"/>
          <w:color w:val="auto"/>
        </w:rPr>
        <w:t xml:space="preserve"> limitation of salivary biomarker detection, recent works have focused on </w:t>
      </w:r>
      <w:r w:rsidR="00DD7631" w:rsidRPr="00C2021A">
        <w:rPr>
          <w:rFonts w:cs="Arial"/>
          <w:color w:val="auto"/>
        </w:rPr>
        <w:t>developing</w:t>
      </w:r>
      <w:r w:rsidRPr="00C2021A">
        <w:rPr>
          <w:rFonts w:cs="Arial"/>
          <w:color w:val="auto"/>
        </w:rPr>
        <w:t xml:space="preserve"> nanoscale biosensors that could be integrated with readout circuitry for a fast and accurate diagnosis. </w:t>
      </w:r>
      <w:bookmarkStart w:id="9" w:name="_Hlk51171639"/>
      <w:r w:rsidRPr="00C2021A">
        <w:rPr>
          <w:rFonts w:cs="Arial"/>
          <w:color w:val="auto"/>
        </w:rPr>
        <w:t xml:space="preserve">However, only </w:t>
      </w:r>
      <w:r w:rsidR="00DD7631" w:rsidRPr="00C2021A">
        <w:rPr>
          <w:rFonts w:cs="Arial"/>
          <w:color w:val="auto"/>
        </w:rPr>
        <w:t xml:space="preserve">a </w:t>
      </w:r>
      <w:r w:rsidRPr="00C2021A">
        <w:rPr>
          <w:rFonts w:cs="Arial"/>
          <w:color w:val="auto"/>
        </w:rPr>
        <w:t>few of them have seen the successful realization of a</w:t>
      </w:r>
      <w:r w:rsidR="00DD7631" w:rsidRPr="00C2021A">
        <w:rPr>
          <w:rFonts w:cs="Arial"/>
          <w:color w:val="auto"/>
        </w:rPr>
        <w:t xml:space="preserve"> </w:t>
      </w:r>
      <w:r w:rsidRPr="00C2021A">
        <w:rPr>
          <w:rFonts w:cs="Arial"/>
          <w:color w:val="auto"/>
        </w:rPr>
        <w:t xml:space="preserve">reliable device for salivary analysis. </w:t>
      </w:r>
      <w:r w:rsidR="000815BD" w:rsidRPr="00C2021A">
        <w:rPr>
          <w:rFonts w:cs="Arial"/>
          <w:b/>
          <w:bCs/>
          <w:color w:val="auto"/>
        </w:rPr>
        <w:t xml:space="preserve">Figure </w:t>
      </w:r>
      <w:r w:rsidR="00792BD4">
        <w:rPr>
          <w:rFonts w:cs="Arial"/>
          <w:b/>
          <w:bCs/>
          <w:color w:val="auto"/>
        </w:rPr>
        <w:t>5</w:t>
      </w:r>
      <w:r w:rsidRPr="00C2021A">
        <w:rPr>
          <w:rFonts w:cs="Arial"/>
          <w:b/>
          <w:bCs/>
          <w:color w:val="auto"/>
        </w:rPr>
        <w:t xml:space="preserve"> </w:t>
      </w:r>
      <w:r w:rsidRPr="00C2021A">
        <w:rPr>
          <w:rFonts w:cs="Arial"/>
          <w:color w:val="auto"/>
        </w:rPr>
        <w:t xml:space="preserve">summarizes the </w:t>
      </w:r>
      <w:r w:rsidR="00DD7631" w:rsidRPr="00C2021A">
        <w:rPr>
          <w:rFonts w:cs="Arial"/>
          <w:color w:val="auto"/>
        </w:rPr>
        <w:t xml:space="preserve">available </w:t>
      </w:r>
      <w:r w:rsidRPr="00C2021A">
        <w:rPr>
          <w:rFonts w:cs="Arial"/>
          <w:color w:val="auto"/>
        </w:rPr>
        <w:t>examples</w:t>
      </w:r>
      <w:r w:rsidR="00DD7631" w:rsidRPr="00C2021A">
        <w:rPr>
          <w:rFonts w:cs="Arial"/>
          <w:color w:val="auto"/>
        </w:rPr>
        <w:t xml:space="preserve"> that use </w:t>
      </w:r>
      <w:r w:rsidRPr="00C2021A">
        <w:rPr>
          <w:rFonts w:cs="Arial"/>
          <w:color w:val="auto"/>
        </w:rPr>
        <w:t xml:space="preserve">wearable devices </w:t>
      </w:r>
      <w:r w:rsidR="00DD7631" w:rsidRPr="00C2021A">
        <w:rPr>
          <w:rFonts w:cs="Arial"/>
          <w:color w:val="auto"/>
        </w:rPr>
        <w:t>to detect</w:t>
      </w:r>
      <w:r w:rsidRPr="00C2021A">
        <w:rPr>
          <w:rFonts w:cs="Arial"/>
          <w:color w:val="auto"/>
        </w:rPr>
        <w:t xml:space="preserve"> specific analytes</w:t>
      </w:r>
      <w:r w:rsidR="00DD7631" w:rsidRPr="00C2021A">
        <w:rPr>
          <w:rFonts w:cs="Arial"/>
          <w:color w:val="auto"/>
        </w:rPr>
        <w:t xml:space="preserve"> from human saliva</w:t>
      </w:r>
      <w:r w:rsidRPr="00C2021A">
        <w:rPr>
          <w:rFonts w:cs="Arial"/>
          <w:color w:val="auto"/>
        </w:rPr>
        <w:t>.</w:t>
      </w:r>
      <w:bookmarkEnd w:id="9"/>
      <w:r w:rsidR="00DD7631" w:rsidRPr="00C2021A">
        <w:rPr>
          <w:rFonts w:cs="Arial"/>
          <w:color w:val="auto"/>
        </w:rPr>
        <w:t xml:space="preserve"> </w:t>
      </w:r>
      <w:r w:rsidRPr="00C2021A">
        <w:rPr>
          <w:rFonts w:cs="Arial"/>
          <w:color w:val="auto"/>
        </w:rPr>
        <w:t xml:space="preserve">The device, realized by </w:t>
      </w:r>
      <w:proofErr w:type="spellStart"/>
      <w:r w:rsidRPr="00C2021A">
        <w:rPr>
          <w:rFonts w:cs="Arial"/>
          <w:color w:val="auto"/>
        </w:rPr>
        <w:t>Mannoor</w:t>
      </w:r>
      <w:proofErr w:type="spellEnd"/>
      <w:r w:rsidRPr="00C2021A">
        <w:rPr>
          <w:rFonts w:cs="Arial"/>
          <w:color w:val="auto"/>
        </w:rPr>
        <w:t xml:space="preserve"> et al. </w:t>
      </w:r>
      <w:r w:rsidRPr="00C2021A">
        <w:rPr>
          <w:rFonts w:cs="Arial"/>
          <w:noProof/>
          <w:color w:val="auto"/>
        </w:rPr>
        <w:t>(Mannoor et al. 2012)</w:t>
      </w:r>
      <w:r w:rsidRPr="00C2021A">
        <w:rPr>
          <w:rFonts w:cs="Arial"/>
          <w:color w:val="auto"/>
        </w:rPr>
        <w:t xml:space="preserve"> in 2012 (</w:t>
      </w:r>
      <w:r w:rsidR="000815BD" w:rsidRPr="00C2021A">
        <w:rPr>
          <w:rFonts w:cs="Arial"/>
          <w:b/>
          <w:bCs/>
          <w:color w:val="auto"/>
        </w:rPr>
        <w:t xml:space="preserve">Figure </w:t>
      </w:r>
      <w:r w:rsidR="00792BD4">
        <w:rPr>
          <w:rFonts w:cs="Arial"/>
          <w:b/>
          <w:bCs/>
          <w:color w:val="auto"/>
        </w:rPr>
        <w:t>5</w:t>
      </w:r>
      <w:r w:rsidRPr="00C2021A">
        <w:rPr>
          <w:rFonts w:cs="Arial"/>
          <w:b/>
          <w:bCs/>
          <w:color w:val="auto"/>
        </w:rPr>
        <w:t>a</w:t>
      </w:r>
      <w:r w:rsidRPr="00C2021A">
        <w:rPr>
          <w:rFonts w:cs="Arial"/>
          <w:color w:val="auto"/>
        </w:rPr>
        <w:t>), is the first example of a graphene-based biosensor with an integrated readout circuitry. Such biosensor, however, was not capable of allowing for continuous real-time analysis due to the limitation of a near field communication (NFC) interrogating device. Moreover, this is the only biosensor that employs graphene as sensing material and possesses a feature of wearability and wireless data communication. Kim and coworkers prepared a mouthguard biosensor (</w:t>
      </w:r>
      <w:r w:rsidRPr="00C2021A">
        <w:rPr>
          <w:rFonts w:cs="Arial"/>
          <w:b/>
          <w:color w:val="auto"/>
        </w:rPr>
        <w:t xml:space="preserve">Figure </w:t>
      </w:r>
      <w:r w:rsidR="00792BD4">
        <w:rPr>
          <w:rFonts w:cs="Arial"/>
          <w:b/>
          <w:color w:val="auto"/>
        </w:rPr>
        <w:t>5</w:t>
      </w:r>
      <w:r w:rsidRPr="00C2021A">
        <w:rPr>
          <w:rFonts w:cs="Arial"/>
          <w:b/>
          <w:color w:val="auto"/>
        </w:rPr>
        <w:t>b</w:t>
      </w:r>
      <w:r w:rsidRPr="00C2021A">
        <w:rPr>
          <w:rFonts w:cs="Arial"/>
          <w:color w:val="auto"/>
        </w:rPr>
        <w:t xml:space="preserve">) with a three-electrode configuration directly screen printed on PET </w:t>
      </w:r>
      <w:r w:rsidRPr="00C2021A">
        <w:rPr>
          <w:rFonts w:cs="Arial"/>
          <w:noProof/>
          <w:color w:val="auto"/>
        </w:rPr>
        <w:t>(Kim et al. 2014)</w:t>
      </w:r>
      <w:r w:rsidRPr="00C2021A">
        <w:rPr>
          <w:rFonts w:cs="Arial"/>
          <w:color w:val="auto"/>
        </w:rPr>
        <w:t xml:space="preserve">. While the direct integration of screen-printed electrodes (SPEs) on the mouthguard makes the sensor fully wearable, this device still lacked the integrated electronics needed to continuously perform its monitoring function without being necessarily connected to an external electrochemical analyzer. The second version of this device was realized shortly later to remedy these shortcomings </w:t>
      </w:r>
      <w:r w:rsidRPr="00C2021A">
        <w:rPr>
          <w:rFonts w:cs="Arial"/>
          <w:noProof/>
          <w:color w:val="auto"/>
        </w:rPr>
        <w:t>(Kim et al. 2015)</w:t>
      </w:r>
      <w:r w:rsidRPr="00C2021A">
        <w:rPr>
          <w:rFonts w:cs="Arial"/>
          <w:color w:val="auto"/>
        </w:rPr>
        <w:t xml:space="preserve"> (</w:t>
      </w:r>
      <w:r w:rsidRPr="00C2021A">
        <w:rPr>
          <w:rFonts w:cs="Arial"/>
          <w:b/>
          <w:bCs/>
          <w:color w:val="auto"/>
        </w:rPr>
        <w:t xml:space="preserve">Figure </w:t>
      </w:r>
      <w:r w:rsidR="00792BD4">
        <w:rPr>
          <w:rFonts w:cs="Arial"/>
          <w:b/>
          <w:bCs/>
          <w:color w:val="auto"/>
        </w:rPr>
        <w:t>5</w:t>
      </w:r>
      <w:r w:rsidRPr="00C2021A">
        <w:rPr>
          <w:rFonts w:cs="Arial"/>
          <w:b/>
          <w:bCs/>
          <w:color w:val="auto"/>
        </w:rPr>
        <w:t>c</w:t>
      </w:r>
      <w:r w:rsidRPr="00C2021A">
        <w:rPr>
          <w:rFonts w:cs="Arial"/>
          <w:color w:val="auto"/>
        </w:rPr>
        <w:t xml:space="preserve">). The updated version of the mouthguard biosensor included the same SPEs configuration, with an optimized design and a specific enzyme functionalization, for the selective detection of uric acid in saliva. The biosensor includes miniaturized instrumentation electronics featuring Bluetooth communication, all embedded on the plastic mouthguard for continuous real-time monitoring. </w:t>
      </w:r>
    </w:p>
    <w:p w14:paraId="557B406B" w14:textId="712FE638" w:rsidR="00154DB5" w:rsidRPr="00C2021A" w:rsidRDefault="00154DB5" w:rsidP="00AF2D1C">
      <w:pPr>
        <w:spacing w:after="0" w:line="240" w:lineRule="auto"/>
        <w:ind w:firstLine="720"/>
        <w:jc w:val="both"/>
        <w:rPr>
          <w:rFonts w:cs="Arial"/>
          <w:color w:val="auto"/>
        </w:rPr>
      </w:pPr>
      <w:r w:rsidRPr="00C2021A">
        <w:rPr>
          <w:rFonts w:cs="Arial"/>
          <w:color w:val="auto"/>
        </w:rPr>
        <w:t>Another example of a mouthguard integrated biosensor can be found in Arakawa’s work (</w:t>
      </w:r>
      <w:r w:rsidRPr="00C2021A">
        <w:rPr>
          <w:rFonts w:cs="Arial"/>
          <w:b/>
          <w:bCs/>
          <w:color w:val="auto"/>
        </w:rPr>
        <w:t xml:space="preserve">Figure </w:t>
      </w:r>
      <w:r w:rsidR="00792BD4">
        <w:rPr>
          <w:rFonts w:cs="Arial"/>
          <w:b/>
          <w:bCs/>
          <w:color w:val="auto"/>
        </w:rPr>
        <w:t>5</w:t>
      </w:r>
      <w:r w:rsidRPr="00C2021A">
        <w:rPr>
          <w:rFonts w:cs="Arial"/>
          <w:b/>
          <w:bCs/>
          <w:color w:val="auto"/>
        </w:rPr>
        <w:t xml:space="preserve">d) </w:t>
      </w:r>
      <w:r w:rsidRPr="00C2021A">
        <w:rPr>
          <w:rFonts w:cs="Arial"/>
          <w:noProof/>
          <w:color w:val="auto"/>
        </w:rPr>
        <w:t>(Arakawa et al. 2016; Mitsubayashi and Arakawa 2016)</w:t>
      </w:r>
      <w:r w:rsidRPr="00C2021A">
        <w:rPr>
          <w:rFonts w:cs="Arial"/>
          <w:color w:val="auto"/>
        </w:rPr>
        <w:t xml:space="preserve">. The mouthguard integrates both the sensing electrodes and the on-board electronics with BLE communication for real-time analysis of saliva samples. The printed circuit board (PCB) is clearly visible on one side of the transparent PETG mouthguard while the mouthguard featured the electronics on the inside of the mouthguard </w:t>
      </w:r>
      <w:r w:rsidRPr="00C2021A">
        <w:rPr>
          <w:rFonts w:cs="Arial"/>
          <w:noProof/>
          <w:color w:val="auto"/>
        </w:rPr>
        <w:t>(Kim et al. 2015)</w:t>
      </w:r>
      <w:r w:rsidRPr="00C2021A">
        <w:rPr>
          <w:rFonts w:cs="Arial"/>
          <w:color w:val="auto"/>
        </w:rPr>
        <w:t xml:space="preserve">. </w:t>
      </w:r>
      <w:bookmarkStart w:id="10" w:name="_Hlk51066610"/>
      <w:r w:rsidRPr="00C2021A">
        <w:rPr>
          <w:rFonts w:cs="Arial"/>
          <w:b/>
          <w:bCs/>
          <w:color w:val="auto"/>
        </w:rPr>
        <w:t xml:space="preserve">Figure </w:t>
      </w:r>
      <w:r w:rsidR="00792BD4">
        <w:rPr>
          <w:rFonts w:cs="Arial"/>
          <w:b/>
          <w:bCs/>
          <w:color w:val="auto"/>
        </w:rPr>
        <w:t>5</w:t>
      </w:r>
      <w:r w:rsidRPr="00C2021A">
        <w:rPr>
          <w:rFonts w:cs="Arial"/>
          <w:b/>
          <w:bCs/>
          <w:color w:val="auto"/>
        </w:rPr>
        <w:t>e</w:t>
      </w:r>
      <w:r w:rsidRPr="00C2021A">
        <w:rPr>
          <w:rFonts w:cs="Arial"/>
          <w:color w:val="auto"/>
        </w:rPr>
        <w:t xml:space="preserve"> shows the RF sensor can be used for monitoring of food consumption </w:t>
      </w:r>
      <w:r w:rsidRPr="00C2021A">
        <w:rPr>
          <w:rFonts w:cs="Arial"/>
          <w:noProof/>
          <w:color w:val="auto"/>
        </w:rPr>
        <w:t>(Tseng et al. 2018)</w:t>
      </w:r>
      <w:r w:rsidRPr="00C2021A">
        <w:rPr>
          <w:rFonts w:cs="Arial"/>
          <w:color w:val="auto"/>
        </w:rPr>
        <w:t>. The device</w:t>
      </w:r>
      <w:r w:rsidR="007B29A7">
        <w:rPr>
          <w:rFonts w:cs="Arial"/>
          <w:color w:val="auto"/>
        </w:rPr>
        <w:t>,</w:t>
      </w:r>
      <w:r w:rsidRPr="00C2021A">
        <w:rPr>
          <w:rFonts w:cs="Arial"/>
          <w:color w:val="auto"/>
        </w:rPr>
        <w:t xml:space="preserve"> consisting of two open ring resonators</w:t>
      </w:r>
      <w:r w:rsidR="007B29A7">
        <w:rPr>
          <w:rFonts w:cs="Arial"/>
          <w:color w:val="auto"/>
        </w:rPr>
        <w:t>,</w:t>
      </w:r>
      <w:r w:rsidRPr="00C2021A">
        <w:rPr>
          <w:rFonts w:cs="Arial"/>
          <w:color w:val="auto"/>
        </w:rPr>
        <w:t xml:space="preserve"> has an ultra-small footprint that allows for seamless attachment to a human tooth. The RF capability allows for data transfer when an interrogating device is placed near to the resonating coils. Recently, Lee et al. presented a wireless intraoral electronic system placed on the upper palate (</w:t>
      </w:r>
      <w:r w:rsidRPr="00C2021A">
        <w:rPr>
          <w:rFonts w:cs="Arial"/>
          <w:b/>
          <w:bCs/>
          <w:color w:val="auto"/>
        </w:rPr>
        <w:t xml:space="preserve">Figure </w:t>
      </w:r>
      <w:r w:rsidR="00354638">
        <w:rPr>
          <w:rFonts w:cs="Arial"/>
          <w:b/>
          <w:bCs/>
          <w:color w:val="auto"/>
        </w:rPr>
        <w:t>5</w:t>
      </w:r>
      <w:r w:rsidRPr="00C2021A">
        <w:rPr>
          <w:rFonts w:cs="Arial"/>
          <w:b/>
          <w:bCs/>
          <w:color w:val="auto"/>
        </w:rPr>
        <w:t>f</w:t>
      </w:r>
      <w:r w:rsidRPr="00C2021A">
        <w:rPr>
          <w:rFonts w:cs="Arial"/>
          <w:color w:val="auto"/>
        </w:rPr>
        <w:t xml:space="preserve">) </w:t>
      </w:r>
      <w:r w:rsidRPr="00C2021A">
        <w:rPr>
          <w:rFonts w:cs="Arial"/>
          <w:noProof/>
          <w:color w:val="auto"/>
        </w:rPr>
        <w:t>(Lee et al. 2018a)</w:t>
      </w:r>
      <w:r w:rsidRPr="00C2021A">
        <w:rPr>
          <w:rFonts w:cs="Arial"/>
          <w:color w:val="auto"/>
        </w:rPr>
        <w:t xml:space="preserve">. </w:t>
      </w:r>
      <w:bookmarkEnd w:id="10"/>
      <w:r w:rsidRPr="00C2021A">
        <w:rPr>
          <w:rFonts w:cs="Arial"/>
          <w:color w:val="auto"/>
        </w:rPr>
        <w:t xml:space="preserve">The hybrid biosensing platform with integrated wireless soft electronics </w:t>
      </w:r>
      <w:r w:rsidR="007B29A7">
        <w:rPr>
          <w:rFonts w:cs="Arial"/>
          <w:color w:val="auto"/>
        </w:rPr>
        <w:t>monitored</w:t>
      </w:r>
      <w:r w:rsidRPr="00C2021A">
        <w:rPr>
          <w:rFonts w:cs="Arial"/>
          <w:color w:val="auto"/>
        </w:rPr>
        <w:t xml:space="preserve"> the sodium intake continuously, showcasing a non-invasive practical POC solution for patients suffering from hypertension.</w:t>
      </w:r>
    </w:p>
    <w:p w14:paraId="74633B95" w14:textId="77777777" w:rsidR="00154DB5" w:rsidRPr="00C2021A" w:rsidRDefault="00154DB5" w:rsidP="00A15AA1">
      <w:pPr>
        <w:spacing w:after="0" w:line="240" w:lineRule="auto"/>
        <w:jc w:val="both"/>
        <w:rPr>
          <w:rFonts w:cs="Arial"/>
          <w:b/>
          <w:i/>
          <w:color w:val="auto"/>
        </w:rPr>
      </w:pPr>
    </w:p>
    <w:p w14:paraId="1DF1C6DB" w14:textId="77777777" w:rsidR="00154DB5" w:rsidRPr="00C2021A" w:rsidRDefault="00154DB5" w:rsidP="00A15AA1">
      <w:pPr>
        <w:spacing w:after="0" w:line="240" w:lineRule="auto"/>
        <w:jc w:val="both"/>
        <w:rPr>
          <w:rFonts w:cs="Arial"/>
          <w:b/>
          <w:i/>
          <w:color w:val="auto"/>
        </w:rPr>
      </w:pPr>
      <w:r w:rsidRPr="00C2021A">
        <w:rPr>
          <w:rFonts w:cs="Arial"/>
          <w:b/>
          <w:i/>
          <w:color w:val="auto"/>
        </w:rPr>
        <w:t>4.1. Graphene biosensors for the detection of viral and bacterial markers in saliva</w:t>
      </w:r>
    </w:p>
    <w:p w14:paraId="5F667F9F" w14:textId="77777777" w:rsidR="00154DB5" w:rsidRPr="00C2021A" w:rsidRDefault="00154DB5" w:rsidP="00041DBE">
      <w:pPr>
        <w:spacing w:after="0" w:line="240" w:lineRule="auto"/>
        <w:jc w:val="both"/>
        <w:rPr>
          <w:rFonts w:cs="Arial"/>
          <w:color w:val="auto"/>
        </w:rPr>
      </w:pPr>
      <w:r w:rsidRPr="00C2021A">
        <w:rPr>
          <w:rFonts w:cs="Arial"/>
          <w:color w:val="auto"/>
        </w:rPr>
        <w:t xml:space="preserve">Viral and bacterial infections affect millions of people every year while killing thousands of them. The possibility to perform screening of such diseases in saliva with POC devices would represent great advantage in terms of both response time and costs compared to the conventional blood draws. Viral and bacterial infections can be recognized by the presence of just a single pathogen, as compared to systemic diseases where only the assessment of multiple biomarkers can certify an accurate diagnosis </w:t>
      </w:r>
      <w:r w:rsidRPr="00C2021A">
        <w:rPr>
          <w:rFonts w:cs="Arial"/>
          <w:noProof/>
          <w:color w:val="auto"/>
        </w:rPr>
        <w:t>(Corstjens et al. 2012)</w:t>
      </w:r>
      <w:r w:rsidRPr="00C2021A">
        <w:rPr>
          <w:rFonts w:cs="Arial"/>
          <w:color w:val="auto"/>
        </w:rPr>
        <w:t xml:space="preserve">. </w:t>
      </w:r>
    </w:p>
    <w:p w14:paraId="7A3ADC36" w14:textId="77777777" w:rsidR="00154DB5" w:rsidRPr="00C2021A" w:rsidRDefault="00154DB5" w:rsidP="00041DBE">
      <w:pPr>
        <w:spacing w:after="0" w:line="240" w:lineRule="auto"/>
        <w:ind w:firstLine="720"/>
        <w:jc w:val="both"/>
        <w:rPr>
          <w:rFonts w:cs="Arial"/>
          <w:color w:val="auto"/>
        </w:rPr>
      </w:pPr>
      <w:r w:rsidRPr="00C2021A">
        <w:rPr>
          <w:rFonts w:cs="Arial"/>
          <w:b/>
          <w:bCs/>
          <w:color w:val="auto"/>
        </w:rPr>
        <w:lastRenderedPageBreak/>
        <w:t>Table 3</w:t>
      </w:r>
      <w:r w:rsidRPr="00C2021A">
        <w:rPr>
          <w:rFonts w:cs="Arial"/>
          <w:color w:val="auto"/>
        </w:rPr>
        <w:t xml:space="preserve"> reports an up-to-date summary of graphene-based biosensors for salivary analysis, where the main performance parameters are specified. Great relevance is given to those studies that have been validated with a gold standard (i.e., ELISA) since that provides a direct comparison between a highly precise conventional method (usually immunological or separation-type) and a novel electrochemical approach. Among the biosensors for the screening of viral or bacterial markers reported herein, none has been validated with a gold standard. </w:t>
      </w:r>
      <w:proofErr w:type="spellStart"/>
      <w:r w:rsidRPr="00C2021A">
        <w:rPr>
          <w:rFonts w:cs="Arial"/>
          <w:color w:val="auto"/>
        </w:rPr>
        <w:t>Mannoor</w:t>
      </w:r>
      <w:proofErr w:type="spellEnd"/>
      <w:r w:rsidRPr="00C2021A">
        <w:rPr>
          <w:rFonts w:cs="Arial"/>
          <w:color w:val="auto"/>
        </w:rPr>
        <w:t xml:space="preserve"> et al. developed the first graphene-based biosensor with an integrated readout coil for NFC data communication </w:t>
      </w:r>
      <w:r w:rsidRPr="00C2021A">
        <w:rPr>
          <w:rFonts w:cs="Arial"/>
          <w:noProof/>
          <w:color w:val="auto"/>
        </w:rPr>
        <w:t>(Mannoor et al. 2012)</w:t>
      </w:r>
      <w:r w:rsidRPr="00C2021A">
        <w:rPr>
          <w:rFonts w:cs="Arial"/>
          <w:color w:val="auto"/>
        </w:rPr>
        <w:t>. Graphene is deposited on a bioresorbable silk substrate using transfer printing, followed by e-beam evaporation of gold to create the interdigitated electrodes structure and the associated readout coil for NFC data transmission. The device showed an average response time of 10 min, but a very small sampling volume (1 µL) was needed for the analysis. The sensor was able to detect as low as 100 cells of the bacteria H. pylori and maintaining a linear response in the range between 10</w:t>
      </w:r>
      <w:r w:rsidRPr="00C2021A">
        <w:rPr>
          <w:rFonts w:cs="Arial"/>
          <w:color w:val="auto"/>
          <w:vertAlign w:val="superscript"/>
        </w:rPr>
        <w:t>2</w:t>
      </w:r>
      <w:r w:rsidRPr="00C2021A">
        <w:rPr>
          <w:rFonts w:cs="Arial"/>
          <w:color w:val="auto"/>
        </w:rPr>
        <w:t xml:space="preserve"> and 10</w:t>
      </w:r>
      <w:r w:rsidRPr="00C2021A">
        <w:rPr>
          <w:rFonts w:cs="Arial"/>
          <w:color w:val="auto"/>
          <w:vertAlign w:val="superscript"/>
        </w:rPr>
        <w:t>6</w:t>
      </w:r>
      <w:r w:rsidRPr="00C2021A">
        <w:rPr>
          <w:rFonts w:cs="Arial"/>
          <w:color w:val="auto"/>
        </w:rPr>
        <w:t xml:space="preserve"> cells. The simple chemo-resistive detection mechanism, where a change in the output resistance indicates the detection of bacterial cells, is particularly suitable for fast and easy integration with the readout circuitry since it does not require complicated electrochemical analyzers. Moreover, the absence of active components and power sources makes this platform particularly promising for wearable applications where real-time monitoring is not a primary interest.</w:t>
      </w:r>
    </w:p>
    <w:p w14:paraId="3F1F0192" w14:textId="11FB12D0" w:rsidR="00154DB5" w:rsidRPr="00C2021A" w:rsidRDefault="00154DB5" w:rsidP="00041DBE">
      <w:pPr>
        <w:spacing w:after="0" w:line="240" w:lineRule="auto"/>
        <w:ind w:firstLine="720"/>
        <w:jc w:val="both"/>
        <w:rPr>
          <w:rFonts w:cs="Arial"/>
          <w:color w:val="auto"/>
        </w:rPr>
      </w:pPr>
      <w:r w:rsidRPr="00C2021A">
        <w:rPr>
          <w:rFonts w:cs="Arial"/>
          <w:color w:val="auto"/>
        </w:rPr>
        <w:t xml:space="preserve">The </w:t>
      </w:r>
      <w:proofErr w:type="spellStart"/>
      <w:r w:rsidRPr="00C2021A">
        <w:rPr>
          <w:rFonts w:cs="Arial"/>
          <w:color w:val="auto"/>
        </w:rPr>
        <w:t>Checkin</w:t>
      </w:r>
      <w:proofErr w:type="spellEnd"/>
      <w:r w:rsidRPr="00C2021A">
        <w:rPr>
          <w:rFonts w:cs="Arial"/>
          <w:color w:val="auto"/>
        </w:rPr>
        <w:t xml:space="preserve"> group reported the fabrication of an </w:t>
      </w:r>
      <w:proofErr w:type="spellStart"/>
      <w:r w:rsidRPr="00C2021A">
        <w:rPr>
          <w:rFonts w:cs="Arial"/>
          <w:color w:val="auto"/>
        </w:rPr>
        <w:t>rGO</w:t>
      </w:r>
      <w:proofErr w:type="spellEnd"/>
      <w:r w:rsidRPr="00C2021A">
        <w:rPr>
          <w:rFonts w:cs="Arial"/>
          <w:color w:val="auto"/>
        </w:rPr>
        <w:t>/MoS</w:t>
      </w:r>
      <w:r w:rsidRPr="00C2021A">
        <w:rPr>
          <w:rFonts w:cs="Arial"/>
          <w:color w:val="auto"/>
          <w:vertAlign w:val="subscript"/>
        </w:rPr>
        <w:t>2</w:t>
      </w:r>
      <w:r w:rsidRPr="00C2021A">
        <w:rPr>
          <w:rFonts w:cs="Arial"/>
          <w:color w:val="auto"/>
        </w:rPr>
        <w:t xml:space="preserve"> modified glassy carbon electrode (GCE) platform for the detection of human papillomavirus type 16 (HPV-16 L1), which is among the indicators of genital cancer </w:t>
      </w:r>
      <w:r w:rsidRPr="00C2021A">
        <w:rPr>
          <w:rFonts w:cs="Arial"/>
          <w:noProof/>
          <w:color w:val="auto"/>
        </w:rPr>
        <w:t>(Chekin et al. 2018a)</w:t>
      </w:r>
      <w:r w:rsidRPr="00C2021A">
        <w:rPr>
          <w:rFonts w:cs="Arial"/>
          <w:color w:val="auto"/>
        </w:rPr>
        <w:t>. A low limit of detection of 0.1 ng∙mL</w:t>
      </w:r>
      <w:r w:rsidRPr="00C2021A">
        <w:rPr>
          <w:rFonts w:cs="Arial"/>
          <w:color w:val="auto"/>
          <w:vertAlign w:val="superscript"/>
        </w:rPr>
        <w:t xml:space="preserve">-1 </w:t>
      </w:r>
      <w:r w:rsidRPr="00C2021A">
        <w:rPr>
          <w:rFonts w:cs="Arial"/>
          <w:color w:val="auto"/>
        </w:rPr>
        <w:t xml:space="preserve">allows for accurate screening of saliva samples with great precision. The recovery values when the biosensor is tested on human saliva are in the 97-105% range, which is considered good for electrochemical biosensors. The sensor has been tested for stability, showing only a 5% loss in performance after 1-month dry storage. The inter-assay reproducibility has also been tested, resulting in an RSD of 9.3% that the highest among the analyzed biosensors. This shows poor reproducibility during the fabrication process, which can lead to inconsistent results and an imprecise diagnosis. The selectivity of the device has been proven in the presence of two disturbing species, ovalbumin (OVA) and human serum albumin (HSA), which did not affect the detection of HPV-16 L1. Another biosensor for the detection of viral agents has been developed by Yoshi et al. </w:t>
      </w:r>
      <w:r w:rsidRPr="00C2021A">
        <w:rPr>
          <w:rFonts w:cs="Arial"/>
          <w:noProof/>
          <w:color w:val="auto"/>
        </w:rPr>
        <w:t>(Joshi et al. 2020)</w:t>
      </w:r>
      <w:r w:rsidRPr="00C2021A">
        <w:rPr>
          <w:rFonts w:cs="Arial"/>
          <w:color w:val="auto"/>
        </w:rPr>
        <w:t xml:space="preserve"> that used shellac, a natural biopolymer, </w:t>
      </w:r>
      <w:proofErr w:type="gramStart"/>
      <w:r w:rsidRPr="00C2021A">
        <w:rPr>
          <w:rFonts w:cs="Arial"/>
          <w:color w:val="auto"/>
        </w:rPr>
        <w:t>for the production of</w:t>
      </w:r>
      <w:proofErr w:type="gramEnd"/>
      <w:r w:rsidRPr="00C2021A">
        <w:rPr>
          <w:rFonts w:cs="Arial"/>
          <w:color w:val="auto"/>
        </w:rPr>
        <w:t xml:space="preserve"> thermally reduced graphene oxide (</w:t>
      </w:r>
      <w:proofErr w:type="spellStart"/>
      <w:r w:rsidRPr="00C2021A">
        <w:rPr>
          <w:rFonts w:cs="Arial"/>
          <w:color w:val="auto"/>
        </w:rPr>
        <w:t>TrGO</w:t>
      </w:r>
      <w:proofErr w:type="spellEnd"/>
      <w:r w:rsidRPr="00C2021A">
        <w:rPr>
          <w:rFonts w:cs="Arial"/>
          <w:color w:val="auto"/>
        </w:rPr>
        <w:t xml:space="preserve">) as </w:t>
      </w:r>
      <w:r w:rsidR="007B29A7">
        <w:rPr>
          <w:rFonts w:cs="Arial"/>
          <w:color w:val="auto"/>
        </w:rPr>
        <w:t xml:space="preserve">a </w:t>
      </w:r>
      <w:r w:rsidRPr="00C2021A">
        <w:rPr>
          <w:rFonts w:cs="Arial"/>
          <w:color w:val="auto"/>
        </w:rPr>
        <w:t xml:space="preserve">sensing element. The limit of detection was quantified both in real saliva samples and in buffer solution, showing comparable results. The short-term stability of the sensor has been tested, with the sensor retaining 90% of its performance after two weeks. The device has also been tested for selectivity against adenovirus, influenza B virus, and MS2 bacteriophage, which caused a negligible response in the electrochemical impedance spectroscopy (EIS) analysis. The inter-assay RSD value of 2.06% proves a substantially better reproducibility when compared to the previously analyzed device for HPV-16 L1 </w:t>
      </w:r>
      <w:r w:rsidRPr="00C2021A">
        <w:rPr>
          <w:rFonts w:cs="Arial"/>
          <w:noProof/>
          <w:color w:val="auto"/>
        </w:rPr>
        <w:t>(Chekin et al. 2018a)</w:t>
      </w:r>
      <w:r w:rsidRPr="00C2021A">
        <w:rPr>
          <w:rFonts w:cs="Arial"/>
          <w:color w:val="auto"/>
        </w:rPr>
        <w:t>.</w:t>
      </w:r>
    </w:p>
    <w:p w14:paraId="238C24EB" w14:textId="1C094563" w:rsidR="00154DB5" w:rsidRPr="00C2021A" w:rsidRDefault="00154DB5" w:rsidP="00041DBE">
      <w:pPr>
        <w:spacing w:after="0" w:line="240" w:lineRule="auto"/>
        <w:ind w:firstLine="720"/>
        <w:jc w:val="both"/>
        <w:rPr>
          <w:rFonts w:cs="Arial"/>
          <w:color w:val="auto"/>
        </w:rPr>
      </w:pPr>
      <w:r w:rsidRPr="00C2021A">
        <w:rPr>
          <w:rFonts w:cs="Arial"/>
          <w:color w:val="auto"/>
        </w:rPr>
        <w:t xml:space="preserve">Lysozyme is an antimicrobial enzyme that is usually produced by our immune system when it gets attacked by pulmonary pathogens </w:t>
      </w:r>
      <w:r w:rsidRPr="00C2021A">
        <w:rPr>
          <w:rFonts w:cs="Arial"/>
          <w:noProof/>
          <w:color w:val="auto"/>
        </w:rPr>
        <w:t>(Smith et al. 2019)</w:t>
      </w:r>
      <w:r w:rsidRPr="00C2021A">
        <w:rPr>
          <w:rFonts w:cs="Arial"/>
          <w:color w:val="auto"/>
        </w:rPr>
        <w:t xml:space="preserve">. Xiao et al. realized a biosensing platform based on </w:t>
      </w:r>
      <w:proofErr w:type="gramStart"/>
      <w:r w:rsidRPr="00C2021A">
        <w:rPr>
          <w:rFonts w:cs="Arial"/>
          <w:color w:val="auto"/>
        </w:rPr>
        <w:t>graphene-modified</w:t>
      </w:r>
      <w:proofErr w:type="gramEnd"/>
      <w:r w:rsidRPr="00C2021A">
        <w:rPr>
          <w:rFonts w:cs="Arial"/>
          <w:color w:val="auto"/>
        </w:rPr>
        <w:t xml:space="preserve"> GCEs for the selective detection of lysozyme in saliva, achieving an ultra-low limit of detection in the femtomolar range </w:t>
      </w:r>
      <w:r w:rsidRPr="00C2021A">
        <w:rPr>
          <w:rFonts w:cs="Arial"/>
          <w:noProof/>
          <w:color w:val="auto"/>
        </w:rPr>
        <w:t>(Xiao et al. 2013)</w:t>
      </w:r>
      <w:r w:rsidRPr="00C2021A">
        <w:rPr>
          <w:rFonts w:cs="Arial"/>
          <w:color w:val="auto"/>
        </w:rPr>
        <w:t xml:space="preserve">. The selectivity of the biosensor is demonstrated by a marked response to lysozyme in the presence of thrombin and bovine serum albumin (BSA) as disturbing species. Liu and coworkers developed an aptameric biosensing device for lysozyme recognition, using a modified </w:t>
      </w:r>
      <w:proofErr w:type="spellStart"/>
      <w:r w:rsidRPr="00C2021A">
        <w:rPr>
          <w:rFonts w:cs="Arial"/>
          <w:color w:val="auto"/>
        </w:rPr>
        <w:t>rGO</w:t>
      </w:r>
      <w:proofErr w:type="spellEnd"/>
      <w:r w:rsidRPr="00C2021A">
        <w:rPr>
          <w:rFonts w:cs="Arial"/>
          <w:color w:val="auto"/>
        </w:rPr>
        <w:t xml:space="preserve"> assembly and fluorescence as a detection technique </w:t>
      </w:r>
      <w:r w:rsidRPr="00C2021A">
        <w:rPr>
          <w:rFonts w:cs="Arial"/>
          <w:noProof/>
          <w:color w:val="auto"/>
        </w:rPr>
        <w:t>(Liu et al. 2017)</w:t>
      </w:r>
      <w:r w:rsidRPr="00C2021A">
        <w:rPr>
          <w:rFonts w:cs="Arial"/>
          <w:color w:val="auto"/>
        </w:rPr>
        <w:t xml:space="preserve">. The biosensor showed a LOD in the picomolar range when tested in both 10-fold diluted saliva samples and in standard buffer solution, which is higher compared to that achieved by the prior work </w:t>
      </w:r>
      <w:r w:rsidRPr="00C2021A">
        <w:rPr>
          <w:rFonts w:cs="Arial"/>
          <w:noProof/>
          <w:color w:val="auto"/>
        </w:rPr>
        <w:t>(Xiao et al. 2013)</w:t>
      </w:r>
      <w:r w:rsidRPr="00C2021A">
        <w:rPr>
          <w:rFonts w:cs="Arial"/>
          <w:color w:val="auto"/>
        </w:rPr>
        <w:t xml:space="preserve">. The values of recovery when tested in real samples are acceptable, and the device proved to be highly selective for lysozyme, producing an 8-fold higher relative fluorescence peak compared to that </w:t>
      </w:r>
      <w:r w:rsidRPr="00C2021A">
        <w:rPr>
          <w:rFonts w:cs="Arial"/>
          <w:color w:val="auto"/>
        </w:rPr>
        <w:lastRenderedPageBreak/>
        <w:t>originated by six control proteins: BSA, interferon</w:t>
      </w:r>
      <w:r w:rsidR="007B29A7">
        <w:rPr>
          <w:rFonts w:cs="Arial"/>
          <w:color w:val="auto"/>
        </w:rPr>
        <w:t>-</w:t>
      </w:r>
      <w:r w:rsidRPr="00C2021A">
        <w:rPr>
          <w:rFonts w:cs="Arial"/>
          <w:color w:val="auto"/>
        </w:rPr>
        <w:t>gamma (IFN-γ), myoglobin (Mb), cytochrome C (</w:t>
      </w:r>
      <w:proofErr w:type="spellStart"/>
      <w:r w:rsidRPr="00C2021A">
        <w:rPr>
          <w:rFonts w:cs="Arial"/>
          <w:color w:val="auto"/>
        </w:rPr>
        <w:t>Cyt</w:t>
      </w:r>
      <w:proofErr w:type="spellEnd"/>
      <w:r w:rsidRPr="00C2021A">
        <w:rPr>
          <w:rFonts w:cs="Arial"/>
          <w:color w:val="auto"/>
        </w:rPr>
        <w:t xml:space="preserve"> C) and </w:t>
      </w:r>
      <w:r w:rsidRPr="00C2021A">
        <w:rPr>
          <w:rFonts w:cs="Arial"/>
          <w:color w:val="auto"/>
          <w:u w:color="202122"/>
          <w:shd w:val="clear" w:color="auto" w:fill="FFFFFF"/>
        </w:rPr>
        <w:t>nuclear factor kappa-light-chain-enhancer of activated B cells</w:t>
      </w:r>
      <w:r w:rsidRPr="00C2021A">
        <w:rPr>
          <w:rFonts w:cs="Arial"/>
          <w:b/>
          <w:bCs/>
          <w:color w:val="auto"/>
          <w:u w:color="202122"/>
          <w:shd w:val="clear" w:color="auto" w:fill="FFFFFF"/>
        </w:rPr>
        <w:t xml:space="preserve"> </w:t>
      </w:r>
      <w:r w:rsidRPr="00C2021A">
        <w:rPr>
          <w:rFonts w:cs="Arial"/>
          <w:color w:val="auto"/>
          <w:u w:color="202122"/>
          <w:shd w:val="clear" w:color="auto" w:fill="FFFFFF"/>
        </w:rPr>
        <w:t>(</w:t>
      </w:r>
      <w:r w:rsidR="007B29A7">
        <w:rPr>
          <w:rFonts w:cs="Arial"/>
          <w:color w:val="auto"/>
        </w:rPr>
        <w:t>NF-k</w:t>
      </w:r>
      <w:r w:rsidRPr="00C2021A">
        <w:rPr>
          <w:rFonts w:cs="Arial"/>
          <w:color w:val="auto"/>
        </w:rPr>
        <w:t>B).</w:t>
      </w:r>
    </w:p>
    <w:p w14:paraId="52710DE8" w14:textId="48529649" w:rsidR="00154DB5" w:rsidRPr="00C2021A" w:rsidRDefault="00154DB5" w:rsidP="00041DBE">
      <w:pPr>
        <w:spacing w:after="0" w:line="240" w:lineRule="auto"/>
        <w:ind w:firstLine="720"/>
        <w:jc w:val="both"/>
        <w:rPr>
          <w:rFonts w:cs="Arial"/>
          <w:color w:val="auto"/>
        </w:rPr>
      </w:pPr>
      <w:r w:rsidRPr="00C2021A">
        <w:rPr>
          <w:rFonts w:cs="Arial"/>
          <w:color w:val="auto"/>
        </w:rPr>
        <w:t xml:space="preserve">Pyoverdine is a siderophore (iron-chelating compound) that is secreted by </w:t>
      </w:r>
      <w:r w:rsidR="007B29A7">
        <w:rPr>
          <w:rFonts w:cs="Arial"/>
          <w:color w:val="auto"/>
        </w:rPr>
        <w:t xml:space="preserve">the </w:t>
      </w:r>
      <w:r w:rsidRPr="00C2021A">
        <w:rPr>
          <w:rFonts w:cs="Arial"/>
          <w:color w:val="auto"/>
        </w:rPr>
        <w:t xml:space="preserve">bacterium Pseudomonas aeruginosa, which is related to potential chronic lung infections </w:t>
      </w:r>
      <w:r w:rsidRPr="00C2021A">
        <w:rPr>
          <w:rFonts w:cs="Arial"/>
          <w:noProof/>
          <w:color w:val="auto"/>
        </w:rPr>
        <w:t>(Kang et al. 2018; Peek et al. 2012)</w:t>
      </w:r>
      <w:r w:rsidRPr="00C2021A">
        <w:rPr>
          <w:rFonts w:cs="Arial"/>
          <w:color w:val="auto"/>
        </w:rPr>
        <w:t xml:space="preserve">. </w:t>
      </w:r>
      <w:proofErr w:type="spellStart"/>
      <w:r w:rsidRPr="00C2021A">
        <w:rPr>
          <w:rFonts w:cs="Arial"/>
          <w:color w:val="auto"/>
        </w:rPr>
        <w:t>Cernat</w:t>
      </w:r>
      <w:proofErr w:type="spellEnd"/>
      <w:r w:rsidRPr="00C2021A">
        <w:rPr>
          <w:rFonts w:cs="Arial"/>
          <w:color w:val="auto"/>
        </w:rPr>
        <w:t xml:space="preserve"> and coworkers developed a biosensing platform based on a combination of several nanomaterials, to take advantage of their combined properties </w:t>
      </w:r>
      <w:r w:rsidRPr="00C2021A">
        <w:rPr>
          <w:rFonts w:cs="Arial"/>
          <w:noProof/>
          <w:color w:val="auto"/>
        </w:rPr>
        <w:t>(Cernat et al. 2018)</w:t>
      </w:r>
      <w:r w:rsidRPr="00C2021A">
        <w:rPr>
          <w:rFonts w:cs="Arial"/>
          <w:color w:val="auto"/>
        </w:rPr>
        <w:t>. Polypyrrole-3-carboxilic acid (</w:t>
      </w:r>
      <w:proofErr w:type="spellStart"/>
      <w:r w:rsidRPr="00C2021A">
        <w:rPr>
          <w:rFonts w:cs="Arial"/>
          <w:color w:val="auto"/>
        </w:rPr>
        <w:t>Ppy</w:t>
      </w:r>
      <w:proofErr w:type="spellEnd"/>
      <w:r w:rsidRPr="00C2021A">
        <w:rPr>
          <w:rFonts w:cs="Arial"/>
          <w:color w:val="auto"/>
        </w:rPr>
        <w:t xml:space="preserve">-COOH) is deposited on graphene-modified SPEs to stabilize the composite structure. Then the platform is decorated with gold nanoparticles (Au NPs) to enhance the </w:t>
      </w:r>
      <w:r w:rsidR="007B29A7">
        <w:rPr>
          <w:rFonts w:cs="Arial"/>
          <w:color w:val="auto"/>
        </w:rPr>
        <w:t>device's sensitivity</w:t>
      </w:r>
      <w:r w:rsidRPr="00C2021A">
        <w:rPr>
          <w:rFonts w:cs="Arial"/>
          <w:color w:val="auto"/>
        </w:rPr>
        <w:t xml:space="preserve">. The resulting biosensor has a LOD in the micromolar range and showed excellent recovery when tested in both buffer solution and real saliva samples. The selectivity has been confirmed against ascorbic acid, acetylsalicylic acid, uric acid, NADH, dopamine, and glucose. </w:t>
      </w:r>
      <w:r w:rsidR="007B29A7">
        <w:rPr>
          <w:rFonts w:cs="Arial"/>
          <w:color w:val="auto"/>
        </w:rPr>
        <w:t>However, the sensor</w:t>
      </w:r>
      <w:r w:rsidRPr="00C2021A">
        <w:rPr>
          <w:rFonts w:cs="Arial"/>
          <w:color w:val="auto"/>
        </w:rPr>
        <w:t xml:space="preserve"> failed to demonstrate satisfactory long-term stability, producing 41.42% higher results after only one week and 61.12% higher results after two weeks. The same group later realized another version of the sensor based on the same nanocomposite platform to overcome the </w:t>
      </w:r>
      <w:r w:rsidR="007B29A7">
        <w:rPr>
          <w:rFonts w:cs="Arial"/>
          <w:color w:val="auto"/>
        </w:rPr>
        <w:t>stability, as mentioned earlier</w:t>
      </w:r>
      <w:r w:rsidRPr="00C2021A">
        <w:rPr>
          <w:rFonts w:cs="Arial"/>
          <w:color w:val="auto"/>
        </w:rPr>
        <w:t xml:space="preserve"> limitations </w:t>
      </w:r>
      <w:r w:rsidRPr="00C2021A">
        <w:rPr>
          <w:rFonts w:cs="Arial"/>
          <w:noProof/>
          <w:color w:val="auto"/>
        </w:rPr>
        <w:t>(Gandouzi et al. 2018)</w:t>
      </w:r>
      <w:r w:rsidRPr="00C2021A">
        <w:rPr>
          <w:rFonts w:cs="Arial"/>
          <w:color w:val="auto"/>
        </w:rPr>
        <w:t>. The already satisfactory recovery, obtained in the previous study, was improved to 102.12%, and the long-term stability substantially increased, with the sensor retaining 91.43% of its initial performance after 30 days in dry storage. However, this device demonstrated poor intra-assay reproducibility after the 5</w:t>
      </w:r>
      <w:r w:rsidRPr="00C2021A">
        <w:rPr>
          <w:rFonts w:cs="Arial"/>
          <w:color w:val="auto"/>
          <w:vertAlign w:val="superscript"/>
        </w:rPr>
        <w:t>th</w:t>
      </w:r>
      <w:r w:rsidRPr="00C2021A">
        <w:rPr>
          <w:rFonts w:cs="Arial"/>
          <w:color w:val="auto"/>
        </w:rPr>
        <w:t xml:space="preserve"> consecutive test, showing the </w:t>
      </w:r>
      <w:r w:rsidR="007B29A7">
        <w:rPr>
          <w:rFonts w:cs="Arial"/>
          <w:color w:val="auto"/>
        </w:rPr>
        <w:t>nanocomposite platform's limitations</w:t>
      </w:r>
      <w:r w:rsidRPr="00C2021A">
        <w:rPr>
          <w:rFonts w:cs="Arial"/>
          <w:color w:val="auto"/>
        </w:rPr>
        <w:t xml:space="preserve"> in terms of regeneration and consecutive uses. The inter-assay RSD of 5.6% is instead among normal values for biosensors.</w:t>
      </w:r>
    </w:p>
    <w:p w14:paraId="562F6282" w14:textId="77777777" w:rsidR="00154DB5" w:rsidRPr="00C2021A" w:rsidRDefault="00154DB5" w:rsidP="004A4D8A">
      <w:pPr>
        <w:spacing w:after="0" w:line="240" w:lineRule="auto"/>
        <w:jc w:val="both"/>
        <w:rPr>
          <w:rFonts w:cs="Arial"/>
          <w:b/>
          <w:i/>
          <w:color w:val="auto"/>
        </w:rPr>
      </w:pPr>
    </w:p>
    <w:p w14:paraId="72E2FE46" w14:textId="77777777" w:rsidR="00154DB5" w:rsidRPr="00C2021A" w:rsidRDefault="00154DB5" w:rsidP="004A4D8A">
      <w:pPr>
        <w:spacing w:after="0" w:line="240" w:lineRule="auto"/>
        <w:jc w:val="both"/>
        <w:rPr>
          <w:rFonts w:cs="Arial"/>
          <w:b/>
          <w:i/>
          <w:color w:val="auto"/>
        </w:rPr>
      </w:pPr>
      <w:r w:rsidRPr="00C2021A">
        <w:rPr>
          <w:rFonts w:cs="Arial"/>
          <w:b/>
          <w:i/>
          <w:color w:val="auto"/>
        </w:rPr>
        <w:t>4.2. Graphene biosensors for the detection of cancer markers in saliva</w:t>
      </w:r>
    </w:p>
    <w:p w14:paraId="0941B699" w14:textId="77777777" w:rsidR="00154DB5" w:rsidRPr="00C2021A" w:rsidRDefault="00154DB5" w:rsidP="00041DBE">
      <w:pPr>
        <w:spacing w:after="0" w:line="240" w:lineRule="auto"/>
        <w:jc w:val="both"/>
        <w:rPr>
          <w:rFonts w:cs="Arial"/>
          <w:color w:val="auto"/>
        </w:rPr>
      </w:pPr>
      <w:r w:rsidRPr="00C2021A">
        <w:rPr>
          <w:rFonts w:cs="Arial"/>
          <w:color w:val="auto"/>
        </w:rPr>
        <w:t xml:space="preserve">The early diagnosis of disease plays a major role, especially for those patients affected by cancer, reducing the risk of mortality and producing a timely response that can substantially affect the outcome of the therapy </w:t>
      </w:r>
      <w:r w:rsidRPr="00C2021A">
        <w:rPr>
          <w:rFonts w:cs="Arial"/>
          <w:noProof/>
          <w:color w:val="auto"/>
        </w:rPr>
        <w:t>(Wu and Qu 2015)</w:t>
      </w:r>
      <w:r w:rsidRPr="00C2021A">
        <w:rPr>
          <w:rFonts w:cs="Arial"/>
          <w:color w:val="auto"/>
        </w:rPr>
        <w:t xml:space="preserve">. As a result, tremendous efforts are being devoted to the development of technologies that can accurately detect any trace of carcinogenic molecules </w:t>
      </w:r>
      <w:r w:rsidRPr="00C2021A">
        <w:rPr>
          <w:rFonts w:cs="Arial"/>
          <w:noProof/>
          <w:color w:val="auto"/>
        </w:rPr>
        <w:t>(Goossens et al. 2015; Sawyers 2008)</w:t>
      </w:r>
      <w:r w:rsidRPr="00C2021A">
        <w:rPr>
          <w:rFonts w:cs="Arial"/>
          <w:color w:val="auto"/>
        </w:rPr>
        <w:t xml:space="preserve">. A biomarker can be referred to as a biological molecule whose presence in body fluid can be related to the appearance of a disease </w:t>
      </w:r>
      <w:r w:rsidRPr="00C2021A">
        <w:rPr>
          <w:rFonts w:cs="Arial"/>
          <w:noProof/>
          <w:color w:val="auto"/>
        </w:rPr>
        <w:t>(Henry and Hayes 2012)</w:t>
      </w:r>
      <w:r w:rsidRPr="00C2021A">
        <w:rPr>
          <w:rFonts w:cs="Arial"/>
          <w:color w:val="auto"/>
        </w:rPr>
        <w:t xml:space="preserve">. In some cases, as for viral and bacterial infections </w:t>
      </w:r>
      <w:r w:rsidRPr="00C2021A">
        <w:rPr>
          <w:rFonts w:cs="Arial"/>
          <w:noProof/>
          <w:color w:val="auto"/>
        </w:rPr>
        <w:t>(Corstjens et al. 2012)</w:t>
      </w:r>
      <w:r w:rsidRPr="00C2021A">
        <w:rPr>
          <w:rFonts w:cs="Arial"/>
          <w:color w:val="auto"/>
        </w:rPr>
        <w:t xml:space="preserve">, one molecule is sufficient to unquestionably certify the infection, while in other cases, such as for cancer biomarkers, the contemporary assessment of the presence of specific molecules is a strong sign of the insurgence of the disease. </w:t>
      </w:r>
    </w:p>
    <w:p w14:paraId="3906C61A" w14:textId="700593E7" w:rsidR="00154DB5" w:rsidRPr="00C2021A" w:rsidRDefault="00154DB5" w:rsidP="00041DBE">
      <w:pPr>
        <w:spacing w:after="0" w:line="240" w:lineRule="auto"/>
        <w:ind w:firstLine="720"/>
        <w:jc w:val="both"/>
        <w:rPr>
          <w:rFonts w:cs="Arial"/>
          <w:color w:val="auto"/>
        </w:rPr>
      </w:pPr>
      <w:r w:rsidRPr="00C2021A">
        <w:rPr>
          <w:rFonts w:cs="Arial"/>
          <w:b/>
          <w:bCs/>
          <w:color w:val="auto"/>
        </w:rPr>
        <w:t>Table 4</w:t>
      </w:r>
      <w:r w:rsidRPr="00C2021A">
        <w:rPr>
          <w:rFonts w:cs="Arial"/>
          <w:color w:val="auto"/>
        </w:rPr>
        <w:t xml:space="preserve"> summarizes the latest efforts in </w:t>
      </w:r>
      <w:r w:rsidR="007B29A7">
        <w:rPr>
          <w:rFonts w:cs="Arial"/>
          <w:color w:val="auto"/>
        </w:rPr>
        <w:t>developing</w:t>
      </w:r>
      <w:r w:rsidRPr="00C2021A">
        <w:rPr>
          <w:rFonts w:cs="Arial"/>
          <w:color w:val="auto"/>
        </w:rPr>
        <w:t xml:space="preserve"> graphene-based </w:t>
      </w:r>
      <w:proofErr w:type="spellStart"/>
      <w:r w:rsidRPr="00C2021A">
        <w:rPr>
          <w:rFonts w:cs="Arial"/>
          <w:color w:val="auto"/>
        </w:rPr>
        <w:t>nanobiosensors</w:t>
      </w:r>
      <w:proofErr w:type="spellEnd"/>
      <w:r w:rsidRPr="00C2021A">
        <w:rPr>
          <w:rFonts w:cs="Arial"/>
          <w:color w:val="auto"/>
        </w:rPr>
        <w:t xml:space="preserve"> for the detection of cancer biomarkers in human saliva samples. As already specified in the previous section, greater relevance and importance is given to those studies that have been validated against a conventional screening method. In this case, less than half of the analyzed studies provided a direct comparison with a gold standard (ELISA). CYFRA-21-1 is a cancer marker of new conception, found to be particularly useful in the detection of non-small cell lung cancer </w:t>
      </w:r>
      <w:r w:rsidRPr="00C2021A">
        <w:rPr>
          <w:rFonts w:cs="Arial"/>
          <w:noProof/>
          <w:color w:val="auto"/>
        </w:rPr>
        <w:t>(Stieber et al. 1993; Wieskopf et al. 1995)</w:t>
      </w:r>
      <w:r w:rsidRPr="00C2021A">
        <w:rPr>
          <w:rFonts w:cs="Arial"/>
          <w:color w:val="auto"/>
        </w:rPr>
        <w:t xml:space="preserve">. Kumar and coworkers realized an electrochemical biosensor for the detection of CYFRA 21-1 using DPV </w:t>
      </w:r>
      <w:r w:rsidRPr="00C2021A">
        <w:rPr>
          <w:rFonts w:cs="Arial"/>
          <w:noProof/>
          <w:color w:val="auto"/>
        </w:rPr>
        <w:t>(Kumar et al. 2016)</w:t>
      </w:r>
      <w:r w:rsidRPr="00C2021A">
        <w:rPr>
          <w:rFonts w:cs="Arial"/>
          <w:color w:val="auto"/>
        </w:rPr>
        <w:t xml:space="preserve">. The nanocomposite platform exploits an </w:t>
      </w:r>
      <w:proofErr w:type="spellStart"/>
      <w:r w:rsidRPr="00C2021A">
        <w:rPr>
          <w:rFonts w:cs="Arial"/>
          <w:color w:val="auto"/>
        </w:rPr>
        <w:t>rGO</w:t>
      </w:r>
      <w:proofErr w:type="spellEnd"/>
      <w:r w:rsidRPr="00C2021A">
        <w:rPr>
          <w:rFonts w:cs="Arial"/>
          <w:color w:val="auto"/>
        </w:rPr>
        <w:t xml:space="preserve">/ITO biosensing platform decorated with zirconia nanoparticles to enhance sensitivity, and a further functionalization with 3-aminopropyl </w:t>
      </w:r>
      <w:proofErr w:type="spellStart"/>
      <w:r w:rsidRPr="00C2021A">
        <w:rPr>
          <w:rFonts w:cs="Arial"/>
          <w:color w:val="auto"/>
        </w:rPr>
        <w:t>triethoxy</w:t>
      </w:r>
      <w:proofErr w:type="spellEnd"/>
      <w:r w:rsidRPr="00C2021A">
        <w:rPr>
          <w:rFonts w:cs="Arial"/>
          <w:color w:val="auto"/>
        </w:rPr>
        <w:t xml:space="preserve"> saline (APTES) and anti-CYFRA-21-1. BSA is then added to the immune electrode to impede non-specific binding on the active surface. The resulting device showed a remarkably low LOD of 0.122 ng mL</w:t>
      </w:r>
      <w:r w:rsidRPr="00C2021A">
        <w:rPr>
          <w:rFonts w:cs="Arial"/>
          <w:color w:val="auto"/>
          <w:vertAlign w:val="superscript"/>
        </w:rPr>
        <w:t xml:space="preserve">-1 </w:t>
      </w:r>
      <w:r w:rsidRPr="00C2021A">
        <w:rPr>
          <w:rFonts w:cs="Arial"/>
          <w:color w:val="auto"/>
        </w:rPr>
        <w:t>and a wide linear range. The sensitivity of the device, defined as the ratio of the change in the output signal to the correspondent change in the analyte concentration, was calculated to be 0.756 µA mL∙</w:t>
      </w:r>
      <w:proofErr w:type="gramStart"/>
      <w:r w:rsidRPr="00C2021A">
        <w:rPr>
          <w:rFonts w:cs="Arial"/>
          <w:color w:val="auto"/>
        </w:rPr>
        <w:t>ng</w:t>
      </w:r>
      <w:r w:rsidRPr="00C2021A">
        <w:rPr>
          <w:rFonts w:cs="Arial"/>
          <w:color w:val="auto"/>
          <w:vertAlign w:val="superscript"/>
        </w:rPr>
        <w:t>-1</w:t>
      </w:r>
      <w:proofErr w:type="gramEnd"/>
      <w:r w:rsidRPr="00C2021A">
        <w:rPr>
          <w:rFonts w:cs="Arial"/>
          <w:color w:val="auto"/>
        </w:rPr>
        <w:t>. The device was tested for its long-term stability and successfully retained 94% of its performance after a period of 8 weeks in dry storage. The selectivity of the biosensing platform was tested against other biomarkers, such as carcinoembryonic antigen (CEA) and cardiac troponin I (</w:t>
      </w:r>
      <w:proofErr w:type="spellStart"/>
      <w:r w:rsidRPr="00C2021A">
        <w:rPr>
          <w:rFonts w:cs="Arial"/>
          <w:color w:val="auto"/>
        </w:rPr>
        <w:t>cTnI</w:t>
      </w:r>
      <w:proofErr w:type="spellEnd"/>
      <w:r w:rsidRPr="00C2021A">
        <w:rPr>
          <w:rFonts w:cs="Arial"/>
          <w:color w:val="auto"/>
        </w:rPr>
        <w:t>), as well as other disturbing molecules (</w:t>
      </w:r>
      <w:proofErr w:type="spellStart"/>
      <w:r w:rsidRPr="00C2021A">
        <w:rPr>
          <w:rFonts w:cs="Arial"/>
          <w:color w:val="auto"/>
        </w:rPr>
        <w:t>NaCM</w:t>
      </w:r>
      <w:proofErr w:type="spellEnd"/>
      <w:r w:rsidRPr="00C2021A">
        <w:rPr>
          <w:rFonts w:cs="Arial"/>
          <w:color w:val="auto"/>
        </w:rPr>
        <w:t xml:space="preserve">, glucose, </w:t>
      </w:r>
      <w:proofErr w:type="spellStart"/>
      <w:r w:rsidRPr="00C2021A">
        <w:rPr>
          <w:rFonts w:cs="Arial"/>
          <w:color w:val="auto"/>
        </w:rPr>
        <w:t>endotheline</w:t>
      </w:r>
      <w:proofErr w:type="spellEnd"/>
      <w:r w:rsidRPr="00C2021A">
        <w:rPr>
          <w:rFonts w:cs="Arial"/>
          <w:color w:val="auto"/>
        </w:rPr>
        <w:t xml:space="preserve"> 1, </w:t>
      </w:r>
      <w:proofErr w:type="spellStart"/>
      <w:r w:rsidRPr="00C2021A">
        <w:rPr>
          <w:rFonts w:cs="Arial"/>
          <w:color w:val="auto"/>
        </w:rPr>
        <w:t>KCl</w:t>
      </w:r>
      <w:proofErr w:type="spellEnd"/>
      <w:r w:rsidRPr="00C2021A">
        <w:rPr>
          <w:rFonts w:cs="Arial"/>
          <w:color w:val="auto"/>
        </w:rPr>
        <w:t xml:space="preserve">, NaCl, </w:t>
      </w:r>
      <w:r w:rsidRPr="00C2021A">
        <w:rPr>
          <w:rFonts w:cs="Arial"/>
          <w:color w:val="auto"/>
        </w:rPr>
        <w:lastRenderedPageBreak/>
        <w:t>and CaCl</w:t>
      </w:r>
      <w:r w:rsidRPr="00C2021A">
        <w:rPr>
          <w:rFonts w:cs="Arial"/>
          <w:color w:val="auto"/>
          <w:vertAlign w:val="subscript"/>
        </w:rPr>
        <w:t>2</w:t>
      </w:r>
      <w:r w:rsidRPr="00C2021A">
        <w:rPr>
          <w:rFonts w:cs="Arial"/>
          <w:color w:val="auto"/>
        </w:rPr>
        <w:t xml:space="preserve">). The interference of these molecules was quantified to be negligible, with a mean RSD of 0.32% having no significant effect on the major peak corresponding to CYFRA-21-1. The study was also validated against ELISA, being the gold standard for the detection of the biomarker, and the device exhibited a high correlation, with an RSD in the range of 0-2-3.35%. The same group </w:t>
      </w:r>
      <w:r w:rsidRPr="00C2021A">
        <w:rPr>
          <w:rFonts w:cs="Arial"/>
          <w:noProof/>
          <w:color w:val="auto"/>
        </w:rPr>
        <w:t>(Kumar et al. 2018)</w:t>
      </w:r>
      <w:r w:rsidRPr="00C2021A">
        <w:rPr>
          <w:rFonts w:cs="Arial"/>
          <w:color w:val="auto"/>
        </w:rPr>
        <w:t xml:space="preserve"> later developed a similar biosensor with a slightly modified sensing platform. The novel device employed nanostructured hafnium oxide (nHfO</w:t>
      </w:r>
      <w:r w:rsidRPr="00C2021A">
        <w:rPr>
          <w:rFonts w:cs="Arial"/>
          <w:color w:val="auto"/>
          <w:vertAlign w:val="subscript"/>
        </w:rPr>
        <w:t>2</w:t>
      </w:r>
      <w:r w:rsidRPr="00C2021A">
        <w:rPr>
          <w:rFonts w:cs="Arial"/>
          <w:color w:val="auto"/>
        </w:rPr>
        <w:t xml:space="preserve">) as a surface modification for the reduced graphene oxide layer deposited on ITO glass. The results reported in </w:t>
      </w:r>
      <w:r w:rsidRPr="00C2021A">
        <w:rPr>
          <w:rFonts w:cs="Arial"/>
          <w:b/>
          <w:bCs/>
          <w:color w:val="auto"/>
        </w:rPr>
        <w:t>Table 4</w:t>
      </w:r>
      <w:r w:rsidRPr="00C2021A">
        <w:rPr>
          <w:rFonts w:cs="Arial"/>
          <w:color w:val="auto"/>
        </w:rPr>
        <w:t xml:space="preserve"> proved comparable with their previous study, with a marginally higher LOD and wider linear range. The sensor exhibited lower stability (90% after 27 days of storage) but a substantially higher sensitivity of 18.24 </w:t>
      </w:r>
      <w:proofErr w:type="spellStart"/>
      <w:r w:rsidRPr="00C2021A">
        <w:rPr>
          <w:rFonts w:cs="Arial"/>
          <w:color w:val="auto"/>
        </w:rPr>
        <w:t>μA</w:t>
      </w:r>
      <w:proofErr w:type="spellEnd"/>
      <w:r w:rsidRPr="00C2021A">
        <w:rPr>
          <w:rFonts w:cs="Arial"/>
          <w:color w:val="auto"/>
        </w:rPr>
        <w:t xml:space="preserve"> mL∙</w:t>
      </w:r>
      <w:proofErr w:type="gramStart"/>
      <w:r w:rsidRPr="00C2021A">
        <w:rPr>
          <w:rFonts w:cs="Arial"/>
          <w:color w:val="auto"/>
        </w:rPr>
        <w:t>ng</w:t>
      </w:r>
      <w:r w:rsidRPr="00C2021A">
        <w:rPr>
          <w:rFonts w:cs="Arial"/>
          <w:color w:val="auto"/>
          <w:vertAlign w:val="superscript"/>
        </w:rPr>
        <w:t>−1</w:t>
      </w:r>
      <w:proofErr w:type="gramEnd"/>
      <w:r w:rsidRPr="00C2021A">
        <w:rPr>
          <w:rFonts w:cs="Arial"/>
          <w:color w:val="auto"/>
        </w:rPr>
        <w:t>. The selectivity in detecting CYFRA-21-1 was tested on similar interfering molecules with the addition of NaHCO</w:t>
      </w:r>
      <w:r w:rsidRPr="00C2021A">
        <w:rPr>
          <w:rFonts w:cs="Arial"/>
          <w:color w:val="auto"/>
          <w:vertAlign w:val="subscript"/>
        </w:rPr>
        <w:t>3</w:t>
      </w:r>
      <w:r w:rsidRPr="00C2021A">
        <w:rPr>
          <w:rFonts w:cs="Arial"/>
          <w:color w:val="auto"/>
        </w:rPr>
        <w:t>, ascorbic acid and lactic acid. The biosensor was also validated against ELISA, showing, however, a lower correlation compared to the previous sensing platform, with an RSD in the 2.2-8% range.</w:t>
      </w:r>
    </w:p>
    <w:p w14:paraId="53EAA7F7" w14:textId="06E17EAA" w:rsidR="00154DB5" w:rsidRPr="00C2021A" w:rsidRDefault="00154DB5" w:rsidP="00041DBE">
      <w:pPr>
        <w:spacing w:after="0" w:line="240" w:lineRule="auto"/>
        <w:ind w:firstLine="720"/>
        <w:jc w:val="both"/>
        <w:rPr>
          <w:rFonts w:cs="Arial"/>
          <w:color w:val="auto"/>
        </w:rPr>
      </w:pPr>
      <w:r w:rsidRPr="00C2021A">
        <w:rPr>
          <w:rFonts w:cs="Arial"/>
          <w:color w:val="auto"/>
        </w:rPr>
        <w:t xml:space="preserve">Interleukins are a family of cytokines secreted by our immune system during an immune response and can be attributed to local inflammations and cancer progression </w:t>
      </w:r>
      <w:r w:rsidRPr="00C2021A">
        <w:rPr>
          <w:rFonts w:cs="Arial"/>
          <w:noProof/>
          <w:color w:val="auto"/>
        </w:rPr>
        <w:t>(Bryant and Fitzgerald 2009)</w:t>
      </w:r>
      <w:r w:rsidRPr="00C2021A">
        <w:rPr>
          <w:rFonts w:cs="Arial"/>
          <w:color w:val="auto"/>
        </w:rPr>
        <w:t xml:space="preserve">. The overexpression of Interleukin-6 (IL-6), for instance, has been signaled in all types of reported tumors, therefore becoming an important cancer biomarker </w:t>
      </w:r>
      <w:r w:rsidRPr="00C2021A">
        <w:rPr>
          <w:rFonts w:cs="Arial"/>
          <w:noProof/>
          <w:color w:val="auto"/>
        </w:rPr>
        <w:t>(Kumari et al. 2016)</w:t>
      </w:r>
      <w:r w:rsidRPr="00C2021A">
        <w:rPr>
          <w:rFonts w:cs="Arial"/>
          <w:color w:val="auto"/>
        </w:rPr>
        <w:t xml:space="preserve">. Similarly, the presence of interleukin-8 (IL-8) in body fluids is directly linked to tumor progression in a multitude of cancers, including oral cancer </w:t>
      </w:r>
      <w:r w:rsidRPr="00C2021A">
        <w:rPr>
          <w:rFonts w:cs="Arial"/>
          <w:noProof/>
          <w:color w:val="auto"/>
        </w:rPr>
        <w:t>(Waugh and Wilson 2008; Xie 2001)</w:t>
      </w:r>
      <w:r w:rsidRPr="00C2021A">
        <w:rPr>
          <w:rFonts w:cs="Arial"/>
          <w:color w:val="auto"/>
        </w:rPr>
        <w:t xml:space="preserve">. </w:t>
      </w:r>
      <w:proofErr w:type="spellStart"/>
      <w:r w:rsidRPr="00C2021A">
        <w:rPr>
          <w:rFonts w:cs="Arial"/>
          <w:color w:val="auto"/>
        </w:rPr>
        <w:t>Zao</w:t>
      </w:r>
      <w:proofErr w:type="spellEnd"/>
      <w:r w:rsidRPr="00C2021A">
        <w:rPr>
          <w:rFonts w:cs="Arial"/>
          <w:color w:val="auto"/>
        </w:rPr>
        <w:t xml:space="preserve"> et al. </w:t>
      </w:r>
      <w:r w:rsidRPr="00C2021A">
        <w:rPr>
          <w:rFonts w:cs="Arial"/>
          <w:noProof/>
          <w:color w:val="auto"/>
        </w:rPr>
        <w:t>(Hao et al. 2019)</w:t>
      </w:r>
      <w:r w:rsidRPr="00C2021A">
        <w:rPr>
          <w:rFonts w:cs="Arial"/>
          <w:color w:val="auto"/>
        </w:rPr>
        <w:t xml:space="preserve"> recently developed a biosensing device with integrated readout circuitry and wireless capability for real-time detection of IL-6 in human saliva samples. The device is based on a graphene field-effect transistor (GFET) that operates as a transducer and produces a characteristic I-V curve as signal output, which contains a richer amount of information compared to standard electrochemical techniques. The limit of detection in the picomolar range makes it suitable for the detection of IL-6 in very small concentrations. The selectivity of the GFET is tested against the epidermal growth factor (EGF) and human growth hormone (GH) that produced a voltage variation only seven times smaller than the IL-6 main peak. The reproducibility of the device has been assessed, registering maximum fluctuations of around 7%, and a coefficient of variation of ~ 0.12. The key features of this biosensor that makes it particularly promising for POC applications are the compact integrated electronic module featuring Wi-Fi communication and extremely fast response of 400 seconds after the addition of 30 µL of saliva. Verma and coworkers developed a biosensor based on </w:t>
      </w:r>
      <w:proofErr w:type="spellStart"/>
      <w:r w:rsidRPr="00C2021A">
        <w:rPr>
          <w:rFonts w:cs="Arial"/>
          <w:color w:val="auto"/>
        </w:rPr>
        <w:t>rGO</w:t>
      </w:r>
      <w:proofErr w:type="spellEnd"/>
      <w:r w:rsidRPr="00C2021A">
        <w:rPr>
          <w:rFonts w:cs="Arial"/>
          <w:color w:val="auto"/>
        </w:rPr>
        <w:t xml:space="preserve">-modified ITO glass, decorated with Au NPs, for the detection of IL-8 in saliva samples </w:t>
      </w:r>
      <w:r w:rsidRPr="00C2021A">
        <w:rPr>
          <w:rFonts w:cs="Arial"/>
          <w:noProof/>
          <w:color w:val="auto"/>
        </w:rPr>
        <w:t>(Verma et al. 2017)</w:t>
      </w:r>
      <w:r w:rsidRPr="00C2021A">
        <w:rPr>
          <w:rFonts w:cs="Arial"/>
          <w:color w:val="auto"/>
        </w:rPr>
        <w:t xml:space="preserve">. The sensor proved promising for the detection in saliva with recovery values around 94% and selectivity against spiked MAGE-A11, MAGE A-2, CD59, and h-TERT in real samples. Moreover, the device showed excellent inter-assay reproducibility with an RSD of 2.7% and promising reusability. The biosensor exhibited a maximum deflection of 1.4% after three regenerations and a slight increase of 2.9% after the fourth cycle. Remarkable is the data concerning the long-term stability, with a 94.3% performance retainment after three months and a 91.8% stability after four months of dry storage. The same research group recently developed a modified version of the biosensor with a zinc-oxide-reduced graphene oxide sensing platform and a further functionalization with IL-8 antibodies </w:t>
      </w:r>
      <w:r w:rsidRPr="00C2021A">
        <w:rPr>
          <w:rFonts w:cs="Arial"/>
          <w:noProof/>
          <w:color w:val="auto"/>
        </w:rPr>
        <w:t>(Verma and Singh 2019)</w:t>
      </w:r>
      <w:r w:rsidRPr="00C2021A">
        <w:rPr>
          <w:rFonts w:cs="Arial"/>
          <w:color w:val="auto"/>
        </w:rPr>
        <w:t xml:space="preserve">. The device exhibited a lower LOD when tested in the same buffer solution, as well as a wider linear range and recovery values in the range of 95-100%. Moreover, data on </w:t>
      </w:r>
      <w:r w:rsidR="007B29A7">
        <w:rPr>
          <w:rFonts w:cs="Arial"/>
          <w:color w:val="auto"/>
        </w:rPr>
        <w:t xml:space="preserve">the </w:t>
      </w:r>
      <w:r w:rsidRPr="00C2021A">
        <w:rPr>
          <w:rFonts w:cs="Arial"/>
          <w:color w:val="auto"/>
        </w:rPr>
        <w:t>sensitivity of the device in real saliva samples (11.57 µA mL∙</w:t>
      </w:r>
      <w:proofErr w:type="gramStart"/>
      <w:r w:rsidRPr="00C2021A">
        <w:rPr>
          <w:rFonts w:cs="Arial"/>
          <w:color w:val="auto"/>
        </w:rPr>
        <w:t>ng</w:t>
      </w:r>
      <w:r w:rsidRPr="00C2021A">
        <w:rPr>
          <w:rFonts w:cs="Arial"/>
          <w:color w:val="auto"/>
          <w:vertAlign w:val="superscript"/>
        </w:rPr>
        <w:t>-1</w:t>
      </w:r>
      <w:proofErr w:type="gramEnd"/>
      <w:r w:rsidRPr="00C2021A">
        <w:rPr>
          <w:rFonts w:cs="Arial"/>
          <w:color w:val="auto"/>
        </w:rPr>
        <w:t>) were added, compared to the previous study. The stability of the biosensor was only evaluated for 70 days, without providing quantification of the performance solidity. Excellent reproducibility values were again reported, with an intra assay RSD of 3.2%.</w:t>
      </w:r>
    </w:p>
    <w:p w14:paraId="6C3A845F" w14:textId="77777777" w:rsidR="00154DB5" w:rsidRPr="00C2021A" w:rsidRDefault="00154DB5" w:rsidP="00041DBE">
      <w:pPr>
        <w:spacing w:after="0" w:line="240" w:lineRule="auto"/>
        <w:ind w:firstLine="720"/>
        <w:jc w:val="both"/>
        <w:rPr>
          <w:rFonts w:cs="Arial"/>
          <w:color w:val="auto"/>
        </w:rPr>
      </w:pPr>
      <w:r w:rsidRPr="00C2021A">
        <w:rPr>
          <w:rFonts w:cs="Arial"/>
          <w:color w:val="auto"/>
        </w:rPr>
        <w:t xml:space="preserve">Prostate-specific antigen is a glycoprotein enzyme that is always present in men serum in a physiological concentration that should not exceed 4 ng/mL </w:t>
      </w:r>
      <w:r w:rsidRPr="00C2021A">
        <w:rPr>
          <w:rFonts w:cs="Arial"/>
          <w:noProof/>
          <w:color w:val="auto"/>
        </w:rPr>
        <w:t>(Prestigiacomo and Stamey 1996)</w:t>
      </w:r>
      <w:r w:rsidRPr="00C2021A">
        <w:rPr>
          <w:rFonts w:cs="Arial"/>
          <w:color w:val="auto"/>
        </w:rPr>
        <w:t xml:space="preserve">. Whenever PSA values overcome this threshold, men are suggested to undergo examinations to exclude the insurgence of prostate cancer, being PSA one of the most common biomarkers for </w:t>
      </w:r>
      <w:r w:rsidRPr="00C2021A">
        <w:rPr>
          <w:rFonts w:cs="Arial"/>
          <w:color w:val="auto"/>
        </w:rPr>
        <w:lastRenderedPageBreak/>
        <w:t xml:space="preserve">the disease </w:t>
      </w:r>
      <w:r w:rsidRPr="00C2021A">
        <w:rPr>
          <w:rFonts w:cs="Arial"/>
          <w:noProof/>
          <w:color w:val="auto"/>
        </w:rPr>
        <w:t>(Catalona et al. 1991; Stamey et al. 1987)</w:t>
      </w:r>
      <w:r w:rsidRPr="00C2021A">
        <w:rPr>
          <w:rFonts w:cs="Arial"/>
          <w:color w:val="auto"/>
        </w:rPr>
        <w:t xml:space="preserve">. Khan and coworkers </w:t>
      </w:r>
      <w:r w:rsidRPr="00C2021A">
        <w:rPr>
          <w:rFonts w:cs="Arial"/>
          <w:noProof/>
          <w:color w:val="auto"/>
        </w:rPr>
        <w:t>(Khan et al. 2018)</w:t>
      </w:r>
      <w:r w:rsidRPr="00C2021A">
        <w:rPr>
          <w:rFonts w:cs="Arial"/>
          <w:color w:val="auto"/>
        </w:rPr>
        <w:t xml:space="preserve"> developed a fully integrated </w:t>
      </w:r>
      <w:proofErr w:type="spellStart"/>
      <w:r w:rsidRPr="00C2021A">
        <w:rPr>
          <w:rFonts w:cs="Arial"/>
          <w:color w:val="auto"/>
        </w:rPr>
        <w:t>chemiresistive</w:t>
      </w:r>
      <w:proofErr w:type="spellEnd"/>
      <w:r w:rsidRPr="00C2021A">
        <w:rPr>
          <w:rFonts w:cs="Arial"/>
          <w:color w:val="auto"/>
        </w:rPr>
        <w:t xml:space="preserve"> graphene-based biosensor using Whatman filter paper as a substrate, aiming to provide a low-cost solution for rapid PSA screening using saliva samples. The LOD of 40 fg∙mL</w:t>
      </w:r>
      <w:r w:rsidRPr="00C2021A">
        <w:rPr>
          <w:rFonts w:cs="Arial"/>
          <w:color w:val="auto"/>
          <w:vertAlign w:val="superscript"/>
        </w:rPr>
        <w:t>-1</w:t>
      </w:r>
      <w:r w:rsidRPr="00C2021A">
        <w:rPr>
          <w:rFonts w:cs="Arial"/>
          <w:color w:val="auto"/>
        </w:rPr>
        <w:t xml:space="preserve"> is sufficient for the detection of PSA below the clinical threshold of relevance, and the linear correlation is maintained for a very wide range. The biosensor responds to the detection of PSA with a sensitivity of 0.875 Ω∙mL∙fg</w:t>
      </w:r>
      <w:r w:rsidRPr="00C2021A">
        <w:rPr>
          <w:rFonts w:cs="Arial"/>
          <w:color w:val="auto"/>
          <w:vertAlign w:val="superscript"/>
        </w:rPr>
        <w:t>−1</w:t>
      </w:r>
      <w:r w:rsidRPr="00C2021A">
        <w:rPr>
          <w:rFonts w:cs="Arial"/>
          <w:color w:val="auto"/>
        </w:rPr>
        <w:t xml:space="preserve">. The stability of the device is verified up to a period of 7 weeks in dry storage, and the selectivity is tested against beta 2-microglobulin (B2 M), lactoferrin (LF), and ascorbic acid (AA). The sensing platform is directly interfaced to a miniaturized handheld PCB that makes the developed sensor promising for POC testing. A reproducibility of 88.89% is calculated among 72 identically fabricated sensor chips. The device has also been validated against a self-designed ELISA protocol with a remarkable 94% correlation with the gold standard. The integration of an electronic readout circuitry, the validation against the ELISA test, and an extremely fast response time between 1 and 3 minutes make this device a model for future development on graphene-based biosensors for POC applications. </w:t>
      </w:r>
      <w:proofErr w:type="spellStart"/>
      <w:r w:rsidRPr="00C2021A">
        <w:rPr>
          <w:rFonts w:cs="Arial"/>
          <w:color w:val="auto"/>
        </w:rPr>
        <w:t>Farzin</w:t>
      </w:r>
      <w:proofErr w:type="spellEnd"/>
      <w:r w:rsidRPr="00C2021A">
        <w:rPr>
          <w:rFonts w:cs="Arial"/>
          <w:color w:val="auto"/>
        </w:rPr>
        <w:t xml:space="preserve"> et al. </w:t>
      </w:r>
      <w:r w:rsidRPr="00C2021A">
        <w:rPr>
          <w:rFonts w:cs="Arial"/>
          <w:noProof/>
          <w:color w:val="auto"/>
        </w:rPr>
        <w:t>(Farzin et al. 2019)</w:t>
      </w:r>
      <w:r w:rsidRPr="00C2021A">
        <w:rPr>
          <w:rFonts w:cs="Arial"/>
          <w:color w:val="auto"/>
        </w:rPr>
        <w:t xml:space="preserve"> also developed a nanocomposite sensor for the detection of PSA in saliva. The biosensor features a combination of 1D and 2D nanomaterials deposited on functionalized GCEs. They achieved a substantially lower LOD of 2.8 </w:t>
      </w:r>
      <w:proofErr w:type="spellStart"/>
      <w:r w:rsidRPr="00C2021A">
        <w:rPr>
          <w:rFonts w:cs="Arial"/>
          <w:color w:val="auto"/>
        </w:rPr>
        <w:t>fg</w:t>
      </w:r>
      <w:proofErr w:type="spellEnd"/>
      <w:r w:rsidRPr="00C2021A">
        <w:rPr>
          <w:rFonts w:cs="Arial"/>
          <w:color w:val="auto"/>
        </w:rPr>
        <w:t xml:space="preserve">/mL and better values of recovery when compared to Khan et al. </w:t>
      </w:r>
      <w:r w:rsidRPr="00C2021A">
        <w:rPr>
          <w:rFonts w:cs="Arial"/>
          <w:noProof/>
          <w:color w:val="auto"/>
        </w:rPr>
        <w:t>(Khan et al. 2018)</w:t>
      </w:r>
      <w:r w:rsidRPr="00C2021A">
        <w:rPr>
          <w:rFonts w:cs="Arial"/>
          <w:color w:val="auto"/>
        </w:rPr>
        <w:t xml:space="preserve"> work. However, the biosensor lacks integrated readout circuitry and consequently needs to be connected to an electrochemical analyzer. The long-term stability of the biosensor has been assessed after 2 and 4 weeks, yielding a 97% and 94.7% stability, respectively. The selectivity of the sensing platform has been verified against the disturbing </w:t>
      </w:r>
      <w:proofErr w:type="gramStart"/>
      <w:r w:rsidRPr="00C2021A">
        <w:rPr>
          <w:rFonts w:cs="Arial"/>
          <w:color w:val="auto"/>
        </w:rPr>
        <w:t>agents</w:t>
      </w:r>
      <w:proofErr w:type="gramEnd"/>
      <w:r w:rsidRPr="00C2021A">
        <w:rPr>
          <w:rFonts w:cs="Arial"/>
          <w:color w:val="auto"/>
        </w:rPr>
        <w:t xml:space="preserve"> HSA, IgG, and VEGF165. The reproducibility of the biosensor has been tested both inter and intra-assay with RSD values of 2.9% and 5.7%, respectively. Validation with the ELISA gold standard confirms the applicability of the biosensor for PSA screening in saliva, with a 97.6% accuracy with respect to the above-mentioned benchmark.</w:t>
      </w:r>
    </w:p>
    <w:p w14:paraId="1BF521F5" w14:textId="75A4A332" w:rsidR="00154DB5" w:rsidRPr="00C2021A" w:rsidRDefault="00154DB5" w:rsidP="00C84DD2">
      <w:pPr>
        <w:spacing w:after="0" w:line="240" w:lineRule="auto"/>
        <w:ind w:firstLine="720"/>
        <w:jc w:val="both"/>
        <w:rPr>
          <w:rFonts w:cs="Arial"/>
          <w:color w:val="auto"/>
        </w:rPr>
      </w:pPr>
      <w:r w:rsidRPr="00C2021A">
        <w:rPr>
          <w:rFonts w:cs="Arial"/>
          <w:color w:val="auto"/>
        </w:rPr>
        <w:t xml:space="preserve">Oxidative stress induced by free radicals can significantly damage the organism, and as such, it is among the parameters that should always be kept under constant monitoring </w:t>
      </w:r>
      <w:r w:rsidRPr="00C2021A">
        <w:rPr>
          <w:rFonts w:cs="Arial"/>
          <w:noProof/>
          <w:color w:val="auto"/>
        </w:rPr>
        <w:t>(Liguori et al. 2018; Sies et al. 2017)</w:t>
      </w:r>
      <w:r w:rsidRPr="00C2021A">
        <w:rPr>
          <w:rFonts w:cs="Arial"/>
          <w:color w:val="auto"/>
        </w:rPr>
        <w:t xml:space="preserve">. 8-hydroxy-2′-deoxyguanosine (8-OHdG) and 3-nitro-L-tyrosine (3-NT) has been reported, among others, as important biomarkers for DNA oxidative damage and potential risk factors for diseases, including cancer </w:t>
      </w:r>
      <w:r w:rsidRPr="00C2021A">
        <w:rPr>
          <w:rFonts w:cs="Arial"/>
          <w:noProof/>
          <w:color w:val="auto"/>
        </w:rPr>
        <w:t>(Govindasamy et al. 2018; Kondo et al. 1999; Mohd Azmi et al. 2014; Ng et al. 2017; Valavanidis et al. 2009; Wu et al. 2004)</w:t>
      </w:r>
      <w:r w:rsidRPr="00C2021A">
        <w:rPr>
          <w:rFonts w:cs="Arial"/>
          <w:color w:val="auto"/>
        </w:rPr>
        <w:t xml:space="preserve">. </w:t>
      </w:r>
      <w:proofErr w:type="spellStart"/>
      <w:r w:rsidRPr="00C2021A">
        <w:rPr>
          <w:rFonts w:cs="Arial"/>
          <w:color w:val="auto"/>
        </w:rPr>
        <w:t>Varodi</w:t>
      </w:r>
      <w:proofErr w:type="spellEnd"/>
      <w:r w:rsidRPr="00C2021A">
        <w:rPr>
          <w:rFonts w:cs="Arial"/>
          <w:color w:val="auto"/>
        </w:rPr>
        <w:t xml:space="preserve"> et al. recently realized a biosensor based on graphene-modified SPEs for the detection of 8-OHdG in human saliva samples </w:t>
      </w:r>
      <w:r w:rsidRPr="00C2021A">
        <w:rPr>
          <w:rFonts w:cs="Arial"/>
          <w:noProof/>
          <w:color w:val="auto"/>
        </w:rPr>
        <w:t>(Varodi et al. 2019)</w:t>
      </w:r>
      <w:r w:rsidRPr="00C2021A">
        <w:rPr>
          <w:rFonts w:cs="Arial"/>
          <w:color w:val="auto"/>
        </w:rPr>
        <w:t>. The sensor exhibited a sensitivity of 0.018 A∙M</w:t>
      </w:r>
      <w:r w:rsidRPr="00C2021A">
        <w:rPr>
          <w:rFonts w:cs="Arial"/>
          <w:color w:val="auto"/>
          <w:vertAlign w:val="superscript"/>
        </w:rPr>
        <w:t>-1</w:t>
      </w:r>
      <w:r w:rsidRPr="00C2021A">
        <w:rPr>
          <w:rFonts w:cs="Arial"/>
          <w:color w:val="auto"/>
        </w:rPr>
        <w:t xml:space="preserve"> and an intra-assay reproducibility of 3%, in alignment with many reported data. </w:t>
      </w:r>
      <w:r w:rsidR="007B29A7">
        <w:rPr>
          <w:rFonts w:cs="Arial"/>
          <w:color w:val="auto"/>
        </w:rPr>
        <w:t>When tested in real saliva samples, the recovery values</w:t>
      </w:r>
      <w:r w:rsidRPr="00C2021A">
        <w:rPr>
          <w:rFonts w:cs="Arial"/>
          <w:color w:val="auto"/>
        </w:rPr>
        <w:t xml:space="preserve"> were satisfactory in the range of 95-106%. A recent work </w:t>
      </w:r>
      <w:r w:rsidRPr="00C2021A">
        <w:rPr>
          <w:rFonts w:cs="Arial"/>
          <w:noProof/>
          <w:color w:val="auto"/>
        </w:rPr>
        <w:t>(Maheshwaran et al. 2020)</w:t>
      </w:r>
      <w:r w:rsidRPr="00C2021A">
        <w:rPr>
          <w:rFonts w:cs="Arial"/>
          <w:color w:val="auto"/>
        </w:rPr>
        <w:t xml:space="preserve"> shows an </w:t>
      </w:r>
      <w:proofErr w:type="spellStart"/>
      <w:r w:rsidRPr="00C2021A">
        <w:rPr>
          <w:rFonts w:cs="Arial"/>
          <w:color w:val="auto"/>
        </w:rPr>
        <w:t>amperometric</w:t>
      </w:r>
      <w:proofErr w:type="spellEnd"/>
      <w:r w:rsidRPr="00C2021A">
        <w:rPr>
          <w:rFonts w:cs="Arial"/>
          <w:color w:val="auto"/>
        </w:rPr>
        <w:t xml:space="preserve"> biosensor for the detection of 3-NT in human saliva, exploiting a graphene-based nanocomposite platform built on GCEs. The sensor showed high selectivity toward the detection of 3-NT when tested in the presence of glucose, H</w:t>
      </w:r>
      <w:r w:rsidRPr="00C2021A">
        <w:rPr>
          <w:rFonts w:cs="Arial"/>
          <w:color w:val="auto"/>
          <w:vertAlign w:val="subscript"/>
        </w:rPr>
        <w:t>2</w:t>
      </w:r>
      <w:r w:rsidRPr="00C2021A">
        <w:rPr>
          <w:rFonts w:cs="Arial"/>
          <w:color w:val="auto"/>
        </w:rPr>
        <w:t>0</w:t>
      </w:r>
      <w:r w:rsidRPr="00C2021A">
        <w:rPr>
          <w:rFonts w:cs="Arial"/>
          <w:color w:val="auto"/>
          <w:vertAlign w:val="subscript"/>
        </w:rPr>
        <w:t>2</w:t>
      </w:r>
      <w:r w:rsidRPr="00C2021A">
        <w:rPr>
          <w:rFonts w:cs="Arial"/>
          <w:color w:val="auto"/>
        </w:rPr>
        <w:t xml:space="preserve">, dopamine, UA, </w:t>
      </w:r>
      <w:proofErr w:type="spellStart"/>
      <w:r w:rsidRPr="00C2021A">
        <w:rPr>
          <w:rFonts w:cs="Arial"/>
          <w:color w:val="auto"/>
        </w:rPr>
        <w:t>NaDH</w:t>
      </w:r>
      <w:proofErr w:type="spellEnd"/>
      <w:r w:rsidRPr="00C2021A">
        <w:rPr>
          <w:rFonts w:cs="Arial"/>
          <w:color w:val="auto"/>
        </w:rPr>
        <w:t>, NaSO</w:t>
      </w:r>
      <w:r w:rsidRPr="00C2021A">
        <w:rPr>
          <w:rFonts w:cs="Arial"/>
          <w:color w:val="auto"/>
          <w:vertAlign w:val="subscript"/>
        </w:rPr>
        <w:t>4</w:t>
      </w:r>
      <w:r w:rsidRPr="00C2021A">
        <w:rPr>
          <w:rFonts w:cs="Arial"/>
          <w:color w:val="auto"/>
        </w:rPr>
        <w:t>, K</w:t>
      </w:r>
      <w:r w:rsidRPr="00C2021A">
        <w:rPr>
          <w:rFonts w:cs="Arial"/>
          <w:color w:val="auto"/>
          <w:vertAlign w:val="superscript"/>
        </w:rPr>
        <w:t>+</w:t>
      </w:r>
      <w:r w:rsidRPr="00C2021A">
        <w:rPr>
          <w:rFonts w:cs="Arial"/>
          <w:color w:val="auto"/>
        </w:rPr>
        <w:t xml:space="preserve">, 4-nitrophenol, and 2,4-nitrobenzene. </w:t>
      </w:r>
    </w:p>
    <w:p w14:paraId="262467C8" w14:textId="77777777" w:rsidR="00154DB5" w:rsidRPr="00C2021A" w:rsidRDefault="00154DB5" w:rsidP="004A4D8A">
      <w:pPr>
        <w:spacing w:after="0" w:line="240" w:lineRule="auto"/>
        <w:jc w:val="both"/>
        <w:rPr>
          <w:rFonts w:cs="Arial"/>
          <w:b/>
          <w:i/>
          <w:color w:val="auto"/>
        </w:rPr>
      </w:pPr>
    </w:p>
    <w:p w14:paraId="5DAE2AD6" w14:textId="77777777" w:rsidR="00154DB5" w:rsidRPr="00C2021A" w:rsidRDefault="00154DB5" w:rsidP="004A4D8A">
      <w:pPr>
        <w:spacing w:after="0" w:line="240" w:lineRule="auto"/>
        <w:jc w:val="both"/>
        <w:rPr>
          <w:rFonts w:cs="Arial"/>
          <w:b/>
          <w:i/>
          <w:color w:val="auto"/>
        </w:rPr>
      </w:pPr>
      <w:r w:rsidRPr="00C2021A">
        <w:rPr>
          <w:rFonts w:cs="Arial"/>
          <w:b/>
          <w:i/>
          <w:color w:val="auto"/>
        </w:rPr>
        <w:t>4.3. Graphene biosensors for the detection of drugs and hazardous substances in saliva</w:t>
      </w:r>
    </w:p>
    <w:p w14:paraId="7DAE4302" w14:textId="3EDE7056" w:rsidR="00154DB5" w:rsidRPr="00C2021A" w:rsidRDefault="00154DB5" w:rsidP="00041DBE">
      <w:pPr>
        <w:spacing w:after="0" w:line="240" w:lineRule="auto"/>
        <w:jc w:val="both"/>
        <w:rPr>
          <w:rFonts w:cs="Arial"/>
          <w:color w:val="auto"/>
        </w:rPr>
      </w:pPr>
      <w:r w:rsidRPr="00C2021A">
        <w:rPr>
          <w:rFonts w:cs="Arial"/>
          <w:color w:val="auto"/>
        </w:rPr>
        <w:t>Saliva is recently receiving increasing interest as a body fluid for rapid</w:t>
      </w:r>
      <w:r w:rsidR="007B29A7">
        <w:rPr>
          <w:rFonts w:cs="Arial"/>
          <w:color w:val="auto"/>
        </w:rPr>
        <w:t>ly screening</w:t>
      </w:r>
      <w:r w:rsidRPr="00C2021A">
        <w:rPr>
          <w:rFonts w:cs="Arial"/>
          <w:color w:val="auto"/>
        </w:rPr>
        <w:t xml:space="preserve"> drugs and hazardous substances or therapeutic drug monitoring </w:t>
      </w:r>
      <w:r w:rsidRPr="00C2021A">
        <w:rPr>
          <w:rFonts w:cs="Arial"/>
          <w:noProof/>
          <w:color w:val="auto"/>
        </w:rPr>
        <w:t>(Hutchinson et al. 2018; Michalke et al. 2015; Rose et al. 1999)</w:t>
      </w:r>
      <w:r w:rsidRPr="00C2021A">
        <w:rPr>
          <w:rFonts w:cs="Arial"/>
          <w:color w:val="auto"/>
        </w:rPr>
        <w:t xml:space="preserve">. This is mainly due to the </w:t>
      </w:r>
      <w:r w:rsidR="007B29A7">
        <w:rPr>
          <w:rFonts w:cs="Arial"/>
          <w:color w:val="auto"/>
        </w:rPr>
        <w:t>blood collection procedure's invasiveness</w:t>
      </w:r>
      <w:r w:rsidRPr="00C2021A">
        <w:rPr>
          <w:rFonts w:cs="Arial"/>
          <w:color w:val="auto"/>
        </w:rPr>
        <w:t xml:space="preserve">, still considered the gold standard for most of the screening tests. The use of wearable or even disposable devices can be particularly helpful for specific categories of the population. As an example, people that work in close contact with hazardous substances could be routinely screened for the presence of dangerous molecules. On the other hand, the detection of recreational drugs could also potentially be eased, reducing times and costs. The development of research devoted to wearable and portable biosensors specifically designed to detect these </w:t>
      </w:r>
      <w:r w:rsidRPr="00C2021A">
        <w:rPr>
          <w:rFonts w:cs="Arial"/>
          <w:color w:val="auto"/>
        </w:rPr>
        <w:lastRenderedPageBreak/>
        <w:t xml:space="preserve">analytes has been significant. However, only a few research groups focused on devices based on graphene, whose studies are reported in </w:t>
      </w:r>
      <w:r w:rsidRPr="00C2021A">
        <w:rPr>
          <w:rFonts w:cs="Arial"/>
          <w:b/>
          <w:bCs/>
          <w:color w:val="auto"/>
        </w:rPr>
        <w:t>Table 5</w:t>
      </w:r>
      <w:r w:rsidRPr="00C2021A">
        <w:rPr>
          <w:rFonts w:cs="Arial"/>
          <w:color w:val="auto"/>
        </w:rPr>
        <w:t>. Moreover, none of these studies have been validated against an established conventional gold standard, as previously seen with viral and bacterial markers.</w:t>
      </w:r>
    </w:p>
    <w:p w14:paraId="214D99D1" w14:textId="77777777" w:rsidR="00154DB5" w:rsidRPr="00C2021A" w:rsidRDefault="00154DB5" w:rsidP="00041DBE">
      <w:pPr>
        <w:spacing w:after="0" w:line="240" w:lineRule="auto"/>
        <w:ind w:firstLine="720"/>
        <w:jc w:val="both"/>
        <w:rPr>
          <w:rFonts w:cs="Arial"/>
          <w:color w:val="auto"/>
        </w:rPr>
      </w:pPr>
      <w:r w:rsidRPr="00C2021A">
        <w:rPr>
          <w:rFonts w:cs="Arial"/>
          <w:color w:val="auto"/>
        </w:rPr>
        <w:t xml:space="preserve">Mohamed et al. developed a sensing platform for the simultaneous sensing of two therapeutic drugs: the analgesic antipyrine (ANT) and the anesthetic benzocaine (BEN) </w:t>
      </w:r>
      <w:r w:rsidRPr="00C2021A">
        <w:rPr>
          <w:rFonts w:cs="Arial"/>
          <w:noProof/>
          <w:color w:val="auto"/>
        </w:rPr>
        <w:t>(Mohamed et al. 2017)</w:t>
      </w:r>
      <w:r w:rsidRPr="00C2021A">
        <w:rPr>
          <w:rFonts w:cs="Arial"/>
          <w:color w:val="auto"/>
        </w:rPr>
        <w:t>. The carbon paste electrode (CPE) platform exploits the decoration of immobilized GO sheets with metal nanoparticles to increase the sensitivity, which has been calculated to be 0.193 μA∙μM</w:t>
      </w:r>
      <w:r w:rsidRPr="00C2021A">
        <w:rPr>
          <w:rFonts w:cs="Arial"/>
          <w:color w:val="auto"/>
          <w:vertAlign w:val="superscript"/>
        </w:rPr>
        <w:t>−1</w:t>
      </w:r>
      <w:r w:rsidRPr="00C2021A">
        <w:rPr>
          <w:rFonts w:cs="Arial"/>
          <w:color w:val="auto"/>
        </w:rPr>
        <w:t xml:space="preserve"> and 0.353 μA∙μM</w:t>
      </w:r>
      <w:r w:rsidRPr="00C2021A">
        <w:rPr>
          <w:rFonts w:cs="Arial"/>
          <w:color w:val="auto"/>
          <w:vertAlign w:val="superscript"/>
        </w:rPr>
        <w:t xml:space="preserve">−1 </w:t>
      </w:r>
      <w:r w:rsidRPr="00C2021A">
        <w:rPr>
          <w:rFonts w:cs="Arial"/>
          <w:color w:val="auto"/>
        </w:rPr>
        <w:t xml:space="preserve">for benzocaine and antipyrine, respectively. LODs for both the analytes are below the micromolar range, and the linearity of the response spans across three orders of magnitude. The obtained recovery values are extremely close to 100% (99.62%), as it shows the 30-days stability (98.8 - 99.1%). Reproducibility and repeatability have been tested for the detection of each analyte, producing an intra-assay RSD of 1.9% (BEN) and 2.2% (ANT), and an inter-assay RSD of 2.5% (BEN) and 1.8% (ANT). The selectivity of the biosensor has been examined for the detection of one analyte in the presence of other disturbing species. </w:t>
      </w:r>
      <w:proofErr w:type="spellStart"/>
      <w:r w:rsidRPr="00C2021A">
        <w:rPr>
          <w:rFonts w:cs="Arial"/>
          <w:color w:val="auto"/>
        </w:rPr>
        <w:t>Ponnaiah</w:t>
      </w:r>
      <w:proofErr w:type="spellEnd"/>
      <w:r w:rsidRPr="00C2021A">
        <w:rPr>
          <w:rFonts w:cs="Arial"/>
          <w:color w:val="auto"/>
        </w:rPr>
        <w:t xml:space="preserve"> et al. realized a biosensor for the detection of arsenic</w:t>
      </w:r>
      <w:r w:rsidRPr="00C2021A">
        <w:rPr>
          <w:rFonts w:cs="Arial"/>
          <w:b/>
          <w:bCs/>
          <w:color w:val="auto"/>
        </w:rPr>
        <w:t>,</w:t>
      </w:r>
      <w:r w:rsidRPr="00C2021A">
        <w:rPr>
          <w:rFonts w:cs="Arial"/>
          <w:color w:val="auto"/>
        </w:rPr>
        <w:t xml:space="preserve"> a toxic metalloid, in real samples of human saliva </w:t>
      </w:r>
      <w:r w:rsidRPr="00C2021A">
        <w:rPr>
          <w:rFonts w:cs="Arial"/>
          <w:noProof/>
          <w:color w:val="auto"/>
        </w:rPr>
        <w:t>(Ponnaiah et al. 2019)</w:t>
      </w:r>
      <w:r w:rsidRPr="00C2021A">
        <w:rPr>
          <w:rFonts w:cs="Arial"/>
          <w:color w:val="auto"/>
        </w:rPr>
        <w:t xml:space="preserve">. The sensing platform is based on GCEs modified with an </w:t>
      </w:r>
      <w:proofErr w:type="spellStart"/>
      <w:r w:rsidRPr="00C2021A">
        <w:rPr>
          <w:rFonts w:cs="Arial"/>
          <w:color w:val="auto"/>
        </w:rPr>
        <w:t>rGO</w:t>
      </w:r>
      <w:proofErr w:type="spellEnd"/>
      <w:r w:rsidRPr="00C2021A">
        <w:rPr>
          <w:rFonts w:cs="Arial"/>
          <w:color w:val="auto"/>
        </w:rPr>
        <w:t>/metal nanocomposite. The values of recovery are exceptionally good, as seen in the previous study, and the 30-days stability is also promising with only a 4% variation after one month. The biosensor proved to be sensitive (0.00163 µA∙ppb</w:t>
      </w:r>
      <w:r w:rsidRPr="00C2021A">
        <w:rPr>
          <w:rFonts w:cs="Arial"/>
          <w:color w:val="auto"/>
          <w:vertAlign w:val="superscript"/>
        </w:rPr>
        <w:t>-1</w:t>
      </w:r>
      <w:r w:rsidRPr="00C2021A">
        <w:rPr>
          <w:rFonts w:cs="Arial"/>
          <w:color w:val="auto"/>
        </w:rPr>
        <w:t>) and highly specific for the detection of arsenic, when tested in the presence of the disturbing species Cd</w:t>
      </w:r>
      <w:r w:rsidRPr="00C2021A">
        <w:rPr>
          <w:rFonts w:cs="Arial"/>
          <w:color w:val="auto"/>
          <w:vertAlign w:val="superscript"/>
        </w:rPr>
        <w:t>2+</w:t>
      </w:r>
      <w:r w:rsidRPr="00C2021A">
        <w:rPr>
          <w:rFonts w:cs="Arial"/>
          <w:color w:val="auto"/>
        </w:rPr>
        <w:t>, Pb</w:t>
      </w:r>
      <w:r w:rsidRPr="00C2021A">
        <w:rPr>
          <w:rFonts w:cs="Arial"/>
          <w:color w:val="auto"/>
          <w:vertAlign w:val="superscript"/>
        </w:rPr>
        <w:t>2+</w:t>
      </w:r>
      <w:r w:rsidRPr="00C2021A">
        <w:rPr>
          <w:rFonts w:cs="Arial"/>
          <w:color w:val="auto"/>
        </w:rPr>
        <w:t>, Hg</w:t>
      </w:r>
      <w:r w:rsidRPr="00C2021A">
        <w:rPr>
          <w:rFonts w:cs="Arial"/>
          <w:color w:val="auto"/>
          <w:vertAlign w:val="superscript"/>
        </w:rPr>
        <w:t>2+</w:t>
      </w:r>
      <w:r w:rsidRPr="00C2021A">
        <w:rPr>
          <w:rFonts w:cs="Arial"/>
          <w:color w:val="auto"/>
        </w:rPr>
        <w:t>, F</w:t>
      </w:r>
      <w:r w:rsidRPr="00C2021A">
        <w:rPr>
          <w:rFonts w:cs="Arial"/>
          <w:color w:val="auto"/>
          <w:vertAlign w:val="superscript"/>
        </w:rPr>
        <w:t>-</w:t>
      </w:r>
      <w:r w:rsidRPr="00C2021A">
        <w:rPr>
          <w:rFonts w:cs="Arial"/>
          <w:color w:val="auto"/>
        </w:rPr>
        <w:t>, Cl</w:t>
      </w:r>
      <w:r w:rsidRPr="00C2021A">
        <w:rPr>
          <w:rFonts w:cs="Arial"/>
          <w:color w:val="auto"/>
          <w:vertAlign w:val="superscript"/>
        </w:rPr>
        <w:t>-</w:t>
      </w:r>
      <w:r w:rsidRPr="00C2021A">
        <w:rPr>
          <w:rFonts w:cs="Arial"/>
          <w:color w:val="auto"/>
        </w:rPr>
        <w:t>, NO</w:t>
      </w:r>
      <w:r w:rsidRPr="00C2021A">
        <w:rPr>
          <w:rFonts w:cs="Arial"/>
          <w:color w:val="auto"/>
          <w:vertAlign w:val="superscript"/>
        </w:rPr>
        <w:t>3-</w:t>
      </w:r>
      <w:r w:rsidRPr="00C2021A">
        <w:rPr>
          <w:rFonts w:cs="Arial"/>
          <w:color w:val="auto"/>
        </w:rPr>
        <w:t>, uric acid (UA), hydroquinone (</w:t>
      </w:r>
      <w:proofErr w:type="spellStart"/>
      <w:r w:rsidRPr="00C2021A">
        <w:rPr>
          <w:rFonts w:cs="Arial"/>
          <w:color w:val="auto"/>
        </w:rPr>
        <w:t>Hq</w:t>
      </w:r>
      <w:proofErr w:type="spellEnd"/>
      <w:r w:rsidRPr="00C2021A">
        <w:rPr>
          <w:rFonts w:cs="Arial"/>
          <w:color w:val="auto"/>
        </w:rPr>
        <w:t xml:space="preserve">), and catechol (Ct). Very low intra assay (0.53%) and inter assay (2.71%) RSD values confirmed the reproducibility and repeatability of the platform. </w:t>
      </w:r>
    </w:p>
    <w:p w14:paraId="3912A498" w14:textId="77777777" w:rsidR="00154DB5" w:rsidRPr="00C2021A" w:rsidRDefault="00154DB5" w:rsidP="00041DBE">
      <w:pPr>
        <w:spacing w:after="0" w:line="240" w:lineRule="auto"/>
        <w:ind w:firstLine="720"/>
        <w:jc w:val="both"/>
        <w:rPr>
          <w:rFonts w:cs="Arial"/>
          <w:color w:val="auto"/>
        </w:rPr>
      </w:pPr>
      <w:proofErr w:type="spellStart"/>
      <w:r w:rsidRPr="00C2021A">
        <w:rPr>
          <w:rFonts w:cs="Arial"/>
          <w:color w:val="auto"/>
        </w:rPr>
        <w:t>Parate</w:t>
      </w:r>
      <w:proofErr w:type="spellEnd"/>
      <w:r w:rsidRPr="00C2021A">
        <w:rPr>
          <w:rFonts w:cs="Arial"/>
          <w:color w:val="auto"/>
        </w:rPr>
        <w:t xml:space="preserve"> et al. fabricated an electrochemical biosensor to assess the exposure to smoke and tobacco byproducts </w:t>
      </w:r>
      <w:r w:rsidRPr="00C2021A">
        <w:rPr>
          <w:rFonts w:cs="Arial"/>
          <w:noProof/>
          <w:color w:val="auto"/>
        </w:rPr>
        <w:t>(Parate et al. 2019)</w:t>
      </w:r>
      <w:r w:rsidRPr="00C2021A">
        <w:rPr>
          <w:rFonts w:cs="Arial"/>
          <w:color w:val="auto"/>
        </w:rPr>
        <w:t>. Specifically, analytes that are cotinine, tobacco alkaloid, and metabolite of nicotine were used as biomarkers in smokers. Screen-printed carbon electrodes (SPCEs) are modified with graphene, decorated with platinum nanoparticles (</w:t>
      </w:r>
      <w:proofErr w:type="spellStart"/>
      <w:r w:rsidRPr="00C2021A">
        <w:rPr>
          <w:rFonts w:cs="Arial"/>
          <w:color w:val="auto"/>
        </w:rPr>
        <w:t>PtNPs</w:t>
      </w:r>
      <w:proofErr w:type="spellEnd"/>
      <w:r w:rsidRPr="00C2021A">
        <w:rPr>
          <w:rFonts w:cs="Arial"/>
          <w:color w:val="auto"/>
        </w:rPr>
        <w:t xml:space="preserve">) and biofunctionalized with an electrodeposited molecularly imprinted polymer (MIP). A LOD of 0.33 </w:t>
      </w:r>
      <w:proofErr w:type="spellStart"/>
      <w:r w:rsidRPr="00C2021A">
        <w:rPr>
          <w:rFonts w:cs="Arial"/>
          <w:color w:val="auto"/>
        </w:rPr>
        <w:t>nM</w:t>
      </w:r>
      <w:proofErr w:type="spellEnd"/>
      <w:r w:rsidRPr="00C2021A">
        <w:rPr>
          <w:rFonts w:cs="Arial"/>
          <w:color w:val="auto"/>
        </w:rPr>
        <w:t xml:space="preserve">, a linear range of 1-100 </w:t>
      </w:r>
      <w:proofErr w:type="spellStart"/>
      <w:r w:rsidRPr="00C2021A">
        <w:rPr>
          <w:rFonts w:cs="Arial"/>
          <w:color w:val="auto"/>
        </w:rPr>
        <w:t>nM</w:t>
      </w:r>
      <w:proofErr w:type="spellEnd"/>
      <w:r w:rsidRPr="00C2021A">
        <w:rPr>
          <w:rFonts w:cs="Arial"/>
          <w:color w:val="auto"/>
        </w:rPr>
        <w:t xml:space="preserve">, and a sensitivity of 1.89 µA/decade have been calculated directly on real saliva samples. Selectivity is tested against similar species, nicotine, and </w:t>
      </w:r>
      <w:proofErr w:type="spellStart"/>
      <w:r w:rsidRPr="00C2021A">
        <w:rPr>
          <w:rFonts w:cs="Arial"/>
          <w:color w:val="auto"/>
        </w:rPr>
        <w:t>myosmine</w:t>
      </w:r>
      <w:proofErr w:type="spellEnd"/>
      <w:r w:rsidRPr="00C2021A">
        <w:rPr>
          <w:rFonts w:cs="Arial"/>
          <w:color w:val="auto"/>
        </w:rPr>
        <w:t xml:space="preserve">. Ketamine, a therapeutic anesthetic drug, is increasingly being used as a recreational drug </w:t>
      </w:r>
      <w:r w:rsidRPr="00C2021A">
        <w:rPr>
          <w:rFonts w:cs="Arial"/>
          <w:noProof/>
          <w:color w:val="auto"/>
        </w:rPr>
        <w:t>(Morgan et al. 2012)</w:t>
      </w:r>
      <w:r w:rsidRPr="00C2021A">
        <w:rPr>
          <w:rFonts w:cs="Arial"/>
          <w:color w:val="auto"/>
        </w:rPr>
        <w:t xml:space="preserve">. Fu and coworkers realized a biosensor based on </w:t>
      </w:r>
      <w:proofErr w:type="gramStart"/>
      <w:r w:rsidRPr="00C2021A">
        <w:rPr>
          <w:rFonts w:cs="Arial"/>
          <w:color w:val="auto"/>
        </w:rPr>
        <w:t>graphene-modified</w:t>
      </w:r>
      <w:proofErr w:type="gramEnd"/>
      <w:r w:rsidRPr="00C2021A">
        <w:rPr>
          <w:rFonts w:cs="Arial"/>
          <w:color w:val="auto"/>
        </w:rPr>
        <w:t xml:space="preserve"> SPEs for the detection of ketamine in saliva samples </w:t>
      </w:r>
      <w:r w:rsidRPr="00C2021A">
        <w:rPr>
          <w:rFonts w:cs="Arial"/>
          <w:noProof/>
          <w:color w:val="auto"/>
        </w:rPr>
        <w:t>(Fu et al. 2019)</w:t>
      </w:r>
      <w:r w:rsidRPr="00C2021A">
        <w:rPr>
          <w:rFonts w:cs="Arial"/>
          <w:color w:val="auto"/>
        </w:rPr>
        <w:t>. The ultra-low LOD close to the picomolar range and the ultra-wide linear range spanning five orders of magnitude assures the sensitive detection of the analyte. The values of recovery in real saliva samples, however, are poorer when compared to the previously analyzed studies. The stability of the sensor is measured to be 90% after a two-months period, and selectivity is tested detecting ketamine in the presence of NKT, MDMA, MA, dopamine (DA), and ascorbic acid (AA). Inter-assay and intra-assay RSD values of reproducibility are below 3.5% in both cases.</w:t>
      </w:r>
    </w:p>
    <w:p w14:paraId="1B412181" w14:textId="77777777" w:rsidR="00154DB5" w:rsidRPr="00C2021A" w:rsidRDefault="00154DB5" w:rsidP="00DF63F1">
      <w:pPr>
        <w:spacing w:after="0" w:line="240" w:lineRule="auto"/>
        <w:jc w:val="both"/>
        <w:rPr>
          <w:rFonts w:cs="Arial"/>
          <w:b/>
          <w:i/>
          <w:color w:val="auto"/>
        </w:rPr>
      </w:pPr>
    </w:p>
    <w:p w14:paraId="2CAF13E0" w14:textId="77777777" w:rsidR="00154DB5" w:rsidRPr="00C2021A" w:rsidRDefault="00154DB5" w:rsidP="00DF63F1">
      <w:pPr>
        <w:spacing w:after="0" w:line="240" w:lineRule="auto"/>
        <w:jc w:val="both"/>
        <w:rPr>
          <w:rFonts w:cs="Arial"/>
          <w:b/>
          <w:i/>
          <w:color w:val="auto"/>
        </w:rPr>
      </w:pPr>
      <w:r w:rsidRPr="00C2021A">
        <w:rPr>
          <w:rFonts w:cs="Arial"/>
          <w:b/>
          <w:i/>
          <w:color w:val="auto"/>
        </w:rPr>
        <w:t>4.4. Graphene biosensors for the detection of health-indicating analytes in saliva</w:t>
      </w:r>
    </w:p>
    <w:p w14:paraId="539A5330" w14:textId="30FF9347" w:rsidR="00154DB5" w:rsidRPr="00C2021A" w:rsidRDefault="00154DB5" w:rsidP="00041DBE">
      <w:pPr>
        <w:spacing w:after="0" w:line="240" w:lineRule="auto"/>
        <w:jc w:val="both"/>
        <w:rPr>
          <w:rFonts w:cs="Arial"/>
          <w:color w:val="auto"/>
        </w:rPr>
      </w:pPr>
      <w:r w:rsidRPr="00C2021A">
        <w:rPr>
          <w:rFonts w:cs="Arial"/>
          <w:color w:val="auto"/>
        </w:rPr>
        <w:t xml:space="preserve">The monitoring of salivary biomarkers is a fundamental tool for </w:t>
      </w:r>
      <w:r w:rsidR="007B29A7">
        <w:rPr>
          <w:rFonts w:cs="Arial"/>
          <w:color w:val="auto"/>
        </w:rPr>
        <w:t>assessing</w:t>
      </w:r>
      <w:r w:rsidRPr="00C2021A">
        <w:rPr>
          <w:rFonts w:cs="Arial"/>
          <w:color w:val="auto"/>
        </w:rPr>
        <w:t xml:space="preserve"> the oral health status of an individual, which is directly correlated to the overall health status </w:t>
      </w:r>
      <w:r w:rsidRPr="00C2021A">
        <w:rPr>
          <w:rFonts w:cs="Arial"/>
          <w:noProof/>
          <w:color w:val="auto"/>
        </w:rPr>
        <w:t>(Celecová et al. 2013; Khanna 2008; Lawrence 2002; Mojon et al. 1999)</w:t>
      </w:r>
      <w:r w:rsidRPr="00C2021A">
        <w:rPr>
          <w:rFonts w:cs="Arial"/>
          <w:color w:val="auto"/>
        </w:rPr>
        <w:t xml:space="preserve">. The absence or presence of specific biomarkers of the oral cavity can be related to bad nutrition </w:t>
      </w:r>
      <w:r w:rsidRPr="00C2021A">
        <w:rPr>
          <w:rFonts w:cs="Arial"/>
          <w:noProof/>
          <w:color w:val="auto"/>
        </w:rPr>
        <w:t>(Mojon et al. 1999)</w:t>
      </w:r>
      <w:r w:rsidRPr="00C2021A">
        <w:rPr>
          <w:rFonts w:cs="Arial"/>
          <w:color w:val="auto"/>
        </w:rPr>
        <w:t xml:space="preserve">, the insurgence of systemic diseases </w:t>
      </w:r>
      <w:r w:rsidRPr="00C2021A">
        <w:rPr>
          <w:rFonts w:cs="Arial"/>
          <w:noProof/>
          <w:color w:val="auto"/>
        </w:rPr>
        <w:t>(Lawrence 2002)</w:t>
      </w:r>
      <w:r w:rsidRPr="00C2021A">
        <w:rPr>
          <w:rFonts w:cs="Arial"/>
          <w:color w:val="auto"/>
        </w:rPr>
        <w:t xml:space="preserve">, oral carcinogenesis </w:t>
      </w:r>
      <w:r w:rsidRPr="00C2021A">
        <w:rPr>
          <w:rFonts w:cs="Arial"/>
          <w:noProof/>
          <w:color w:val="auto"/>
        </w:rPr>
        <w:t>(Khanna 2008; Markopoulos et al. 2010; Nagler et al. 2006)</w:t>
      </w:r>
      <w:r w:rsidRPr="00C2021A">
        <w:rPr>
          <w:rFonts w:cs="Arial"/>
          <w:color w:val="auto"/>
        </w:rPr>
        <w:t xml:space="preserve">, and oxidative stress </w:t>
      </w:r>
      <w:r w:rsidRPr="00C2021A">
        <w:rPr>
          <w:rFonts w:cs="Arial"/>
          <w:noProof/>
          <w:color w:val="auto"/>
        </w:rPr>
        <w:t>(Celecová et al. 2013; Kamodyová et al. 2015)</w:t>
      </w:r>
      <w:r w:rsidRPr="00C2021A">
        <w:rPr>
          <w:rFonts w:cs="Arial"/>
          <w:color w:val="auto"/>
        </w:rPr>
        <w:t xml:space="preserve">, to cite a few. As a result, </w:t>
      </w:r>
      <w:r w:rsidR="007B29A7">
        <w:rPr>
          <w:rFonts w:cs="Arial"/>
          <w:color w:val="auto"/>
        </w:rPr>
        <w:t>most</w:t>
      </w:r>
      <w:r w:rsidRPr="00C2021A">
        <w:rPr>
          <w:rFonts w:cs="Arial"/>
          <w:color w:val="auto"/>
        </w:rPr>
        <w:t xml:space="preserve"> studies regarding the development of graphene-based biosensors have focused on the detection of such health status markers, which are summarized in </w:t>
      </w:r>
      <w:r w:rsidRPr="00C2021A">
        <w:rPr>
          <w:rFonts w:cs="Arial"/>
          <w:b/>
          <w:bCs/>
          <w:color w:val="auto"/>
        </w:rPr>
        <w:t>Table 6</w:t>
      </w:r>
      <w:r w:rsidRPr="00C2021A">
        <w:rPr>
          <w:rFonts w:cs="Arial"/>
          <w:color w:val="auto"/>
        </w:rPr>
        <w:t xml:space="preserve">. Only half of the reported biosensors have been validated against a conventional test (ELFA or ELISA), </w:t>
      </w:r>
      <w:r w:rsidRPr="00C2021A">
        <w:rPr>
          <w:rFonts w:cs="Arial"/>
          <w:color w:val="auto"/>
        </w:rPr>
        <w:lastRenderedPageBreak/>
        <w:t xml:space="preserve">demonstrating once again the need for systematic data reporting to uniformly compare new findings and </w:t>
      </w:r>
      <w:r w:rsidR="007B29A7">
        <w:rPr>
          <w:rFonts w:cs="Arial"/>
          <w:color w:val="auto"/>
        </w:rPr>
        <w:t>verify</w:t>
      </w:r>
      <w:r w:rsidRPr="00C2021A">
        <w:rPr>
          <w:rFonts w:cs="Arial"/>
          <w:color w:val="auto"/>
        </w:rPr>
        <w:t xml:space="preserve"> their suitability for clinical applications.</w:t>
      </w:r>
    </w:p>
    <w:p w14:paraId="627637F8" w14:textId="057AAE62" w:rsidR="00154DB5" w:rsidRPr="00C2021A" w:rsidRDefault="00154DB5" w:rsidP="00041DBE">
      <w:pPr>
        <w:spacing w:after="0" w:line="240" w:lineRule="auto"/>
        <w:ind w:firstLine="720"/>
        <w:jc w:val="both"/>
        <w:rPr>
          <w:rFonts w:cs="Arial"/>
          <w:color w:val="auto"/>
        </w:rPr>
      </w:pPr>
      <w:r w:rsidRPr="00C2021A">
        <w:rPr>
          <w:rFonts w:cs="Arial"/>
          <w:color w:val="auto"/>
        </w:rPr>
        <w:t>Cardiac troponin I (</w:t>
      </w:r>
      <w:proofErr w:type="spellStart"/>
      <w:r w:rsidRPr="00C2021A">
        <w:rPr>
          <w:rFonts w:cs="Arial"/>
          <w:color w:val="auto"/>
        </w:rPr>
        <w:t>cTnI</w:t>
      </w:r>
      <w:proofErr w:type="spellEnd"/>
      <w:r w:rsidRPr="00C2021A">
        <w:rPr>
          <w:rFonts w:cs="Arial"/>
          <w:color w:val="auto"/>
        </w:rPr>
        <w:t xml:space="preserve">) is a cardiac regulatory protein and one of the most accurate biomarkers for </w:t>
      </w:r>
      <w:r w:rsidR="007B29A7">
        <w:rPr>
          <w:rFonts w:cs="Arial"/>
          <w:color w:val="auto"/>
        </w:rPr>
        <w:t>detecting</w:t>
      </w:r>
      <w:r w:rsidRPr="00C2021A">
        <w:rPr>
          <w:rFonts w:cs="Arial"/>
          <w:color w:val="auto"/>
        </w:rPr>
        <w:t xml:space="preserve"> acute myocardial infarction and consequent cardiac muscle damage </w:t>
      </w:r>
      <w:r w:rsidRPr="00C2021A">
        <w:rPr>
          <w:rFonts w:cs="Arial"/>
          <w:noProof/>
          <w:color w:val="auto"/>
        </w:rPr>
        <w:t>(Mishra et al. 2018; Peacock IV et al. 2008; Sharma et al. 2004)</w:t>
      </w:r>
      <w:r w:rsidRPr="00C2021A">
        <w:rPr>
          <w:rFonts w:cs="Arial"/>
          <w:color w:val="auto"/>
        </w:rPr>
        <w:t xml:space="preserve">. </w:t>
      </w:r>
      <w:proofErr w:type="spellStart"/>
      <w:r w:rsidRPr="00C2021A">
        <w:rPr>
          <w:rFonts w:cs="Arial"/>
          <w:color w:val="auto"/>
        </w:rPr>
        <w:t>Chekin</w:t>
      </w:r>
      <w:proofErr w:type="spellEnd"/>
      <w:r w:rsidRPr="00C2021A">
        <w:rPr>
          <w:rFonts w:cs="Arial"/>
          <w:color w:val="auto"/>
        </w:rPr>
        <w:t xml:space="preserve"> et al. have developed a biosensor for the detection of </w:t>
      </w:r>
      <w:proofErr w:type="spellStart"/>
      <w:r w:rsidRPr="00C2021A">
        <w:rPr>
          <w:rFonts w:cs="Arial"/>
          <w:color w:val="auto"/>
        </w:rPr>
        <w:t>cTnI</w:t>
      </w:r>
      <w:proofErr w:type="spellEnd"/>
      <w:r w:rsidRPr="00C2021A">
        <w:rPr>
          <w:rFonts w:cs="Arial"/>
          <w:color w:val="auto"/>
        </w:rPr>
        <w:t xml:space="preserve"> in human serum and saliva samples based on </w:t>
      </w:r>
      <w:proofErr w:type="gramStart"/>
      <w:r w:rsidRPr="00C2021A">
        <w:rPr>
          <w:rFonts w:cs="Arial"/>
          <w:color w:val="auto"/>
        </w:rPr>
        <w:t>graphene-modified</w:t>
      </w:r>
      <w:proofErr w:type="gramEnd"/>
      <w:r w:rsidRPr="00C2021A">
        <w:rPr>
          <w:rFonts w:cs="Arial"/>
          <w:color w:val="auto"/>
        </w:rPr>
        <w:t xml:space="preserve"> GCEs </w:t>
      </w:r>
      <w:r w:rsidRPr="00C2021A">
        <w:rPr>
          <w:rFonts w:cs="Arial"/>
          <w:noProof/>
          <w:color w:val="auto"/>
        </w:rPr>
        <w:t>(Chekin et al. 2018b)</w:t>
      </w:r>
      <w:r w:rsidRPr="00C2021A">
        <w:rPr>
          <w:rFonts w:cs="Arial"/>
          <w:color w:val="auto"/>
        </w:rPr>
        <w:t>. The sensor has been validated against the conventional ELFA test in serum, but no data on the correlation are provided. The stability of the sensor has been verified over a one-month period, resulting in only an 8% loss of performance. The sensitivity is calculated as usual as the slope of the current-concentration calibration curve and has been reported to be 41 µA cm</w:t>
      </w:r>
      <w:r w:rsidRPr="00C2021A">
        <w:rPr>
          <w:rFonts w:cs="Arial"/>
          <w:color w:val="auto"/>
          <w:vertAlign w:val="superscript"/>
        </w:rPr>
        <w:t>-2</w:t>
      </w:r>
      <w:r w:rsidRPr="00C2021A">
        <w:rPr>
          <w:rFonts w:cs="Arial"/>
          <w:color w:val="auto"/>
        </w:rPr>
        <w:t xml:space="preserve">/decade. Selective detection of </w:t>
      </w:r>
      <w:proofErr w:type="spellStart"/>
      <w:r w:rsidRPr="00C2021A">
        <w:rPr>
          <w:rFonts w:cs="Arial"/>
          <w:color w:val="auto"/>
        </w:rPr>
        <w:t>cTnI</w:t>
      </w:r>
      <w:proofErr w:type="spellEnd"/>
      <w:r w:rsidRPr="00C2021A">
        <w:rPr>
          <w:rFonts w:cs="Arial"/>
          <w:color w:val="auto"/>
        </w:rPr>
        <w:t xml:space="preserve"> has been certified in the presence of BNP, BSA, and lysozyme as disturbing agents. Another biomarker of acute myocardial infarction is the protein myoglobin, which has been intensely studied for years now </w:t>
      </w:r>
      <w:r w:rsidRPr="00C2021A">
        <w:rPr>
          <w:rFonts w:cs="Arial"/>
          <w:noProof/>
          <w:color w:val="auto"/>
        </w:rPr>
        <w:t>(Hendgen-Cotta et al. 2010; Ishii et al. 1997)</w:t>
      </w:r>
      <w:r w:rsidRPr="00C2021A">
        <w:rPr>
          <w:rFonts w:cs="Arial"/>
          <w:color w:val="auto"/>
        </w:rPr>
        <w:t xml:space="preserve">. </w:t>
      </w:r>
      <w:proofErr w:type="spellStart"/>
      <w:r w:rsidRPr="00C2021A">
        <w:rPr>
          <w:rFonts w:cs="Arial"/>
          <w:color w:val="auto"/>
        </w:rPr>
        <w:t>Yoo</w:t>
      </w:r>
      <w:proofErr w:type="spellEnd"/>
      <w:r w:rsidRPr="00C2021A">
        <w:rPr>
          <w:rFonts w:cs="Arial"/>
          <w:color w:val="auto"/>
        </w:rPr>
        <w:t xml:space="preserve"> et al. </w:t>
      </w:r>
      <w:r w:rsidRPr="00C2021A">
        <w:rPr>
          <w:rFonts w:cs="Arial"/>
          <w:noProof/>
          <w:color w:val="auto"/>
        </w:rPr>
        <w:t>(Yoo et al. 2020)</w:t>
      </w:r>
      <w:r w:rsidRPr="00C2021A">
        <w:rPr>
          <w:rFonts w:cs="Arial"/>
          <w:color w:val="auto"/>
        </w:rPr>
        <w:t xml:space="preserve"> realized a sensing platform based on reduced graphene oxide. They achieved a low LOD in the picomolar range and acceptable values of recovery when tested in real saliva samples (91-111%). The selectivity of the biosensor has been tested in the presence of hemoglobin (Hb) and cytochrome C (</w:t>
      </w:r>
      <w:proofErr w:type="spellStart"/>
      <w:r w:rsidRPr="00C2021A">
        <w:rPr>
          <w:rFonts w:cs="Arial"/>
          <w:color w:val="auto"/>
        </w:rPr>
        <w:t>Cyt</w:t>
      </w:r>
      <w:proofErr w:type="spellEnd"/>
      <w:r w:rsidRPr="00C2021A">
        <w:rPr>
          <w:rFonts w:cs="Arial"/>
          <w:color w:val="auto"/>
        </w:rPr>
        <w:t>-C).</w:t>
      </w:r>
    </w:p>
    <w:p w14:paraId="6C4E15A2" w14:textId="06B6BD2A" w:rsidR="00154DB5" w:rsidRPr="00C2021A" w:rsidRDefault="00154DB5" w:rsidP="00B46857">
      <w:pPr>
        <w:spacing w:after="0" w:line="240" w:lineRule="auto"/>
        <w:jc w:val="both"/>
        <w:rPr>
          <w:rFonts w:cs="Arial"/>
          <w:bCs/>
          <w:color w:val="auto"/>
        </w:rPr>
      </w:pPr>
      <w:r w:rsidRPr="00C2021A">
        <w:rPr>
          <w:rFonts w:cs="Arial"/>
          <w:color w:val="auto"/>
        </w:rPr>
        <w:t xml:space="preserve">Cortisol is a lipophilic steroid hormone commonly related to psychological stress </w:t>
      </w:r>
      <w:r w:rsidRPr="00C2021A">
        <w:rPr>
          <w:rFonts w:cs="Arial"/>
          <w:noProof/>
          <w:color w:val="auto"/>
        </w:rPr>
        <w:t>(Holsboer and Ising 2010)</w:t>
      </w:r>
      <w:r w:rsidRPr="00C2021A">
        <w:rPr>
          <w:rFonts w:cs="Arial"/>
          <w:color w:val="auto"/>
        </w:rPr>
        <w:t xml:space="preserve">. It has been proven that the levels of cortisol in saliva are highly correlated with those found in serum, opening an exciting opportunity for non-invasive monitoring of cortisol through saliva collection and analysis </w:t>
      </w:r>
      <w:r w:rsidRPr="00C2021A">
        <w:rPr>
          <w:rFonts w:cs="Arial"/>
          <w:noProof/>
          <w:color w:val="auto"/>
        </w:rPr>
        <w:t>(Aardal and Holm 1995; Teruhisa et al. 1981)</w:t>
      </w:r>
      <w:r w:rsidRPr="00C2021A">
        <w:rPr>
          <w:rFonts w:cs="Arial"/>
          <w:color w:val="auto"/>
        </w:rPr>
        <w:t xml:space="preserve">. Therefore, many research groups started developing biosensors for the detection of cortisol, and Khan and coworkers </w:t>
      </w:r>
      <w:r w:rsidRPr="00C2021A">
        <w:rPr>
          <w:rFonts w:cs="Arial"/>
          <w:noProof/>
          <w:color w:val="auto"/>
        </w:rPr>
        <w:t>(Khan et al. 2017a)</w:t>
      </w:r>
      <w:r w:rsidRPr="00C2021A">
        <w:rPr>
          <w:rFonts w:cs="Arial"/>
          <w:color w:val="auto"/>
        </w:rPr>
        <w:t xml:space="preserve"> were the first to realize a graphene-based portable biosensor with integrated handheld EIS analyzer (AD5933 chip). The sensing platform is validated against an ELISA cortisol luminescence immunoassay (RE62011) kit showing a correlation coefficient R</w:t>
      </w:r>
      <w:r w:rsidRPr="00C2021A">
        <w:rPr>
          <w:rFonts w:cs="Arial"/>
          <w:color w:val="auto"/>
          <w:vertAlign w:val="superscript"/>
        </w:rPr>
        <w:t>2</w:t>
      </w:r>
      <w:r w:rsidRPr="00C2021A">
        <w:rPr>
          <w:rFonts w:cs="Arial"/>
          <w:color w:val="auto"/>
        </w:rPr>
        <w:t xml:space="preserve"> = 0.9386. The same research group used an identical sensing platform based on Whatman filter paper to design another biosensor, based on a </w:t>
      </w:r>
      <w:proofErr w:type="spellStart"/>
      <w:r w:rsidRPr="00C2021A">
        <w:rPr>
          <w:rFonts w:cs="Arial"/>
          <w:color w:val="auto"/>
        </w:rPr>
        <w:t>chemiresistive</w:t>
      </w:r>
      <w:proofErr w:type="spellEnd"/>
      <w:r w:rsidRPr="00C2021A">
        <w:rPr>
          <w:rFonts w:cs="Arial"/>
          <w:color w:val="auto"/>
        </w:rPr>
        <w:t xml:space="preserve"> detection mechanism </w:t>
      </w:r>
      <w:r w:rsidRPr="00C2021A">
        <w:rPr>
          <w:rFonts w:cs="Arial"/>
          <w:noProof/>
          <w:color w:val="auto"/>
        </w:rPr>
        <w:t>(Khan et al. 2017b)</w:t>
      </w:r>
      <w:r w:rsidRPr="00C2021A">
        <w:rPr>
          <w:rFonts w:cs="Arial"/>
          <w:color w:val="auto"/>
        </w:rPr>
        <w:t>. The LOD and linear range of this sensor are determined directly on saliva samples, and a sensitivity of 50 Ω∙pg∙mL</w:t>
      </w:r>
      <w:r w:rsidRPr="00C2021A">
        <w:rPr>
          <w:rFonts w:cs="Arial"/>
          <w:color w:val="auto"/>
          <w:vertAlign w:val="superscript"/>
        </w:rPr>
        <w:t xml:space="preserve">−1 </w:t>
      </w:r>
      <w:r w:rsidRPr="00C2021A">
        <w:rPr>
          <w:rFonts w:cs="Arial"/>
          <w:color w:val="auto"/>
        </w:rPr>
        <w:t>is reported. The sensing platform features the same miniaturized handheld PCB seen in their previous version of the device. The sensor is also again compared to the ELISA RE62011 kit, showing a much-improved correlation coefficient R</w:t>
      </w:r>
      <w:r w:rsidRPr="00C2021A">
        <w:rPr>
          <w:rFonts w:cs="Arial"/>
          <w:color w:val="auto"/>
          <w:vertAlign w:val="superscript"/>
        </w:rPr>
        <w:t>2</w:t>
      </w:r>
      <w:r w:rsidRPr="00C2021A">
        <w:rPr>
          <w:rFonts w:cs="Arial"/>
          <w:color w:val="auto"/>
        </w:rPr>
        <w:t xml:space="preserve"> = 0.9951. The device performance has also been certified as stable after six weeks of the dry storage period. Khan et al. </w:t>
      </w:r>
      <w:r w:rsidRPr="00C2021A">
        <w:rPr>
          <w:rFonts w:cs="Arial"/>
          <w:noProof/>
          <w:color w:val="auto"/>
        </w:rPr>
        <w:t>(Khan et al. 2019)</w:t>
      </w:r>
      <w:r w:rsidRPr="00C2021A">
        <w:rPr>
          <w:rFonts w:cs="Arial"/>
          <w:color w:val="auto"/>
        </w:rPr>
        <w:t xml:space="preserve"> recently developed another biosensor based on a different platform but still having graphene as a sensing element. Recovery values are reported for the first time and are in the acceptable range but far worse than in many other cases analyzed in this review. Once again, the biosensor is validated against ELISA, exhibiting an accuracy of 96.3% with respect to the gold standard. The same stability of 6 weeks as in the previous case, has been reported, and selectivity has also been tested in the presence of ascorbic acid (AA). Kim et al. also developed a cortisol sensing device based on </w:t>
      </w:r>
      <w:proofErr w:type="spellStart"/>
      <w:r w:rsidRPr="00C2021A">
        <w:rPr>
          <w:rFonts w:cs="Arial"/>
          <w:color w:val="auto"/>
        </w:rPr>
        <w:t>chemiresistive</w:t>
      </w:r>
      <w:proofErr w:type="spellEnd"/>
      <w:r w:rsidRPr="00C2021A">
        <w:rPr>
          <w:rFonts w:cs="Arial"/>
          <w:color w:val="auto"/>
        </w:rPr>
        <w:t xml:space="preserve"> detection. The sensor has been validated against the ELISA gold standard, but no correlation coefficient or accuracy has been provided by the authors </w:t>
      </w:r>
      <w:r w:rsidRPr="00C2021A">
        <w:rPr>
          <w:rFonts w:cs="Arial"/>
          <w:noProof/>
          <w:color w:val="auto"/>
        </w:rPr>
        <w:t>(Kim et al. 2017c)</w:t>
      </w:r>
      <w:r w:rsidRPr="00C2021A">
        <w:rPr>
          <w:rFonts w:cs="Arial"/>
          <w:color w:val="auto"/>
        </w:rPr>
        <w:t xml:space="preserve">. The biosensor exhibited high stability, being able to retain its performance for several months. </w:t>
      </w:r>
      <w:r w:rsidRPr="00C2021A">
        <w:rPr>
          <w:rFonts w:cs="Arial"/>
          <w:bCs/>
          <w:color w:val="auto"/>
        </w:rPr>
        <w:t>The selectivity has been proved in a neuro-cell culture matrix where different neuroendocrine, neurotransmitter</w:t>
      </w:r>
      <w:r w:rsidR="00CE0DDA" w:rsidRPr="00C2021A">
        <w:rPr>
          <w:rFonts w:cs="Arial"/>
          <w:bCs/>
          <w:color w:val="auto"/>
        </w:rPr>
        <w:t>,</w:t>
      </w:r>
      <w:r w:rsidRPr="00C2021A">
        <w:rPr>
          <w:rFonts w:cs="Arial"/>
          <w:bCs/>
          <w:color w:val="auto"/>
        </w:rPr>
        <w:t xml:space="preserve"> and protein were present. </w:t>
      </w:r>
      <w:r w:rsidRPr="00C2021A">
        <w:rPr>
          <w:rFonts w:cs="Arial"/>
          <w:color w:val="auto"/>
        </w:rPr>
        <w:t xml:space="preserve">Kim and coworkers developed another </w:t>
      </w:r>
      <w:proofErr w:type="spellStart"/>
      <w:r w:rsidRPr="00C2021A">
        <w:rPr>
          <w:rFonts w:cs="Arial"/>
          <w:color w:val="auto"/>
        </w:rPr>
        <w:t>rGO</w:t>
      </w:r>
      <w:proofErr w:type="spellEnd"/>
      <w:r w:rsidRPr="00C2021A">
        <w:rPr>
          <w:rFonts w:cs="Arial"/>
          <w:color w:val="auto"/>
        </w:rPr>
        <w:t xml:space="preserve">-based sensing platform for cortisol detection in saliva </w:t>
      </w:r>
      <w:r w:rsidRPr="00C2021A">
        <w:rPr>
          <w:rFonts w:cs="Arial"/>
          <w:noProof/>
          <w:color w:val="auto"/>
        </w:rPr>
        <w:t>(Kim et al. 2017b)</w:t>
      </w:r>
      <w:r w:rsidRPr="00C2021A">
        <w:rPr>
          <w:rFonts w:cs="Arial"/>
          <w:color w:val="auto"/>
        </w:rPr>
        <w:t xml:space="preserve">. No gold standard validation was performed; however, the sensor was tested for recovery in human saliva samples showing values in the 92-103% range, the best among the two reported herein for cortisol. When cortisol monitoring was performed in the presence of aldosterone and progesterone, two interfering molecules, the resistance increment relative to the </w:t>
      </w:r>
      <w:r w:rsidR="007B29A7">
        <w:rPr>
          <w:rFonts w:cs="Arial"/>
          <w:color w:val="auto"/>
        </w:rPr>
        <w:t>cortisol detection</w:t>
      </w:r>
      <w:r w:rsidRPr="00C2021A">
        <w:rPr>
          <w:rFonts w:cs="Arial"/>
          <w:color w:val="auto"/>
        </w:rPr>
        <w:t xml:space="preserve"> was 8-fold higher, showing excellent selectivity for the analyte.</w:t>
      </w:r>
    </w:p>
    <w:p w14:paraId="0AA0E150" w14:textId="7439F1A4" w:rsidR="00154DB5" w:rsidRPr="00C2021A" w:rsidRDefault="00154DB5" w:rsidP="00041DBE">
      <w:pPr>
        <w:spacing w:after="0" w:line="240" w:lineRule="auto"/>
        <w:ind w:firstLine="720"/>
        <w:jc w:val="both"/>
        <w:rPr>
          <w:rFonts w:cs="Arial"/>
          <w:color w:val="auto"/>
        </w:rPr>
      </w:pPr>
      <w:r w:rsidRPr="00C2021A">
        <w:rPr>
          <w:rFonts w:cs="Arial"/>
          <w:color w:val="auto"/>
        </w:rPr>
        <w:t xml:space="preserve">Ghrelin (GHRL) and peptide YY (PYY) are two other hormones that are instead associated with hunger; they have opposite functions, with ghrelin increasing appetite and peptide YY </w:t>
      </w:r>
      <w:r w:rsidRPr="00C2021A">
        <w:rPr>
          <w:rFonts w:cs="Arial"/>
          <w:color w:val="auto"/>
        </w:rPr>
        <w:lastRenderedPageBreak/>
        <w:t xml:space="preserve">decreasing it </w:t>
      </w:r>
      <w:r w:rsidRPr="00C2021A">
        <w:rPr>
          <w:rFonts w:cs="Arial"/>
          <w:noProof/>
          <w:color w:val="auto"/>
        </w:rPr>
        <w:t>(Karamanakos et al. 2008)</w:t>
      </w:r>
      <w:r w:rsidRPr="00C2021A">
        <w:rPr>
          <w:rFonts w:cs="Arial"/>
          <w:color w:val="auto"/>
        </w:rPr>
        <w:t>.  These hormones are indicators of appetite disorders</w:t>
      </w:r>
      <w:r w:rsidR="00CE0DDA" w:rsidRPr="00C2021A">
        <w:rPr>
          <w:rFonts w:cs="Arial"/>
          <w:color w:val="auto"/>
        </w:rPr>
        <w:t xml:space="preserve">. A prior study </w:t>
      </w:r>
      <w:r w:rsidRPr="00C2021A">
        <w:rPr>
          <w:rFonts w:cs="Arial"/>
          <w:noProof/>
          <w:color w:val="auto"/>
        </w:rPr>
        <w:t>(Maier et al. 2008)</w:t>
      </w:r>
      <w:r w:rsidRPr="00C2021A">
        <w:rPr>
          <w:rFonts w:cs="Arial"/>
          <w:color w:val="auto"/>
        </w:rPr>
        <w:t xml:space="preserve"> </w:t>
      </w:r>
      <w:r w:rsidR="00CE0DDA" w:rsidRPr="00C2021A">
        <w:rPr>
          <w:rFonts w:cs="Arial"/>
          <w:color w:val="auto"/>
        </w:rPr>
        <w:t xml:space="preserve">shows </w:t>
      </w:r>
      <w:r w:rsidRPr="00C2021A">
        <w:rPr>
          <w:rFonts w:cs="Arial"/>
          <w:color w:val="auto"/>
        </w:rPr>
        <w:t xml:space="preserve">how deregulated food intake in obese subjects can be monitored by observing specific levels of GHRL and PYY. Martínez-García </w:t>
      </w:r>
      <w:r w:rsidR="00CE0DDA" w:rsidRPr="00C2021A">
        <w:rPr>
          <w:rFonts w:cs="Arial"/>
          <w:color w:val="auto"/>
        </w:rPr>
        <w:t>and others</w:t>
      </w:r>
      <w:r w:rsidRPr="00C2021A">
        <w:rPr>
          <w:rFonts w:cs="Arial"/>
          <w:color w:val="auto"/>
        </w:rPr>
        <w:t xml:space="preserve"> realized an </w:t>
      </w:r>
      <w:proofErr w:type="spellStart"/>
      <w:r w:rsidRPr="00C2021A">
        <w:rPr>
          <w:rFonts w:cs="Arial"/>
          <w:color w:val="auto"/>
        </w:rPr>
        <w:t>rGO</w:t>
      </w:r>
      <w:proofErr w:type="spellEnd"/>
      <w:r w:rsidRPr="00C2021A">
        <w:rPr>
          <w:rFonts w:cs="Arial"/>
          <w:color w:val="auto"/>
        </w:rPr>
        <w:t>-based biosensor with two different biofunctionalizations to detect each hormone</w:t>
      </w:r>
      <w:r w:rsidR="00CE0DDA" w:rsidRPr="00C2021A">
        <w:rPr>
          <w:rFonts w:cs="Arial"/>
          <w:color w:val="auto"/>
        </w:rPr>
        <w:t xml:space="preserve"> </w:t>
      </w:r>
      <w:r w:rsidR="00CE0DDA" w:rsidRPr="00C2021A">
        <w:rPr>
          <w:rFonts w:cs="Arial"/>
          <w:noProof/>
          <w:color w:val="auto"/>
        </w:rPr>
        <w:t>(Martínez-García et al. 2016)</w:t>
      </w:r>
      <w:r w:rsidRPr="00C2021A">
        <w:rPr>
          <w:rFonts w:cs="Arial"/>
          <w:color w:val="auto"/>
        </w:rPr>
        <w:t xml:space="preserve">. The results were then compared with ELISA, and in both cases (GHRL and PPY) the biosensor demonstrated lower limits of detection as reported in </w:t>
      </w:r>
      <w:r w:rsidRPr="00C2021A">
        <w:rPr>
          <w:rFonts w:cs="Arial"/>
          <w:b/>
          <w:bCs/>
          <w:color w:val="auto"/>
        </w:rPr>
        <w:t>Table 6</w:t>
      </w:r>
      <w:r w:rsidRPr="00C2021A">
        <w:rPr>
          <w:rFonts w:cs="Arial"/>
          <w:color w:val="auto"/>
        </w:rPr>
        <w:t xml:space="preserve">. The sensitivity of the platform is different for GHRL and PPY, with the former being 246 </w:t>
      </w:r>
      <w:proofErr w:type="spellStart"/>
      <w:r w:rsidRPr="00C2021A">
        <w:rPr>
          <w:rFonts w:cs="Arial"/>
          <w:color w:val="auto"/>
        </w:rPr>
        <w:t>nA</w:t>
      </w:r>
      <w:proofErr w:type="spellEnd"/>
      <w:r w:rsidRPr="00C2021A">
        <w:rPr>
          <w:rFonts w:cs="Arial"/>
          <w:color w:val="auto"/>
        </w:rPr>
        <w:t xml:space="preserve">/decade and the latter being 422 </w:t>
      </w:r>
      <w:proofErr w:type="spellStart"/>
      <w:r w:rsidRPr="00C2021A">
        <w:rPr>
          <w:rFonts w:cs="Arial"/>
          <w:color w:val="auto"/>
        </w:rPr>
        <w:t>nA</w:t>
      </w:r>
      <w:proofErr w:type="spellEnd"/>
      <w:r w:rsidRPr="00C2021A">
        <w:rPr>
          <w:rFonts w:cs="Arial"/>
          <w:color w:val="auto"/>
        </w:rPr>
        <w:t xml:space="preserve">/decade. The stability of the fabricated sensor is limited to only 10 days. However, the sensor proved to be highly selective for both species, in the presence of the interfering molecules adiponectin (APN), insulin (INS), GH, deacylated GHRL (DA-G), and follicle stimulant hormone (FSH). The biosensor also showed high inter-assay reproducibility, both intraday (2.9% and 2.4% for GHRL and PYY respectively) and inter-days (2.8% and 2.9% for GHRL and PYY respectively). The recovery values in human saliva samples are among the best reported herein, 97% for ghrelin, and 99% for peptide YY. Glucose is among the most common investigated analytes and health biomarkers, being the best indicator for the insurgence or control of diabetes mellitus </w:t>
      </w:r>
      <w:r w:rsidRPr="00C2021A">
        <w:rPr>
          <w:rFonts w:cs="Arial"/>
          <w:noProof/>
          <w:color w:val="auto"/>
        </w:rPr>
        <w:t>(Satish et al. 2014; Shanbhag and Prasad 2016; Ship 2003)</w:t>
      </w:r>
      <w:r w:rsidRPr="00C2021A">
        <w:rPr>
          <w:rFonts w:cs="Arial"/>
          <w:color w:val="auto"/>
        </w:rPr>
        <w:t xml:space="preserve">. The effort in the scientific community for the realization of glucose devices has been massive in the last decade. However, only a few used saliva as sampling fluid, with </w:t>
      </w:r>
      <w:proofErr w:type="gramStart"/>
      <w:r w:rsidRPr="00C2021A">
        <w:rPr>
          <w:rFonts w:cs="Arial"/>
          <w:color w:val="auto"/>
        </w:rPr>
        <w:t>the majority of</w:t>
      </w:r>
      <w:proofErr w:type="gramEnd"/>
      <w:r w:rsidRPr="00C2021A">
        <w:rPr>
          <w:rFonts w:cs="Arial"/>
          <w:color w:val="auto"/>
        </w:rPr>
        <w:t xml:space="preserve"> them performing analysis on whole blood or serum. Among those focusing on salivary analysis, Ye and coworkers </w:t>
      </w:r>
      <w:r w:rsidRPr="00C2021A">
        <w:rPr>
          <w:rFonts w:cs="Arial"/>
          <w:noProof/>
          <w:color w:val="auto"/>
        </w:rPr>
        <w:t>(Ye et al. 2013)</w:t>
      </w:r>
      <w:r w:rsidRPr="00C2021A">
        <w:rPr>
          <w:rFonts w:cs="Arial"/>
          <w:color w:val="auto"/>
        </w:rPr>
        <w:t xml:space="preserve"> realized a graphene-based platform for the detection of glucose though chronoamperometry. The fabricated sensor reported exceptional recovery values when tested on real saliva samples, as well as a high sensitivity of 912.7 μA∙mM</w:t>
      </w:r>
      <w:r w:rsidRPr="00C2021A">
        <w:rPr>
          <w:rFonts w:cs="Arial"/>
          <w:color w:val="auto"/>
          <w:vertAlign w:val="superscript"/>
        </w:rPr>
        <w:t>−1</w:t>
      </w:r>
      <w:r w:rsidRPr="00C2021A">
        <w:rPr>
          <w:rFonts w:cs="Arial"/>
          <w:color w:val="auto"/>
        </w:rPr>
        <w:t>∙cm</w:t>
      </w:r>
      <w:r w:rsidRPr="00C2021A">
        <w:rPr>
          <w:rFonts w:cs="Arial"/>
          <w:color w:val="auto"/>
          <w:vertAlign w:val="superscript"/>
        </w:rPr>
        <w:t>−2</w:t>
      </w:r>
      <w:r w:rsidRPr="00C2021A">
        <w:rPr>
          <w:rFonts w:cs="Arial"/>
          <w:color w:val="auto"/>
        </w:rPr>
        <w:t xml:space="preserve">. The biosensor is characterized by an ultrafast detection time of less than 3s after the addition of saliva, the lowest among all the reported studies. The stability of 92% has been assessed after 4 weeks of dry storage. The selectivity of the sensor has been tested in the presence of UA, AA, DA, galactose (Gal), mannose (Man), lactose (Lac), acetaminophen (Ace), epinephrine (Ep) and </w:t>
      </w:r>
      <w:proofErr w:type="spellStart"/>
      <w:r w:rsidRPr="00C2021A">
        <w:rPr>
          <w:rFonts w:cs="Arial"/>
          <w:color w:val="auto"/>
        </w:rPr>
        <w:t>KCl</w:t>
      </w:r>
      <w:proofErr w:type="spellEnd"/>
      <w:r w:rsidRPr="00C2021A">
        <w:rPr>
          <w:rFonts w:cs="Arial"/>
          <w:color w:val="auto"/>
        </w:rPr>
        <w:t>.</w:t>
      </w:r>
    </w:p>
    <w:p w14:paraId="58F07E79" w14:textId="21C19BF3" w:rsidR="00154DB5" w:rsidRPr="00C2021A" w:rsidRDefault="00154DB5" w:rsidP="00041DBE">
      <w:pPr>
        <w:spacing w:after="0" w:line="240" w:lineRule="auto"/>
        <w:ind w:firstLine="720"/>
        <w:jc w:val="both"/>
        <w:rPr>
          <w:rFonts w:cs="Arial"/>
          <w:color w:val="auto"/>
        </w:rPr>
      </w:pPr>
      <w:r w:rsidRPr="00C2021A">
        <w:rPr>
          <w:rFonts w:cs="Arial"/>
          <w:color w:val="auto"/>
        </w:rPr>
        <w:t xml:space="preserve">The oral cavity is also a host of many biomarkers indicating the mental health status of an individual. L-tryptophan is an amino acid, the mediator of serotonin, and consequently, a good indicator of possible mental health disorders </w:t>
      </w:r>
      <w:r w:rsidRPr="00C2021A">
        <w:rPr>
          <w:rFonts w:cs="Arial"/>
          <w:noProof/>
          <w:color w:val="auto"/>
        </w:rPr>
        <w:t>(Murphy et al. 1974)</w:t>
      </w:r>
      <w:r w:rsidRPr="00C2021A">
        <w:rPr>
          <w:rFonts w:cs="Arial"/>
          <w:color w:val="auto"/>
        </w:rPr>
        <w:t xml:space="preserve">, while serotonin itself has already been demonstrated as being closely related to mood changes or depression </w:t>
      </w:r>
      <w:r w:rsidRPr="00C2021A">
        <w:rPr>
          <w:rFonts w:cs="Arial"/>
          <w:noProof/>
          <w:color w:val="auto"/>
        </w:rPr>
        <w:t>(Barchas 2012; Blier and El Mansari 2013)</w:t>
      </w:r>
      <w:r w:rsidRPr="00C2021A">
        <w:rPr>
          <w:rFonts w:cs="Arial"/>
          <w:color w:val="auto"/>
        </w:rPr>
        <w:t xml:space="preserve">. </w:t>
      </w:r>
      <w:proofErr w:type="spellStart"/>
      <w:r w:rsidRPr="00C2021A">
        <w:rPr>
          <w:rFonts w:cs="Arial"/>
          <w:color w:val="auto"/>
        </w:rPr>
        <w:t>Nazarpour</w:t>
      </w:r>
      <w:proofErr w:type="spellEnd"/>
      <w:r w:rsidRPr="00C2021A">
        <w:rPr>
          <w:rFonts w:cs="Arial"/>
          <w:color w:val="auto"/>
        </w:rPr>
        <w:t xml:space="preserve"> et al. have recently developed an electrochemical biosensor for the detection of L-tryptophan (Try) in human saliva samples </w:t>
      </w:r>
      <w:r w:rsidRPr="00C2021A">
        <w:rPr>
          <w:rFonts w:cs="Arial"/>
          <w:noProof/>
          <w:color w:val="auto"/>
        </w:rPr>
        <w:t>(Nazarpour et al. 2020)</w:t>
      </w:r>
      <w:r w:rsidRPr="00C2021A">
        <w:rPr>
          <w:rFonts w:cs="Arial"/>
          <w:color w:val="auto"/>
        </w:rPr>
        <w:t xml:space="preserve">.  The recovery values in real saliva were acceptable, in the 95-108% range, and the measured reproducibility was high both intra-assay (3.69%) and inter-assay (4.36%). They classified as interference a species causing a current change higher than 10%, and the sensor proved to be selective for the detection of Try only in the presence of AA, arginine, urea, glutamine, vitamin B1, creatine, valine, leucine, and isoleucine. </w:t>
      </w:r>
      <w:proofErr w:type="spellStart"/>
      <w:r w:rsidRPr="00C2021A">
        <w:rPr>
          <w:rFonts w:cs="Arial"/>
          <w:color w:val="auto"/>
        </w:rPr>
        <w:t>Adumitrăchioaie</w:t>
      </w:r>
      <w:proofErr w:type="spellEnd"/>
      <w:r w:rsidRPr="00C2021A">
        <w:rPr>
          <w:rFonts w:cs="Arial"/>
          <w:color w:val="auto"/>
        </w:rPr>
        <w:t xml:space="preserve"> et al. </w:t>
      </w:r>
      <w:r w:rsidRPr="00C2021A">
        <w:rPr>
          <w:rFonts w:cs="Arial"/>
          <w:noProof/>
          <w:color w:val="auto"/>
        </w:rPr>
        <w:t>(Adumitrăchioaie et al. 2019)</w:t>
      </w:r>
      <w:r w:rsidRPr="00C2021A">
        <w:rPr>
          <w:rFonts w:cs="Arial"/>
          <w:color w:val="auto"/>
        </w:rPr>
        <w:t xml:space="preserve"> recently fabricated an immunosensor based on GO-chitosan modified GSPEs with a sensitivity of 0.05 µA∙µM</w:t>
      </w:r>
      <w:r w:rsidRPr="00C2021A">
        <w:rPr>
          <w:rFonts w:cs="Arial"/>
          <w:color w:val="auto"/>
          <w:vertAlign w:val="superscript"/>
        </w:rPr>
        <w:t>-1</w:t>
      </w:r>
      <w:r w:rsidRPr="00C2021A">
        <w:rPr>
          <w:rFonts w:cs="Arial"/>
          <w:color w:val="auto"/>
        </w:rPr>
        <w:t xml:space="preserve">. The sensor exhibited recovery of 104.2% when tested in real saliva samples and retained 91.3% of its performance after 4 weeks of dry storage. As in the previous case of the detection of Try </w:t>
      </w:r>
      <w:r w:rsidRPr="00C2021A">
        <w:rPr>
          <w:rFonts w:cs="Arial"/>
          <w:noProof/>
          <w:color w:val="auto"/>
        </w:rPr>
        <w:t>(Nazarpour et al. 2020)</w:t>
      </w:r>
      <w:r w:rsidRPr="00C2021A">
        <w:rPr>
          <w:rFonts w:cs="Arial"/>
          <w:color w:val="auto"/>
        </w:rPr>
        <w:t>, the sensor was tested against many interfering molecules, namely adrenaline (</w:t>
      </w:r>
      <w:proofErr w:type="spellStart"/>
      <w:r w:rsidRPr="00C2021A">
        <w:rPr>
          <w:rFonts w:cs="Arial"/>
          <w:color w:val="auto"/>
        </w:rPr>
        <w:t>Adr</w:t>
      </w:r>
      <w:proofErr w:type="spellEnd"/>
      <w:r w:rsidRPr="00C2021A">
        <w:rPr>
          <w:rFonts w:cs="Arial"/>
          <w:color w:val="auto"/>
        </w:rPr>
        <w:t xml:space="preserve">), noradrenaline (NA), DA, paracetamol (P), aspirin, UA, AA, and glucose. Cardoso et al. </w:t>
      </w:r>
      <w:r w:rsidRPr="00C2021A">
        <w:rPr>
          <w:rFonts w:cs="Arial"/>
          <w:noProof/>
          <w:color w:val="auto"/>
        </w:rPr>
        <w:t>(Cardoso et al. 2020)</w:t>
      </w:r>
      <w:r w:rsidRPr="00C2021A">
        <w:rPr>
          <w:rFonts w:cs="Arial"/>
          <w:color w:val="auto"/>
        </w:rPr>
        <w:t xml:space="preserve"> recently reported the first example of 3D-printed graphene-based biosensors for the detection of analytes in real body fluids, measuring the concentration of nitrite (NIT) and uric acid (UA) in human saliva. Nitrites are easily incorporated through food consumption </w:t>
      </w:r>
      <w:r w:rsidRPr="00C2021A">
        <w:rPr>
          <w:rFonts w:cs="Arial"/>
          <w:noProof/>
          <w:color w:val="auto"/>
        </w:rPr>
        <w:t>(James et al. 2015)</w:t>
      </w:r>
      <w:r w:rsidRPr="00C2021A">
        <w:rPr>
          <w:rFonts w:cs="Arial"/>
          <w:color w:val="auto"/>
        </w:rPr>
        <w:t xml:space="preserve"> and play an important role in the physiological activity of the body </w:t>
      </w:r>
      <w:r w:rsidRPr="00C2021A">
        <w:rPr>
          <w:rFonts w:cs="Arial"/>
          <w:noProof/>
          <w:color w:val="auto"/>
        </w:rPr>
        <w:t>(Ma et al. 2018)</w:t>
      </w:r>
      <w:r w:rsidRPr="00C2021A">
        <w:rPr>
          <w:rFonts w:cs="Arial"/>
          <w:color w:val="auto"/>
        </w:rPr>
        <w:t xml:space="preserve"> while uric acid, produced by the breakdown of purines during metabolism, can be associated to cell death and have a potential pathogenic effect in neurological and infectious diseases </w:t>
      </w:r>
      <w:r w:rsidRPr="00C2021A">
        <w:rPr>
          <w:rFonts w:cs="Arial"/>
          <w:noProof/>
          <w:color w:val="auto"/>
        </w:rPr>
        <w:t>(El Ridi and Tallima 2017; Liu et al. 2019)</w:t>
      </w:r>
      <w:r w:rsidRPr="00C2021A">
        <w:rPr>
          <w:rFonts w:cs="Arial"/>
          <w:color w:val="auto"/>
        </w:rPr>
        <w:t xml:space="preserve">. The biosensor consists of electrodes that are printed using graphene-modified polylactic acid (G-PLA). The study was carried out using two different electrochemical detection mechanism, differential pulse </w:t>
      </w:r>
      <w:r w:rsidRPr="00C2021A">
        <w:rPr>
          <w:rFonts w:cs="Arial"/>
          <w:color w:val="auto"/>
        </w:rPr>
        <w:lastRenderedPageBreak/>
        <w:t xml:space="preserve">voltammetry (DPV) and multiple-pulse amperometry combined with batch-injection analysis (BIA-MPA). Different values of LOD and linearity were obtained with the two techniques (details in </w:t>
      </w:r>
      <w:r w:rsidRPr="00C2021A">
        <w:rPr>
          <w:rFonts w:cs="Arial"/>
          <w:b/>
          <w:bCs/>
          <w:color w:val="auto"/>
        </w:rPr>
        <w:t>Table 6</w:t>
      </w:r>
      <w:r w:rsidRPr="00C2021A">
        <w:rPr>
          <w:rFonts w:cs="Arial"/>
          <w:color w:val="auto"/>
        </w:rPr>
        <w:t xml:space="preserve">), demonstrating how the detection mechanism influences the sensitivity of the device. The repeatability also varied depending on the detection technique, with an RSD value of 2.1% (UA) and 1.1% (NIT) when using BIA-MPA, and an RSD value of 8.2% (UA) and 7.2% (NIT) when using DPV. </w:t>
      </w:r>
      <w:r w:rsidR="007B29A7">
        <w:rPr>
          <w:rFonts w:cs="Arial"/>
          <w:color w:val="auto"/>
        </w:rPr>
        <w:t>When tested in real saliva samples, the recovery performance of the biosensor</w:t>
      </w:r>
      <w:r w:rsidRPr="00C2021A">
        <w:rPr>
          <w:rFonts w:cs="Arial"/>
          <w:color w:val="auto"/>
        </w:rPr>
        <w:t xml:space="preserve"> is acceptable (100-110%) for NIT, but poor for UA (120%).</w:t>
      </w:r>
    </w:p>
    <w:p w14:paraId="1D30BB94" w14:textId="77777777" w:rsidR="00154DB5" w:rsidRPr="00C2021A" w:rsidRDefault="00154DB5" w:rsidP="00DF63F1">
      <w:pPr>
        <w:spacing w:after="0" w:line="240" w:lineRule="auto"/>
        <w:jc w:val="both"/>
        <w:rPr>
          <w:rFonts w:cs="Arial"/>
          <w:b/>
          <w:bCs/>
          <w:color w:val="auto"/>
        </w:rPr>
      </w:pPr>
    </w:p>
    <w:p w14:paraId="7198EB83" w14:textId="77777777" w:rsidR="00154DB5" w:rsidRPr="00C2021A" w:rsidRDefault="00154DB5" w:rsidP="00DF63F1">
      <w:pPr>
        <w:spacing w:after="0" w:line="240" w:lineRule="auto"/>
        <w:jc w:val="both"/>
        <w:rPr>
          <w:rFonts w:cs="Arial"/>
          <w:b/>
          <w:bCs/>
          <w:color w:val="auto"/>
        </w:rPr>
      </w:pPr>
      <w:r w:rsidRPr="00C2021A">
        <w:rPr>
          <w:rFonts w:cs="Arial"/>
          <w:b/>
          <w:bCs/>
          <w:color w:val="auto"/>
        </w:rPr>
        <w:t>5. Conclusions and future perspectives</w:t>
      </w:r>
    </w:p>
    <w:p w14:paraId="128FFD20" w14:textId="654E27D5" w:rsidR="00154DB5" w:rsidRPr="00C2021A" w:rsidRDefault="00154DB5" w:rsidP="00041DBE">
      <w:pPr>
        <w:spacing w:after="0" w:line="240" w:lineRule="auto"/>
        <w:jc w:val="both"/>
        <w:rPr>
          <w:rFonts w:cs="Arial"/>
          <w:color w:val="auto"/>
        </w:rPr>
      </w:pPr>
      <w:r w:rsidRPr="00C2021A">
        <w:rPr>
          <w:rFonts w:cs="Arial"/>
          <w:color w:val="auto"/>
        </w:rPr>
        <w:t xml:space="preserve">This review reports a comprehensive summary of graphene-based biosensors for salivary biomarker detection. We have covered the advantages of graphene and its derivatives to build highly sensitive biosensors and bioelectronics. </w:t>
      </w:r>
      <w:r w:rsidR="007B29A7">
        <w:rPr>
          <w:rFonts w:cs="Arial"/>
          <w:color w:val="auto"/>
        </w:rPr>
        <w:t>Human saliva has been introduced for biomarker detection</w:t>
      </w:r>
      <w:r w:rsidRPr="00C2021A">
        <w:rPr>
          <w:rFonts w:cs="Arial"/>
          <w:color w:val="auto"/>
        </w:rPr>
        <w:t xml:space="preserve"> due to easy access, noninvasive sample collection, and </w:t>
      </w:r>
      <w:r w:rsidR="007B29A7">
        <w:rPr>
          <w:rFonts w:cs="Arial"/>
          <w:color w:val="auto"/>
        </w:rPr>
        <w:t xml:space="preserve">the </w:t>
      </w:r>
      <w:r w:rsidRPr="00C2021A">
        <w:rPr>
          <w:rFonts w:cs="Arial"/>
          <w:color w:val="auto"/>
        </w:rPr>
        <w:t xml:space="preserve">source of an abundance of various analytes. Many graphene-based </w:t>
      </w:r>
      <w:proofErr w:type="spellStart"/>
      <w:r w:rsidRPr="00C2021A">
        <w:rPr>
          <w:rFonts w:cs="Arial"/>
          <w:color w:val="auto"/>
        </w:rPr>
        <w:t>nanobiosensors</w:t>
      </w:r>
      <w:proofErr w:type="spellEnd"/>
      <w:r w:rsidRPr="00C2021A">
        <w:rPr>
          <w:rFonts w:cs="Arial"/>
          <w:color w:val="auto"/>
        </w:rPr>
        <w:t xml:space="preserve"> have been developed to target multiple salivary biomarkers categorized for viral/bacterial biomarkers, cancer biomarkers, drugs/hazardous substances, and health-indicating substances. We have discussed the details of materials, structural designs, analyte detection methods, and performance of graphene bioelectronics, along with system miniaturization for oral-wearable applications. </w:t>
      </w:r>
    </w:p>
    <w:p w14:paraId="38EE63E8" w14:textId="794D7D07" w:rsidR="00154DB5" w:rsidRPr="00C2021A" w:rsidRDefault="00154DB5" w:rsidP="002E38F0">
      <w:pPr>
        <w:spacing w:after="0" w:line="240" w:lineRule="auto"/>
        <w:ind w:firstLine="720"/>
        <w:jc w:val="both"/>
        <w:rPr>
          <w:rFonts w:cs="Arial"/>
          <w:color w:val="auto"/>
        </w:rPr>
      </w:pPr>
      <w:r w:rsidRPr="00C2021A">
        <w:rPr>
          <w:rFonts w:cs="Arial"/>
          <w:bCs/>
          <w:color w:val="auto"/>
        </w:rPr>
        <w:t>A</w:t>
      </w:r>
      <w:r w:rsidRPr="00C2021A">
        <w:rPr>
          <w:rFonts w:cs="Arial"/>
          <w:color w:val="auto"/>
        </w:rPr>
        <w:t xml:space="preserve"> schematic illustration in </w:t>
      </w:r>
      <w:r w:rsidRPr="00C2021A">
        <w:rPr>
          <w:rFonts w:cs="Arial"/>
          <w:b/>
          <w:color w:val="auto"/>
        </w:rPr>
        <w:t xml:space="preserve">Figure </w:t>
      </w:r>
      <w:r w:rsidR="00792BD4">
        <w:rPr>
          <w:rFonts w:cs="Arial"/>
          <w:b/>
          <w:color w:val="auto"/>
        </w:rPr>
        <w:t>6</w:t>
      </w:r>
      <w:r w:rsidRPr="00C2021A">
        <w:rPr>
          <w:rFonts w:cs="Arial"/>
          <w:color w:val="auto"/>
        </w:rPr>
        <w:t xml:space="preserve"> delivers our perspectives of wearable graphene oral biosensors for future clinical applications with enhanced data acquisition, remote health monitoring, and personalized medicine. A patient will become the owner of personal data collected by the wearable POC oral biosensors at home. It will be the wearer’s responsibility to decide when and how to share the data with clinicians. A clinician could then offer the opportunity to store such data on a secure decentralized cloud, aiming to build a patient-specific database containing health information. This process would extremely simplify the workflow for both patients and clinicians since no in-person and frequent hospital visit is required. In addition, both parties will save costs in travel, labor, and system management, while clinicians can offer a timely diagnosis and follow-up treatment based on pre-collected data during daily activities. Overall, </w:t>
      </w:r>
      <w:proofErr w:type="gramStart"/>
      <w:r w:rsidRPr="00C2021A">
        <w:rPr>
          <w:rFonts w:cs="Arial"/>
          <w:color w:val="auto"/>
        </w:rPr>
        <w:t>rapid</w:t>
      </w:r>
      <w:proofErr w:type="gramEnd"/>
      <w:r w:rsidRPr="00C2021A">
        <w:rPr>
          <w:rFonts w:cs="Arial"/>
          <w:color w:val="auto"/>
        </w:rPr>
        <w:t xml:space="preserve"> and more accurate personalized treatment is possible for patients. In particular, the wearable devices and home healthcare will provide benefits to infants and older adults who always require caregivers for hospital visits.</w:t>
      </w:r>
    </w:p>
    <w:p w14:paraId="2C7B865C" w14:textId="4A09A9B4" w:rsidR="00154DB5" w:rsidRPr="00C2021A" w:rsidRDefault="00154DB5" w:rsidP="00701D0A">
      <w:pPr>
        <w:spacing w:after="0" w:line="240" w:lineRule="auto"/>
        <w:jc w:val="both"/>
        <w:rPr>
          <w:rFonts w:cs="Arial"/>
          <w:color w:val="auto"/>
        </w:rPr>
      </w:pPr>
      <w:r w:rsidRPr="00C2021A">
        <w:rPr>
          <w:rFonts w:cs="Arial"/>
          <w:color w:val="auto"/>
        </w:rPr>
        <w:tab/>
        <w:t xml:space="preserve">For the next-generation diagnosis and treatment, we still need to improve the quality of oral-wearable biosensors and bioelectronics. In this regard, we expect graphene and graphene-derivatives to play a pivotal role in </w:t>
      </w:r>
      <w:r w:rsidR="00153DFE" w:rsidRPr="00C2021A">
        <w:rPr>
          <w:rFonts w:cs="Arial"/>
          <w:color w:val="auto"/>
        </w:rPr>
        <w:t xml:space="preserve">developing </w:t>
      </w:r>
      <w:r w:rsidRPr="00C2021A">
        <w:rPr>
          <w:rFonts w:cs="Arial"/>
          <w:color w:val="auto"/>
        </w:rPr>
        <w:t>next</w:t>
      </w:r>
      <w:r w:rsidR="00153DFE" w:rsidRPr="00C2021A">
        <w:rPr>
          <w:rFonts w:cs="Arial"/>
          <w:color w:val="auto"/>
        </w:rPr>
        <w:t>-</w:t>
      </w:r>
      <w:r w:rsidRPr="00C2021A">
        <w:rPr>
          <w:rFonts w:cs="Arial"/>
          <w:color w:val="auto"/>
        </w:rPr>
        <w:t>generation oral biosensors. The excellent mechanical and electrical properties of graphene, along with its biocompatibility and antimicrobial traits, make it a</w:t>
      </w:r>
      <w:r w:rsidR="00153DFE" w:rsidRPr="00C2021A">
        <w:rPr>
          <w:rFonts w:cs="Arial"/>
          <w:color w:val="auto"/>
        </w:rPr>
        <w:t>n up-and-com</w:t>
      </w:r>
      <w:r w:rsidRPr="00C2021A">
        <w:rPr>
          <w:rFonts w:cs="Arial"/>
          <w:color w:val="auto"/>
        </w:rPr>
        <w:t xml:space="preserve">ing candidate for its use in clinical applications. The versatility and ductility of graphene allow it to be easily customized through a tailored functionalization to meet specific needs in terms of analyte detection. Moreover, the increasing efforts in making graphene production a low-cost, reliable, large-scale manufacturing process will foster its use in mass production of high-quality oral-wearable biosystems. Further miniaturization of electronic circuits, wireless communication units, and powering systems will provide additional improvements for ergonomic, easy-to-use devices. In summary, we believe that </w:t>
      </w:r>
      <w:r w:rsidR="007B29A7">
        <w:rPr>
          <w:rFonts w:cs="Arial"/>
          <w:color w:val="auto"/>
        </w:rPr>
        <w:t>considering</w:t>
      </w:r>
      <w:r w:rsidRPr="00C2021A">
        <w:rPr>
          <w:rFonts w:cs="Arial"/>
          <w:color w:val="auto"/>
        </w:rPr>
        <w:t xml:space="preserve"> the existing challenges in materials, electronics, and manufacturing will provide new opportunities to utilize the graphene-based biosensors for more practical, home healthcare applications in daily life.</w:t>
      </w:r>
    </w:p>
    <w:p w14:paraId="19DE516A" w14:textId="77777777" w:rsidR="00154DB5" w:rsidRPr="00C2021A" w:rsidRDefault="00154DB5" w:rsidP="00041DBE">
      <w:pPr>
        <w:spacing w:after="0" w:line="240" w:lineRule="auto"/>
        <w:jc w:val="both"/>
        <w:rPr>
          <w:rFonts w:cs="Arial"/>
          <w:color w:val="auto"/>
        </w:rPr>
      </w:pPr>
    </w:p>
    <w:p w14:paraId="00E608C2"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b/>
          <w:bCs/>
          <w:color w:val="auto"/>
        </w:rPr>
      </w:pPr>
    </w:p>
    <w:p w14:paraId="3187D577" w14:textId="77777777" w:rsidR="007B29A7" w:rsidRDefault="007B29A7">
      <w:pPr>
        <w:pBdr>
          <w:top w:val="none" w:sz="0" w:space="0" w:color="auto"/>
          <w:left w:val="none" w:sz="0" w:space="0" w:color="auto"/>
          <w:bottom w:val="none" w:sz="0" w:space="0" w:color="auto"/>
          <w:right w:val="none" w:sz="0" w:space="0" w:color="auto"/>
          <w:between w:val="none" w:sz="0" w:space="0" w:color="auto"/>
          <w:bar w:val="none" w:sz="0" w:color="auto"/>
        </w:pBdr>
        <w:rPr>
          <w:rFonts w:cs="Arial"/>
          <w:b/>
          <w:bCs/>
          <w:color w:val="auto"/>
        </w:rPr>
      </w:pPr>
      <w:r>
        <w:rPr>
          <w:rFonts w:cs="Arial"/>
          <w:b/>
          <w:bCs/>
          <w:color w:val="auto"/>
        </w:rPr>
        <w:br w:type="page"/>
      </w:r>
    </w:p>
    <w:p w14:paraId="13EAA543" w14:textId="63D65BAD" w:rsidR="00154DB5" w:rsidRPr="00C2021A" w:rsidRDefault="00154DB5" w:rsidP="00041DBE">
      <w:pPr>
        <w:spacing w:after="0" w:line="240" w:lineRule="auto"/>
        <w:jc w:val="both"/>
        <w:rPr>
          <w:rFonts w:cs="Arial"/>
          <w:b/>
          <w:bCs/>
          <w:color w:val="auto"/>
        </w:rPr>
      </w:pPr>
      <w:r w:rsidRPr="00C2021A">
        <w:rPr>
          <w:rFonts w:cs="Arial"/>
          <w:b/>
          <w:bCs/>
          <w:color w:val="auto"/>
        </w:rPr>
        <w:lastRenderedPageBreak/>
        <w:t>Conflict of interests</w:t>
      </w:r>
    </w:p>
    <w:p w14:paraId="2BD2CA51" w14:textId="5679C5E4" w:rsidR="00154DB5" w:rsidRPr="00C2021A" w:rsidRDefault="00154DB5" w:rsidP="006523DB">
      <w:pPr>
        <w:spacing w:after="0" w:line="240" w:lineRule="auto"/>
        <w:jc w:val="both"/>
        <w:rPr>
          <w:rFonts w:cs="Arial"/>
          <w:color w:val="auto"/>
        </w:rPr>
      </w:pPr>
      <w:r w:rsidRPr="00C2021A">
        <w:rPr>
          <w:rFonts w:cs="Arial"/>
          <w:color w:val="auto"/>
        </w:rPr>
        <w:t>We confirm that there are no known conflicts of interest associated with this publication</w:t>
      </w:r>
      <w:r w:rsidR="00570126">
        <w:rPr>
          <w:rFonts w:cs="Arial"/>
          <w:color w:val="auto"/>
        </w:rPr>
        <w:t>. T</w:t>
      </w:r>
      <w:r w:rsidRPr="00C2021A">
        <w:rPr>
          <w:rFonts w:cs="Arial"/>
          <w:color w:val="auto"/>
        </w:rPr>
        <w:t>here has been no significant financial support for this work that could have influenced its outcome.</w:t>
      </w:r>
    </w:p>
    <w:p w14:paraId="50A855A3" w14:textId="77777777" w:rsidR="00154DB5" w:rsidRPr="00C2021A" w:rsidRDefault="00154DB5" w:rsidP="00041DBE">
      <w:pPr>
        <w:spacing w:after="0" w:line="240" w:lineRule="auto"/>
        <w:jc w:val="both"/>
        <w:rPr>
          <w:rFonts w:cs="Arial"/>
          <w:color w:val="auto"/>
        </w:rPr>
      </w:pPr>
    </w:p>
    <w:p w14:paraId="64EA25FE" w14:textId="2D7DE3E3" w:rsidR="00154DB5" w:rsidRPr="00C2021A" w:rsidRDefault="00154DB5" w:rsidP="006523DB">
      <w:pPr>
        <w:spacing w:after="0" w:line="240" w:lineRule="auto"/>
        <w:jc w:val="both"/>
        <w:rPr>
          <w:rFonts w:cs="Arial"/>
          <w:b/>
          <w:bCs/>
          <w:color w:val="auto"/>
        </w:rPr>
      </w:pPr>
      <w:r w:rsidRPr="00C2021A">
        <w:rPr>
          <w:rFonts w:cs="Arial"/>
          <w:b/>
          <w:bCs/>
          <w:color w:val="auto"/>
        </w:rPr>
        <w:t xml:space="preserve">Acknowledgments </w:t>
      </w:r>
    </w:p>
    <w:p w14:paraId="05C06648" w14:textId="0E6D5EE1" w:rsidR="00154DB5" w:rsidRPr="00C2021A" w:rsidRDefault="00154DB5" w:rsidP="006523DB">
      <w:pPr>
        <w:spacing w:after="0" w:line="240" w:lineRule="auto"/>
        <w:jc w:val="both"/>
        <w:rPr>
          <w:rFonts w:cs="Arial"/>
          <w:color w:val="auto"/>
        </w:rPr>
      </w:pPr>
      <w:r w:rsidRPr="00C2021A">
        <w:rPr>
          <w:rFonts w:cs="Arial"/>
          <w:color w:val="auto"/>
        </w:rPr>
        <w:t xml:space="preserve">W.-H.Y. acknowledges the support of the Alzheimer’s Association (2019-AARGD-NTF-643460) and the National Institutes of Health (NIH R21AG064309). The content is solely the responsibility of the authors and does not necessarily represent the official views of the NIH. </w:t>
      </w:r>
      <w:r w:rsidR="00336954" w:rsidRPr="00C2021A">
        <w:rPr>
          <w:rFonts w:cs="Arial"/>
          <w:color w:val="auto"/>
        </w:rPr>
        <w:t xml:space="preserve">This work was </w:t>
      </w:r>
      <w:r w:rsidR="00812FD3" w:rsidRPr="00C2021A">
        <w:rPr>
          <w:rFonts w:cs="Arial"/>
          <w:color w:val="auto"/>
        </w:rPr>
        <w:t xml:space="preserve">supported by the </w:t>
      </w:r>
      <w:r w:rsidR="00C2021A">
        <w:rPr>
          <w:rFonts w:cs="Arial"/>
          <w:color w:val="auto"/>
        </w:rPr>
        <w:t xml:space="preserve">Center </w:t>
      </w:r>
      <w:r w:rsidR="00812FD3" w:rsidRPr="00C2021A">
        <w:rPr>
          <w:rFonts w:cs="Arial"/>
          <w:color w:val="auto"/>
        </w:rPr>
        <w:t xml:space="preserve">Seed Grant from the </w:t>
      </w:r>
      <w:r w:rsidR="00336954" w:rsidRPr="00C2021A">
        <w:rPr>
          <w:rFonts w:cs="Arial"/>
          <w:color w:val="auto"/>
        </w:rPr>
        <w:t>Georgia Tech Institute for Electronics and Nanotechnology, a member of the National Nanotechnology Coordinated Infrastructure (NNCI), which is supported by the National Science Foundation (ECCS-2025462).</w:t>
      </w:r>
    </w:p>
    <w:p w14:paraId="412085F0" w14:textId="77777777" w:rsidR="00154DB5" w:rsidRPr="00C2021A" w:rsidRDefault="00154DB5" w:rsidP="00041DBE">
      <w:pPr>
        <w:spacing w:after="0" w:line="240" w:lineRule="auto"/>
        <w:jc w:val="both"/>
        <w:rPr>
          <w:rFonts w:cs="Arial"/>
          <w:color w:val="auto"/>
        </w:rPr>
      </w:pPr>
    </w:p>
    <w:p w14:paraId="4A9154AD" w14:textId="77777777" w:rsidR="00336954" w:rsidRPr="00C2021A" w:rsidRDefault="00336954">
      <w:pPr>
        <w:pBdr>
          <w:top w:val="none" w:sz="0" w:space="0" w:color="auto"/>
          <w:left w:val="none" w:sz="0" w:space="0" w:color="auto"/>
          <w:bottom w:val="none" w:sz="0" w:space="0" w:color="auto"/>
          <w:right w:val="none" w:sz="0" w:space="0" w:color="auto"/>
          <w:between w:val="none" w:sz="0" w:space="0" w:color="auto"/>
          <w:bar w:val="none" w:sz="0" w:color="auto"/>
        </w:pBdr>
        <w:rPr>
          <w:rFonts w:cs="Arial"/>
          <w:b/>
          <w:bCs/>
          <w:color w:val="auto"/>
        </w:rPr>
      </w:pPr>
      <w:r w:rsidRPr="00C2021A">
        <w:rPr>
          <w:rFonts w:cs="Arial"/>
          <w:b/>
          <w:bCs/>
          <w:color w:val="auto"/>
        </w:rPr>
        <w:br w:type="page"/>
      </w:r>
    </w:p>
    <w:p w14:paraId="17BF215B" w14:textId="760F7891" w:rsidR="00154DB5" w:rsidRPr="00C2021A" w:rsidRDefault="00154DB5" w:rsidP="00CA62CA">
      <w:pPr>
        <w:spacing w:after="0" w:line="240" w:lineRule="auto"/>
        <w:jc w:val="both"/>
        <w:rPr>
          <w:rFonts w:cs="Arial"/>
          <w:b/>
          <w:bCs/>
          <w:color w:val="auto"/>
        </w:rPr>
      </w:pPr>
      <w:r w:rsidRPr="00C2021A">
        <w:rPr>
          <w:rFonts w:cs="Arial"/>
          <w:b/>
          <w:bCs/>
          <w:color w:val="auto"/>
        </w:rPr>
        <w:lastRenderedPageBreak/>
        <w:t>References</w:t>
      </w:r>
    </w:p>
    <w:p w14:paraId="1A6F5962" w14:textId="77777777" w:rsidR="00154DB5" w:rsidRPr="00C2021A" w:rsidRDefault="00154DB5" w:rsidP="00F44783">
      <w:pPr>
        <w:pStyle w:val="EndNoteBibliography"/>
        <w:spacing w:after="0"/>
        <w:rPr>
          <w:noProof/>
          <w:color w:val="auto"/>
        </w:rPr>
      </w:pPr>
      <w:r w:rsidRPr="00C2021A">
        <w:rPr>
          <w:noProof/>
          <w:color w:val="auto"/>
        </w:rPr>
        <w:t>Aardal, E., Holm, A.C., 1995. Eur. J. Clin. Chem. Clin. Biochem. 33(12), 927-932.</w:t>
      </w:r>
    </w:p>
    <w:p w14:paraId="3CC4B65B" w14:textId="77777777" w:rsidR="00154DB5" w:rsidRPr="00C2021A" w:rsidRDefault="00154DB5" w:rsidP="00F44783">
      <w:pPr>
        <w:pStyle w:val="EndNoteBibliography"/>
        <w:spacing w:after="0"/>
        <w:rPr>
          <w:noProof/>
          <w:color w:val="auto"/>
        </w:rPr>
      </w:pPr>
      <w:r w:rsidRPr="00C2021A">
        <w:rPr>
          <w:noProof/>
          <w:color w:val="auto"/>
        </w:rPr>
        <w:t>Adumitrăchioaie, A., Tertiș, M., Suciu, M., Graur, F., Cristea, C., 2019. Electrochim. Acta 311, 50-61.</w:t>
      </w:r>
    </w:p>
    <w:p w14:paraId="61948BE9" w14:textId="77777777" w:rsidR="00154DB5" w:rsidRPr="00C2021A" w:rsidRDefault="00154DB5" w:rsidP="00F44783">
      <w:pPr>
        <w:pStyle w:val="EndNoteBibliography"/>
        <w:spacing w:after="0"/>
        <w:rPr>
          <w:noProof/>
          <w:color w:val="auto"/>
        </w:rPr>
      </w:pPr>
      <w:r w:rsidRPr="00C2021A">
        <w:rPr>
          <w:noProof/>
          <w:color w:val="auto"/>
        </w:rPr>
        <w:t>Akhavan, O., Ghaderi, E., 2010. ACS Nano 4(10), 5731-5736.</w:t>
      </w:r>
    </w:p>
    <w:p w14:paraId="1AC85518" w14:textId="77777777" w:rsidR="00154DB5" w:rsidRPr="00C2021A" w:rsidRDefault="00154DB5" w:rsidP="00F44783">
      <w:pPr>
        <w:pStyle w:val="EndNoteBibliography"/>
        <w:spacing w:after="0"/>
        <w:rPr>
          <w:noProof/>
          <w:color w:val="auto"/>
        </w:rPr>
      </w:pPr>
      <w:r w:rsidRPr="00C2021A">
        <w:rPr>
          <w:noProof/>
          <w:color w:val="auto"/>
        </w:rPr>
        <w:t>Albishri, H.M., Abd El-Hady, D., 2019. Talanta 200, 107-114.</w:t>
      </w:r>
    </w:p>
    <w:p w14:paraId="12753F55" w14:textId="77777777" w:rsidR="00154DB5" w:rsidRPr="00C2021A" w:rsidRDefault="00154DB5" w:rsidP="00F44783">
      <w:pPr>
        <w:pStyle w:val="EndNoteBibliography"/>
        <w:spacing w:after="0"/>
        <w:rPr>
          <w:noProof/>
          <w:color w:val="auto"/>
        </w:rPr>
      </w:pPr>
      <w:r w:rsidRPr="00C2021A">
        <w:rPr>
          <w:noProof/>
          <w:color w:val="auto"/>
        </w:rPr>
        <w:t>Arakawa, T., Kuroki, Y., Nitta, H., Chouhan, P., Toma, K., Sawada, S.-i., Takeuchi, S., Sekita, T., Akiyoshi, K., Minakuchi, S., 2016. Biosens. Bioelectron. 84, 106-111.</w:t>
      </w:r>
    </w:p>
    <w:p w14:paraId="370B498A" w14:textId="77777777" w:rsidR="00154DB5" w:rsidRPr="00C2021A" w:rsidRDefault="00154DB5" w:rsidP="00F44783">
      <w:pPr>
        <w:pStyle w:val="EndNoteBibliography"/>
        <w:spacing w:after="0"/>
        <w:rPr>
          <w:noProof/>
          <w:color w:val="auto"/>
        </w:rPr>
      </w:pPr>
      <w:r w:rsidRPr="00C2021A">
        <w:rPr>
          <w:noProof/>
          <w:color w:val="auto"/>
        </w:rPr>
        <w:t>Arellano-Garcia, M., Hu, S., Wang, J., Henson, B., Zhou, H., Chia, D., Wong, D., 2008. Oral Dis. 14(8), 705-712.</w:t>
      </w:r>
    </w:p>
    <w:p w14:paraId="47110CAC" w14:textId="77777777" w:rsidR="00154DB5" w:rsidRPr="00C2021A" w:rsidRDefault="00154DB5" w:rsidP="00F44783">
      <w:pPr>
        <w:pStyle w:val="EndNoteBibliography"/>
        <w:spacing w:after="0"/>
        <w:rPr>
          <w:noProof/>
          <w:color w:val="auto"/>
        </w:rPr>
      </w:pPr>
      <w:r w:rsidRPr="00C2021A">
        <w:rPr>
          <w:noProof/>
          <w:color w:val="auto"/>
        </w:rPr>
        <w:t>Avouris, P., 2010. Nano Lett. 10(11), 4285-4294.</w:t>
      </w:r>
    </w:p>
    <w:p w14:paraId="741FFEA5" w14:textId="77777777" w:rsidR="00154DB5" w:rsidRPr="00C2021A" w:rsidRDefault="00154DB5" w:rsidP="00F44783">
      <w:pPr>
        <w:pStyle w:val="EndNoteBibliography"/>
        <w:spacing w:after="0"/>
        <w:rPr>
          <w:noProof/>
          <w:color w:val="auto"/>
        </w:rPr>
      </w:pPr>
      <w:r w:rsidRPr="00C2021A">
        <w:rPr>
          <w:noProof/>
          <w:color w:val="auto"/>
        </w:rPr>
        <w:t>Balandin, A.A., Ghosh, S., Bao, W., Calizo, I., Teweldebrhan, D., Miao, F., Lau, C.N., 2008. Nano Lett. 8(3), 902-907.</w:t>
      </w:r>
    </w:p>
    <w:p w14:paraId="0A78E9D2" w14:textId="77777777" w:rsidR="00154DB5" w:rsidRPr="00C2021A" w:rsidRDefault="00154DB5" w:rsidP="00F44783">
      <w:pPr>
        <w:pStyle w:val="EndNoteBibliography"/>
        <w:spacing w:after="0"/>
        <w:rPr>
          <w:noProof/>
          <w:color w:val="auto"/>
        </w:rPr>
      </w:pPr>
      <w:r w:rsidRPr="00C2021A">
        <w:rPr>
          <w:noProof/>
          <w:color w:val="auto"/>
        </w:rPr>
        <w:t>Bandodkar, A.J., Jeerapan, I., Wang, J., 2016. ACS Sens. 1(5), 464-482.</w:t>
      </w:r>
    </w:p>
    <w:p w14:paraId="5BAEC3BA" w14:textId="77777777" w:rsidR="00154DB5" w:rsidRPr="00C2021A" w:rsidRDefault="00154DB5" w:rsidP="00F44783">
      <w:pPr>
        <w:pStyle w:val="EndNoteBibliography"/>
        <w:spacing w:after="0"/>
        <w:rPr>
          <w:noProof/>
          <w:color w:val="auto"/>
        </w:rPr>
      </w:pPr>
      <w:r w:rsidRPr="00C2021A">
        <w:rPr>
          <w:noProof/>
          <w:color w:val="auto"/>
        </w:rPr>
        <w:t>Barchas, J., 2012. Serotonin and Behavior, Elsevier.</w:t>
      </w:r>
    </w:p>
    <w:p w14:paraId="5A979760" w14:textId="77777777" w:rsidR="00154DB5" w:rsidRPr="00C2021A" w:rsidRDefault="00154DB5" w:rsidP="00F44783">
      <w:pPr>
        <w:pStyle w:val="EndNoteBibliography"/>
        <w:spacing w:after="0"/>
        <w:rPr>
          <w:noProof/>
          <w:color w:val="auto"/>
        </w:rPr>
      </w:pPr>
      <w:r w:rsidRPr="00C2021A">
        <w:rPr>
          <w:noProof/>
          <w:color w:val="auto"/>
        </w:rPr>
        <w:t>Benchirouf, A., Müller, C., Kanoun, O., 2016. Nanoscale Res. Lett. 11(1), 4.</w:t>
      </w:r>
    </w:p>
    <w:p w14:paraId="049731CB" w14:textId="77777777" w:rsidR="00154DB5" w:rsidRPr="00C2021A" w:rsidRDefault="00154DB5" w:rsidP="00F44783">
      <w:pPr>
        <w:pStyle w:val="EndNoteBibliography"/>
        <w:spacing w:after="0"/>
        <w:rPr>
          <w:noProof/>
          <w:color w:val="auto"/>
        </w:rPr>
      </w:pPr>
      <w:r w:rsidRPr="00C2021A">
        <w:rPr>
          <w:noProof/>
          <w:color w:val="auto"/>
        </w:rPr>
        <w:t>Blier, P., El Mansari, M., 2013. Philos. Trans. R. Soc. B 368(1615), 20120536.</w:t>
      </w:r>
    </w:p>
    <w:p w14:paraId="375DEC26" w14:textId="77777777" w:rsidR="00154DB5" w:rsidRPr="00C2021A" w:rsidRDefault="00154DB5" w:rsidP="00F44783">
      <w:pPr>
        <w:pStyle w:val="EndNoteBibliography"/>
        <w:spacing w:after="0"/>
        <w:rPr>
          <w:noProof/>
          <w:color w:val="auto"/>
        </w:rPr>
      </w:pPr>
      <w:r w:rsidRPr="00C2021A">
        <w:rPr>
          <w:noProof/>
          <w:color w:val="auto"/>
        </w:rPr>
        <w:t>Bolotin, K.I., Sikes, K.J., Jiang, Z., Klima, M., Fudenberg, G., Hone, J., Kim, P., Stormer, H.L., 2008. Solid State Commun. 146(9), 351-355.</w:t>
      </w:r>
    </w:p>
    <w:p w14:paraId="29393883" w14:textId="77777777" w:rsidR="00154DB5" w:rsidRPr="00C2021A" w:rsidRDefault="00154DB5" w:rsidP="00F44783">
      <w:pPr>
        <w:pStyle w:val="EndNoteBibliography"/>
        <w:spacing w:after="0"/>
        <w:rPr>
          <w:noProof/>
          <w:color w:val="auto"/>
        </w:rPr>
      </w:pPr>
      <w:r w:rsidRPr="00C2021A">
        <w:rPr>
          <w:noProof/>
          <w:color w:val="auto"/>
        </w:rPr>
        <w:t>Bonaccorso, F., Lombardo, A., Hasan, T., Sun, Z., Colombo, L., Ferrari, A.C., 2012. Mater. Today 15(12), 564-589.</w:t>
      </w:r>
    </w:p>
    <w:p w14:paraId="1339B0BD" w14:textId="77777777" w:rsidR="00154DB5" w:rsidRPr="00C2021A" w:rsidRDefault="00154DB5" w:rsidP="00F44783">
      <w:pPr>
        <w:pStyle w:val="EndNoteBibliography"/>
        <w:spacing w:after="0"/>
        <w:rPr>
          <w:noProof/>
          <w:color w:val="auto"/>
        </w:rPr>
      </w:pPr>
      <w:r w:rsidRPr="00C2021A">
        <w:rPr>
          <w:noProof/>
          <w:color w:val="auto"/>
        </w:rPr>
        <w:t>Botta, A., de Donato, W., Persico, V., Pescapé, A., 2016. Future Gener. Comput. Syst. 56, 684-700.</w:t>
      </w:r>
    </w:p>
    <w:p w14:paraId="273E1083" w14:textId="77777777" w:rsidR="00154DB5" w:rsidRPr="00C2021A" w:rsidRDefault="00154DB5" w:rsidP="00F44783">
      <w:pPr>
        <w:pStyle w:val="EndNoteBibliography"/>
        <w:spacing w:after="0"/>
        <w:rPr>
          <w:noProof/>
          <w:color w:val="auto"/>
        </w:rPr>
      </w:pPr>
      <w:r w:rsidRPr="00C2021A">
        <w:rPr>
          <w:noProof/>
          <w:color w:val="auto"/>
        </w:rPr>
        <w:t>Breslin, P.A., 2013. Curr. Biol. 23(9), R409-R418.</w:t>
      </w:r>
    </w:p>
    <w:p w14:paraId="130C40DE" w14:textId="77777777" w:rsidR="00154DB5" w:rsidRPr="00C2021A" w:rsidRDefault="00154DB5" w:rsidP="00F44783">
      <w:pPr>
        <w:pStyle w:val="EndNoteBibliography"/>
        <w:spacing w:after="0"/>
        <w:rPr>
          <w:noProof/>
          <w:color w:val="auto"/>
        </w:rPr>
      </w:pPr>
      <w:r w:rsidRPr="00C2021A">
        <w:rPr>
          <w:noProof/>
          <w:color w:val="auto"/>
        </w:rPr>
        <w:t>Bryant, C., Fitzgerald, K.A., 2009. Trends Cell Biol. 19(9), 455-464.</w:t>
      </w:r>
    </w:p>
    <w:p w14:paraId="58213EDE" w14:textId="77777777" w:rsidR="00154DB5" w:rsidRPr="00C2021A" w:rsidRDefault="00154DB5" w:rsidP="00F44783">
      <w:pPr>
        <w:pStyle w:val="EndNoteBibliography"/>
        <w:spacing w:after="0"/>
        <w:rPr>
          <w:noProof/>
          <w:color w:val="auto"/>
        </w:rPr>
      </w:pPr>
      <w:r w:rsidRPr="00C2021A">
        <w:rPr>
          <w:noProof/>
          <w:color w:val="auto"/>
        </w:rPr>
        <w:t>Burnett, T.L., Yakimova, R., Kazakova, O., 2012. J. Appl. Phys. 112(5), 054308.</w:t>
      </w:r>
    </w:p>
    <w:p w14:paraId="0E75A9A9" w14:textId="77777777" w:rsidR="00154DB5" w:rsidRPr="00C2021A" w:rsidRDefault="00154DB5" w:rsidP="00F44783">
      <w:pPr>
        <w:pStyle w:val="EndNoteBibliography"/>
        <w:spacing w:after="0"/>
        <w:rPr>
          <w:noProof/>
          <w:color w:val="auto"/>
        </w:rPr>
      </w:pPr>
      <w:r w:rsidRPr="00C2021A">
        <w:rPr>
          <w:noProof/>
          <w:color w:val="auto"/>
        </w:rPr>
        <w:t>Camara, N., Rius, G., Huntzinger, J.-R., Tiberj, A., Mestres, N., Godignon, P., Camassel, J., 2008. Appl. Phys. Lett. 93(12), 123503.</w:t>
      </w:r>
    </w:p>
    <w:p w14:paraId="52FA7828" w14:textId="77777777" w:rsidR="00154DB5" w:rsidRPr="00C2021A" w:rsidRDefault="00154DB5" w:rsidP="00F44783">
      <w:pPr>
        <w:pStyle w:val="EndNoteBibliography"/>
        <w:spacing w:after="0"/>
        <w:rPr>
          <w:noProof/>
          <w:color w:val="auto"/>
        </w:rPr>
      </w:pPr>
      <w:r w:rsidRPr="00C2021A">
        <w:rPr>
          <w:noProof/>
          <w:color w:val="auto"/>
        </w:rPr>
        <w:t>Cammann, K., 1977. Fresenius Z. Anal. Chem. 287(1), 1-9.</w:t>
      </w:r>
    </w:p>
    <w:p w14:paraId="6DE08679" w14:textId="77777777" w:rsidR="00154DB5" w:rsidRPr="00C2021A" w:rsidRDefault="00154DB5" w:rsidP="00F44783">
      <w:pPr>
        <w:pStyle w:val="EndNoteBibliography"/>
        <w:spacing w:after="0"/>
        <w:rPr>
          <w:noProof/>
          <w:color w:val="auto"/>
        </w:rPr>
      </w:pPr>
      <w:r w:rsidRPr="00C2021A">
        <w:rPr>
          <w:noProof/>
          <w:color w:val="auto"/>
        </w:rPr>
        <w:t>Campuzano, S., Yánez-Sedeño, P., Pingarrón, J.M., 2017. Trends Anal. Chem. 86, 14-24.</w:t>
      </w:r>
    </w:p>
    <w:p w14:paraId="5993B808" w14:textId="77777777" w:rsidR="00154DB5" w:rsidRPr="00C2021A" w:rsidRDefault="00154DB5" w:rsidP="00F44783">
      <w:pPr>
        <w:pStyle w:val="EndNoteBibliography"/>
        <w:spacing w:after="0"/>
        <w:rPr>
          <w:noProof/>
          <w:color w:val="auto"/>
        </w:rPr>
      </w:pPr>
      <w:r w:rsidRPr="00C2021A">
        <w:rPr>
          <w:noProof/>
          <w:color w:val="auto"/>
        </w:rPr>
        <w:t>Cardoso, R.M., Silva, P.R., Lima, A.P., Rocha, D.P., Oliveira, T.C., do Prado, T.M., Fava, E.L., Fatibello-Filho, O., Richter, E.M., Muñoz, R.A., 2020. Sens. Actuators B Chem. 307, 127621.</w:t>
      </w:r>
    </w:p>
    <w:p w14:paraId="1307F04A" w14:textId="77777777" w:rsidR="00154DB5" w:rsidRPr="00C2021A" w:rsidRDefault="00154DB5" w:rsidP="00F44783">
      <w:pPr>
        <w:pStyle w:val="EndNoteBibliography"/>
        <w:spacing w:after="0"/>
        <w:rPr>
          <w:noProof/>
          <w:color w:val="auto"/>
        </w:rPr>
      </w:pPr>
      <w:r w:rsidRPr="00C2021A">
        <w:rPr>
          <w:noProof/>
          <w:color w:val="auto"/>
        </w:rPr>
        <w:t>Castro Neto, A.H., Guinea, F., Peres, N.M.R., Novoselov, K.S., Geim, A.K., 2009. Rev. Mod. Phys. 81(1), 109-162.</w:t>
      </w:r>
    </w:p>
    <w:p w14:paraId="3299F125" w14:textId="77777777" w:rsidR="00154DB5" w:rsidRPr="00C2021A" w:rsidRDefault="00154DB5" w:rsidP="00F44783">
      <w:pPr>
        <w:pStyle w:val="EndNoteBibliography"/>
        <w:spacing w:after="0"/>
        <w:rPr>
          <w:noProof/>
          <w:color w:val="auto"/>
        </w:rPr>
      </w:pPr>
      <w:r w:rsidRPr="00C2021A">
        <w:rPr>
          <w:noProof/>
          <w:color w:val="auto"/>
        </w:rPr>
        <w:t>Catalona, W.J., Smith, D.S., Ratliff, T.L., Dodds, K.M., Coplen, D.E., Yuan, J.J.J., Petros, J.A., Andriole, G.L., 1991. N. Engl. J. Med. 324(17), 1156-1161.</w:t>
      </w:r>
    </w:p>
    <w:p w14:paraId="56C4DD00" w14:textId="77777777" w:rsidR="00154DB5" w:rsidRPr="00C2021A" w:rsidRDefault="00154DB5" w:rsidP="00F44783">
      <w:pPr>
        <w:pStyle w:val="EndNoteBibliography"/>
        <w:spacing w:after="0"/>
        <w:rPr>
          <w:noProof/>
          <w:color w:val="auto"/>
        </w:rPr>
      </w:pPr>
      <w:r w:rsidRPr="00C2021A">
        <w:rPr>
          <w:noProof/>
          <w:color w:val="auto"/>
        </w:rPr>
        <w:t>Celecová, V., Kamodyová, N., Tóthová, Ľ., Kúdela, M., Celec, P., 2013. J. Oral Pathol. Med. 42(3), 263-266.</w:t>
      </w:r>
    </w:p>
    <w:p w14:paraId="595F2A8E" w14:textId="77777777" w:rsidR="00154DB5" w:rsidRPr="00C2021A" w:rsidRDefault="00154DB5" w:rsidP="00F44783">
      <w:pPr>
        <w:pStyle w:val="EndNoteBibliography"/>
        <w:spacing w:after="0"/>
        <w:rPr>
          <w:noProof/>
          <w:color w:val="auto"/>
        </w:rPr>
      </w:pPr>
      <w:r w:rsidRPr="00C2021A">
        <w:rPr>
          <w:noProof/>
          <w:color w:val="auto"/>
        </w:rPr>
        <w:t>Cernat, A., Tertis, M., Gandouzi, I., Bakhrouf, A., Suciu, M., Cristea, C., 2018. Electrochem. Commun. 88, 5-9.</w:t>
      </w:r>
    </w:p>
    <w:p w14:paraId="32F07675" w14:textId="77777777" w:rsidR="00154DB5" w:rsidRPr="00C2021A" w:rsidRDefault="00154DB5" w:rsidP="00F44783">
      <w:pPr>
        <w:pStyle w:val="EndNoteBibliography"/>
        <w:spacing w:after="0"/>
        <w:rPr>
          <w:noProof/>
          <w:color w:val="auto"/>
        </w:rPr>
      </w:pPr>
      <w:r w:rsidRPr="00C2021A">
        <w:rPr>
          <w:noProof/>
          <w:color w:val="auto"/>
        </w:rPr>
        <w:t>Chauhan, N., Maekawa, T., Kumar, D.N.S., 2017. J. Mater. Res. 32(15), 2860-2882.</w:t>
      </w:r>
    </w:p>
    <w:p w14:paraId="4DFD3D6C" w14:textId="77777777" w:rsidR="00154DB5" w:rsidRPr="00C2021A" w:rsidRDefault="00154DB5" w:rsidP="00F44783">
      <w:pPr>
        <w:pStyle w:val="EndNoteBibliography"/>
        <w:spacing w:after="0"/>
        <w:rPr>
          <w:noProof/>
          <w:color w:val="auto"/>
        </w:rPr>
      </w:pPr>
      <w:r w:rsidRPr="00C2021A">
        <w:rPr>
          <w:noProof/>
          <w:color w:val="auto"/>
        </w:rPr>
        <w:t>Chekin, F., Bagga, K., Subramanian, P., Jijie, R., Singh, S.K., Kurungot, S., Boukherroub, R., Szunerits, S., 2018a. Sens. Actuators B Chem. 262, 991-1000.</w:t>
      </w:r>
    </w:p>
    <w:p w14:paraId="072A26B0" w14:textId="77777777" w:rsidR="00154DB5" w:rsidRPr="00C2021A" w:rsidRDefault="00154DB5" w:rsidP="00F44783">
      <w:pPr>
        <w:pStyle w:val="EndNoteBibliography"/>
        <w:spacing w:after="0"/>
        <w:rPr>
          <w:noProof/>
          <w:color w:val="auto"/>
        </w:rPr>
      </w:pPr>
      <w:r w:rsidRPr="00C2021A">
        <w:rPr>
          <w:noProof/>
          <w:color w:val="auto"/>
        </w:rPr>
        <w:t>Chekin, F., Vasilescu, A., Jijie, R., Singh, S.K., Kurungot, S., Iancu, M., Badea, G., Boukherroub, R., Szunerits, S., 2018b. Sens. Actuators B Chem. 262, 180-187.</w:t>
      </w:r>
    </w:p>
    <w:p w14:paraId="771AE83B" w14:textId="77777777" w:rsidR="00154DB5" w:rsidRPr="00C2021A" w:rsidRDefault="00154DB5" w:rsidP="00F44783">
      <w:pPr>
        <w:pStyle w:val="EndNoteBibliography"/>
        <w:spacing w:after="0"/>
        <w:rPr>
          <w:noProof/>
          <w:color w:val="auto"/>
        </w:rPr>
      </w:pPr>
      <w:r w:rsidRPr="00C2021A">
        <w:rPr>
          <w:noProof/>
          <w:color w:val="auto"/>
        </w:rPr>
        <w:t>Choromańska, M., Klimiuk, A., Kostecka-Sochoń, P., Wilczyńska, K., Kwiatkowski, M., Okuniewska, N., Waszkiewicz, N., Zalewska, A., Maciejczyk, M., 2017. Int. J. Mol. Sci. 18(10), 2205.</w:t>
      </w:r>
    </w:p>
    <w:p w14:paraId="5E4C0569" w14:textId="77777777" w:rsidR="00154DB5" w:rsidRPr="00C2021A" w:rsidRDefault="00154DB5" w:rsidP="00F44783">
      <w:pPr>
        <w:pStyle w:val="EndNoteBibliography"/>
        <w:spacing w:after="0"/>
        <w:rPr>
          <w:noProof/>
          <w:color w:val="auto"/>
        </w:rPr>
      </w:pPr>
      <w:r w:rsidRPr="00C2021A">
        <w:rPr>
          <w:noProof/>
          <w:color w:val="auto"/>
        </w:rPr>
        <w:t>Choudhary, M., Kumar, V., Singh, A., Singh, M.P., Kaur, S., Reddy, G., Pasricha, R., Singh, S., Arora, K., 2013. J. Biosens. Bioelectron. 4(4), 1-9.</w:t>
      </w:r>
    </w:p>
    <w:p w14:paraId="25786F3A" w14:textId="77777777" w:rsidR="00154DB5" w:rsidRPr="00C2021A" w:rsidRDefault="00154DB5" w:rsidP="00F44783">
      <w:pPr>
        <w:pStyle w:val="EndNoteBibliography"/>
        <w:spacing w:after="0"/>
        <w:rPr>
          <w:noProof/>
          <w:color w:val="auto"/>
        </w:rPr>
      </w:pPr>
      <w:r w:rsidRPr="00C2021A">
        <w:rPr>
          <w:noProof/>
          <w:color w:val="auto"/>
        </w:rPr>
        <w:t>Chua, C.K., Pumera, M., 2013. Chem. Soc. Rev. 42(8), 3222-3233.</w:t>
      </w:r>
    </w:p>
    <w:p w14:paraId="184FD4FF" w14:textId="77777777" w:rsidR="00154DB5" w:rsidRPr="00C2021A" w:rsidRDefault="00154DB5" w:rsidP="00F44783">
      <w:pPr>
        <w:pStyle w:val="EndNoteBibliography"/>
        <w:spacing w:after="0"/>
        <w:rPr>
          <w:noProof/>
          <w:color w:val="auto"/>
        </w:rPr>
      </w:pPr>
      <w:r w:rsidRPr="00C2021A">
        <w:rPr>
          <w:noProof/>
          <w:color w:val="auto"/>
        </w:rPr>
        <w:t>Ciui, B., Tertis, M., Feurdean, C.N., Ilea, A., Sandulescu, R., Wang, J., Cristea, C., 2019. Sens. Actuators B Chem. 281, 399-407.</w:t>
      </w:r>
    </w:p>
    <w:p w14:paraId="49AAF4B5" w14:textId="77777777" w:rsidR="00154DB5" w:rsidRPr="00C2021A" w:rsidRDefault="00154DB5" w:rsidP="00F44783">
      <w:pPr>
        <w:pStyle w:val="EndNoteBibliography"/>
        <w:spacing w:after="0"/>
        <w:rPr>
          <w:noProof/>
          <w:color w:val="auto"/>
        </w:rPr>
      </w:pPr>
      <w:r w:rsidRPr="00C2021A">
        <w:rPr>
          <w:noProof/>
          <w:color w:val="auto"/>
        </w:rPr>
        <w:t>Corstjens, P.L.A.M., Abrams, W.R., Malamud, D., 2012. J. Am. Dent. Assoc. 143(10 Suppl), 12S-18S.</w:t>
      </w:r>
    </w:p>
    <w:p w14:paraId="3E7A94D4" w14:textId="77777777" w:rsidR="00154DB5" w:rsidRPr="00C2021A" w:rsidRDefault="00154DB5" w:rsidP="00F44783">
      <w:pPr>
        <w:pStyle w:val="EndNoteBibliography"/>
        <w:spacing w:after="0"/>
        <w:rPr>
          <w:noProof/>
          <w:color w:val="auto"/>
        </w:rPr>
      </w:pPr>
      <w:r w:rsidRPr="00C2021A">
        <w:rPr>
          <w:noProof/>
          <w:color w:val="auto"/>
        </w:rPr>
        <w:t>Dai, L., Wang, B., Yuan, Y., Han, S., C, I., Wang, Z., 2015. IEEE Commun. Mag. 53(9), 74-81.</w:t>
      </w:r>
    </w:p>
    <w:p w14:paraId="7FAC5105" w14:textId="77777777" w:rsidR="00154DB5" w:rsidRPr="00C2021A" w:rsidRDefault="00154DB5" w:rsidP="00F44783">
      <w:pPr>
        <w:pStyle w:val="EndNoteBibliography"/>
        <w:spacing w:after="0"/>
        <w:rPr>
          <w:noProof/>
          <w:color w:val="auto"/>
        </w:rPr>
      </w:pPr>
      <w:r w:rsidRPr="00C2021A">
        <w:rPr>
          <w:noProof/>
          <w:color w:val="auto"/>
        </w:rPr>
        <w:t>De Boever, J., Kohen, F., Bouve, J., Leyseele, D., Vandekerckhove, D., 1990. Clin. Chem. 36(12), 2036-2041.</w:t>
      </w:r>
    </w:p>
    <w:p w14:paraId="10AD1C03" w14:textId="77777777" w:rsidR="00154DB5" w:rsidRPr="00C2021A" w:rsidRDefault="00154DB5" w:rsidP="00F44783">
      <w:pPr>
        <w:pStyle w:val="EndNoteBibliography"/>
        <w:spacing w:after="0"/>
        <w:rPr>
          <w:noProof/>
          <w:color w:val="auto"/>
        </w:rPr>
      </w:pPr>
      <w:r w:rsidRPr="00C2021A">
        <w:rPr>
          <w:noProof/>
          <w:color w:val="auto"/>
        </w:rPr>
        <w:t>Delaleu, N., Mydel, P., Kwee, I., Brun, J.G., Jonsson, M.V., Jonsson, R., 2015. Arthritis Rheumatol. 67(4), 1084-1095.</w:t>
      </w:r>
    </w:p>
    <w:p w14:paraId="5C1867D8" w14:textId="77777777" w:rsidR="00154DB5" w:rsidRPr="00C2021A" w:rsidRDefault="00154DB5" w:rsidP="00F44783">
      <w:pPr>
        <w:pStyle w:val="EndNoteBibliography"/>
        <w:spacing w:after="0"/>
        <w:rPr>
          <w:noProof/>
          <w:color w:val="auto"/>
        </w:rPr>
      </w:pPr>
      <w:r w:rsidRPr="00C2021A">
        <w:rPr>
          <w:noProof/>
          <w:color w:val="auto"/>
        </w:rPr>
        <w:lastRenderedPageBreak/>
        <w:t>Dhakate, S.R., Chauhan, N., Sharma, S., Mathur, R.B., 2011. Carbon 49(13), 4170-4178.</w:t>
      </w:r>
    </w:p>
    <w:p w14:paraId="2F54B19F" w14:textId="77777777" w:rsidR="00154DB5" w:rsidRPr="00C2021A" w:rsidRDefault="00154DB5" w:rsidP="00F44783">
      <w:pPr>
        <w:pStyle w:val="EndNoteBibliography"/>
        <w:spacing w:after="0"/>
        <w:rPr>
          <w:noProof/>
          <w:color w:val="auto"/>
        </w:rPr>
      </w:pPr>
      <w:r w:rsidRPr="00C2021A">
        <w:rPr>
          <w:noProof/>
          <w:color w:val="auto"/>
        </w:rPr>
        <w:t>Dong, X., Wang, P., Fang, W., Su, C.-Y., Chen, Y.-H., Li, L.-J., Huang, W., Chen, P., 2011. Carbon 49(11), 3672-3678.</w:t>
      </w:r>
    </w:p>
    <w:p w14:paraId="5F2EE6AB" w14:textId="77777777" w:rsidR="00154DB5" w:rsidRPr="00C2021A" w:rsidRDefault="00154DB5" w:rsidP="00F44783">
      <w:pPr>
        <w:pStyle w:val="EndNoteBibliography"/>
        <w:spacing w:after="0"/>
        <w:rPr>
          <w:noProof/>
          <w:color w:val="auto"/>
        </w:rPr>
      </w:pPr>
      <w:r w:rsidRPr="00C2021A">
        <w:rPr>
          <w:noProof/>
          <w:color w:val="auto"/>
        </w:rPr>
        <w:t>Du, X., Skachko, I., Barker, A., Andrei, E.Y., 2008. Nat. Nanotechnol. 3(8), 491-495.</w:t>
      </w:r>
    </w:p>
    <w:p w14:paraId="25541A05" w14:textId="77777777" w:rsidR="00154DB5" w:rsidRPr="00C2021A" w:rsidRDefault="00154DB5" w:rsidP="00F44783">
      <w:pPr>
        <w:pStyle w:val="EndNoteBibliography"/>
        <w:spacing w:after="0"/>
        <w:rPr>
          <w:noProof/>
          <w:color w:val="auto"/>
        </w:rPr>
      </w:pPr>
      <w:r w:rsidRPr="00C2021A">
        <w:rPr>
          <w:noProof/>
          <w:color w:val="auto"/>
        </w:rPr>
        <w:t>Eda, G., Ball, J., Mattevi, C., Acik, M., Artiglia, L., Granozzi, G., Chabal, Y., Anthopoulos, T.D., Chhowalla, M., 2011. J. Mater. Chem. 21(30), 11217-11223.</w:t>
      </w:r>
    </w:p>
    <w:p w14:paraId="2676FAE0" w14:textId="77777777" w:rsidR="00154DB5" w:rsidRPr="00C2021A" w:rsidRDefault="00154DB5" w:rsidP="00F44783">
      <w:pPr>
        <w:pStyle w:val="EndNoteBibliography"/>
        <w:spacing w:after="0"/>
        <w:rPr>
          <w:noProof/>
          <w:color w:val="auto"/>
        </w:rPr>
      </w:pPr>
      <w:r w:rsidRPr="00C2021A">
        <w:rPr>
          <w:noProof/>
          <w:color w:val="auto"/>
        </w:rPr>
        <w:t>Edwards, R.S., Coleman, K.S., 2013. Nanoscale 5(1), 38-51.</w:t>
      </w:r>
    </w:p>
    <w:p w14:paraId="3D831AAC" w14:textId="77777777" w:rsidR="00154DB5" w:rsidRPr="00C2021A" w:rsidRDefault="00154DB5" w:rsidP="00F44783">
      <w:pPr>
        <w:pStyle w:val="EndNoteBibliography"/>
        <w:spacing w:after="0"/>
        <w:rPr>
          <w:noProof/>
          <w:color w:val="auto"/>
        </w:rPr>
      </w:pPr>
      <w:r w:rsidRPr="00C2021A">
        <w:rPr>
          <w:noProof/>
          <w:color w:val="auto"/>
        </w:rPr>
        <w:t>Eftekhari, A., Hasanzadeh, M., Sharifi, S., Dizaj, S.M., Khalilov, R., Ahmadian, E., 2019. Int. J. Biol. Macromol. 124, 1246-1255.</w:t>
      </w:r>
    </w:p>
    <w:p w14:paraId="69A31445" w14:textId="77777777" w:rsidR="00154DB5" w:rsidRPr="00C2021A" w:rsidRDefault="00154DB5" w:rsidP="00F44783">
      <w:pPr>
        <w:pStyle w:val="EndNoteBibliography"/>
        <w:spacing w:after="0"/>
        <w:rPr>
          <w:noProof/>
          <w:color w:val="auto"/>
        </w:rPr>
      </w:pPr>
      <w:r w:rsidRPr="00C2021A">
        <w:rPr>
          <w:noProof/>
          <w:color w:val="auto"/>
        </w:rPr>
        <w:t>El Ridi, R., Tallima, H., 2017. J. Adv. Res. 8(5), 487-493.</w:t>
      </w:r>
    </w:p>
    <w:p w14:paraId="304D8877" w14:textId="77777777" w:rsidR="00154DB5" w:rsidRPr="00C2021A" w:rsidRDefault="00154DB5" w:rsidP="00F44783">
      <w:pPr>
        <w:pStyle w:val="EndNoteBibliography"/>
        <w:spacing w:after="0"/>
        <w:rPr>
          <w:noProof/>
          <w:color w:val="auto"/>
        </w:rPr>
      </w:pPr>
      <w:r w:rsidRPr="00C2021A">
        <w:rPr>
          <w:noProof/>
          <w:color w:val="auto"/>
        </w:rPr>
        <w:t>Farzin, L., Sadjadi, S., Shamsipur, M., Sheibani, S., 2019. J. Pharm. Biomed. 172, 259-267.</w:t>
      </w:r>
    </w:p>
    <w:p w14:paraId="2978F833" w14:textId="77777777" w:rsidR="00154DB5" w:rsidRPr="00C2021A" w:rsidRDefault="00154DB5" w:rsidP="00F44783">
      <w:pPr>
        <w:pStyle w:val="EndNoteBibliography"/>
        <w:spacing w:after="0"/>
        <w:rPr>
          <w:noProof/>
          <w:color w:val="auto"/>
        </w:rPr>
      </w:pPr>
      <w:r w:rsidRPr="00C2021A">
        <w:rPr>
          <w:noProof/>
          <w:color w:val="auto"/>
        </w:rPr>
        <w:t>Ferrari, A.C., Bonaccorso, F., Fal'ko, V., Novoselov, K.S., Roche, S., Bøggild, P., Borini, S., Koppens, F.H.L., Palermo, V., Pugno, N., Garrido, J.A., Sordan, R., Bianco, A., Ballerini, L., Prato, M., Lidorikis, E., Kivioja, J., Marinelli, C., Ryhänen, T., Morpurgo, A., Coleman, J.N., Nicolosi, V., Colombo, L., Fert, A., Garcia-Hernandez, M., Bachtold, A., Schneider, G.F., Guinea, F., Dekker, C., Barbone, M., Sun, Z., Galiotis, C., Grigorenko, A.N., Konstantatos, G., Kis, A., Katsnelson, M., Vandersypen, L., Loiseau, A., Morandi, V., Neumaier, D., Treossi, E., Pellegrini, V., Polini, M., Tredicucci, A., Williams, G.M., Hee Hong, B., Ahn, J.-H., Min Kim, J., Zirath, H., van Wees, B.J., van der Zant, H., Occhipinti, L., Di Matteo, A., Kinloch, I.A., Seyller, T., Quesnel, E., Feng, X., Teo, K., Rupesinghe, N., Hakonen, P., Neil, S.R.T., Tannock, Q., Löfwander, T., Kinaret, J., 2015. Nanoscale 7(11), 4598-4810.</w:t>
      </w:r>
    </w:p>
    <w:p w14:paraId="20D6947F" w14:textId="77777777" w:rsidR="00154DB5" w:rsidRPr="00C2021A" w:rsidRDefault="00154DB5" w:rsidP="00F44783">
      <w:pPr>
        <w:pStyle w:val="EndNoteBibliography"/>
        <w:spacing w:after="0"/>
        <w:rPr>
          <w:noProof/>
          <w:color w:val="auto"/>
        </w:rPr>
      </w:pPr>
      <w:r w:rsidRPr="00C2021A">
        <w:rPr>
          <w:noProof/>
          <w:color w:val="auto"/>
        </w:rPr>
        <w:t>Franco-Martínez, L., Castillo-Felipe, C., 2020. In: Tvarijonaviciute, A., Martínez-Subiela, S., López-Jornet, P., Lamy, E. (Eds.), Saliva in Health and Disease: The Present and Future of a Unique Sample for Diagnosis, pp. 49-65. Springer International Publishing, Cham.</w:t>
      </w:r>
    </w:p>
    <w:p w14:paraId="630B890D" w14:textId="77777777" w:rsidR="00154DB5" w:rsidRPr="00C2021A" w:rsidRDefault="00154DB5" w:rsidP="00F44783">
      <w:pPr>
        <w:pStyle w:val="EndNoteBibliography"/>
        <w:spacing w:after="0"/>
        <w:rPr>
          <w:noProof/>
          <w:color w:val="auto"/>
        </w:rPr>
      </w:pPr>
      <w:r w:rsidRPr="00C2021A">
        <w:rPr>
          <w:noProof/>
          <w:color w:val="auto"/>
        </w:rPr>
        <w:t>Fu, K., Zhang, R., He, J., Bai, H., Zhang, G., 2019. Biosens. Bioelectron. 143, 111636.</w:t>
      </w:r>
    </w:p>
    <w:p w14:paraId="4C95AB69" w14:textId="77777777" w:rsidR="00154DB5" w:rsidRPr="00C2021A" w:rsidRDefault="00154DB5" w:rsidP="00F44783">
      <w:pPr>
        <w:pStyle w:val="EndNoteBibliography"/>
        <w:spacing w:after="0"/>
        <w:rPr>
          <w:noProof/>
          <w:color w:val="auto"/>
        </w:rPr>
      </w:pPr>
      <w:r w:rsidRPr="00C2021A">
        <w:rPr>
          <w:noProof/>
          <w:color w:val="auto"/>
        </w:rPr>
        <w:t>Gandouzi, I., Tertis, M., Cernat, A., Bakhrouf, A., Coros, M., Pruneanu, S., Cristea, C., 2018. Bioelectrochemistry 120, 94-103.</w:t>
      </w:r>
    </w:p>
    <w:p w14:paraId="24DDC65E" w14:textId="77777777" w:rsidR="00154DB5" w:rsidRPr="00C2021A" w:rsidRDefault="00154DB5" w:rsidP="00F44783">
      <w:pPr>
        <w:pStyle w:val="EndNoteBibliography"/>
        <w:spacing w:after="0"/>
        <w:rPr>
          <w:noProof/>
          <w:color w:val="auto"/>
        </w:rPr>
      </w:pPr>
      <w:r w:rsidRPr="00C2021A">
        <w:rPr>
          <w:noProof/>
          <w:color w:val="auto"/>
        </w:rPr>
        <w:t>Gao, J., Gao, Y., Han, Y., Pang, J., Wang, C., Wang, Y., Liu, H., Zhang, Y., Han, L., 2020. ACS Appl. Electron. Mater. 2(4), 1090-1098.</w:t>
      </w:r>
    </w:p>
    <w:p w14:paraId="6B0FDB36" w14:textId="77777777" w:rsidR="00154DB5" w:rsidRPr="00C2021A" w:rsidRDefault="00154DB5" w:rsidP="00F44783">
      <w:pPr>
        <w:pStyle w:val="EndNoteBibliography"/>
        <w:spacing w:after="0"/>
        <w:rPr>
          <w:noProof/>
          <w:color w:val="auto"/>
        </w:rPr>
      </w:pPr>
      <w:r w:rsidRPr="00C2021A">
        <w:rPr>
          <w:noProof/>
          <w:color w:val="auto"/>
        </w:rPr>
        <w:t>Gao, L., Ren, W., Zhao, J., Ma, L.-P., Chen, Z., Cheng, H.-M., 2010. Appl. Phys. Lett. 97(18), 183109.</w:t>
      </w:r>
    </w:p>
    <w:p w14:paraId="5A59A95E" w14:textId="77777777" w:rsidR="00154DB5" w:rsidRPr="00C2021A" w:rsidRDefault="00154DB5" w:rsidP="00F44783">
      <w:pPr>
        <w:pStyle w:val="EndNoteBibliography"/>
        <w:spacing w:after="0"/>
        <w:rPr>
          <w:noProof/>
          <w:color w:val="auto"/>
        </w:rPr>
      </w:pPr>
      <w:r w:rsidRPr="00C2021A">
        <w:rPr>
          <w:noProof/>
          <w:color w:val="auto"/>
        </w:rPr>
        <w:t>Garbieri, T.F., Brozoski, D.T., Dionísio, T.J., Santos, C.F., Neves, L.T.d., 2017. J. Appl. Oral Sci. 25(2), 147-158.</w:t>
      </w:r>
    </w:p>
    <w:p w14:paraId="3CC353A4" w14:textId="77777777" w:rsidR="00154DB5" w:rsidRPr="00C2021A" w:rsidRDefault="00154DB5" w:rsidP="00F44783">
      <w:pPr>
        <w:pStyle w:val="EndNoteBibliography"/>
        <w:spacing w:after="0"/>
        <w:rPr>
          <w:noProof/>
          <w:color w:val="auto"/>
        </w:rPr>
      </w:pPr>
      <w:r w:rsidRPr="00C2021A">
        <w:rPr>
          <w:noProof/>
          <w:color w:val="auto"/>
        </w:rPr>
        <w:t>Garcia, P.T., Dias, A.A., Souza, J.A.C., Coltro, W.K.T., 2018. Anal. Chim. Acta 1041, 50-57.</w:t>
      </w:r>
    </w:p>
    <w:p w14:paraId="2C6C81E9" w14:textId="77777777" w:rsidR="00154DB5" w:rsidRPr="00C2021A" w:rsidRDefault="00154DB5" w:rsidP="00F44783">
      <w:pPr>
        <w:pStyle w:val="EndNoteBibliography"/>
        <w:spacing w:after="0"/>
        <w:rPr>
          <w:noProof/>
          <w:color w:val="auto"/>
        </w:rPr>
      </w:pPr>
      <w:r w:rsidRPr="00C2021A">
        <w:rPr>
          <w:noProof/>
          <w:color w:val="auto"/>
        </w:rPr>
        <w:t>Geim, A.K., Novoselov, K.S., 2007. Nature Mater. 6(3), 183-191.</w:t>
      </w:r>
    </w:p>
    <w:p w14:paraId="59C09E7C" w14:textId="77777777" w:rsidR="00154DB5" w:rsidRPr="00C2021A" w:rsidRDefault="00154DB5" w:rsidP="00F44783">
      <w:pPr>
        <w:pStyle w:val="EndNoteBibliography"/>
        <w:spacing w:after="0"/>
        <w:rPr>
          <w:noProof/>
          <w:color w:val="auto"/>
        </w:rPr>
      </w:pPr>
      <w:r w:rsidRPr="00C2021A">
        <w:rPr>
          <w:noProof/>
          <w:color w:val="auto"/>
        </w:rPr>
        <w:t>Georgakilas, V., Otyepka, M., Bourlinos, A.B., Chandra, V., Kim, N., Kemp, K.C., Hobza, P., Zboril, R., Kim, K.S., 2012. Chem. Rev. 112(11), 6156-6214.</w:t>
      </w:r>
    </w:p>
    <w:p w14:paraId="4D8CE8E4" w14:textId="77777777" w:rsidR="00154DB5" w:rsidRPr="00C2021A" w:rsidRDefault="00154DB5" w:rsidP="00F44783">
      <w:pPr>
        <w:pStyle w:val="EndNoteBibliography"/>
        <w:spacing w:after="0"/>
        <w:rPr>
          <w:noProof/>
          <w:color w:val="auto"/>
        </w:rPr>
      </w:pPr>
      <w:r w:rsidRPr="00C2021A">
        <w:rPr>
          <w:noProof/>
          <w:color w:val="auto"/>
        </w:rPr>
        <w:t>Georgakilas, V., Tiwari, J.N., Kemp, K.C., Perman, J.A., Bourlinos, A.B., Kim, K.S., Zboril, R., 2016. Chem. Rev. 116(9), 5464-5519.</w:t>
      </w:r>
    </w:p>
    <w:p w14:paraId="31CF579C" w14:textId="77777777" w:rsidR="00154DB5" w:rsidRPr="00C2021A" w:rsidRDefault="00154DB5" w:rsidP="00F44783">
      <w:pPr>
        <w:pStyle w:val="EndNoteBibliography"/>
        <w:spacing w:after="0"/>
        <w:rPr>
          <w:noProof/>
          <w:color w:val="auto"/>
        </w:rPr>
      </w:pPr>
      <w:r w:rsidRPr="00C2021A">
        <w:rPr>
          <w:noProof/>
          <w:color w:val="auto"/>
        </w:rPr>
        <w:t>Gilje, S., Han, S., Wang, M., Wang, K.L., Kaner, R.B., 2007. Nano Lett. 7(11), 3394-3398.</w:t>
      </w:r>
    </w:p>
    <w:p w14:paraId="7A60BAE8" w14:textId="77777777" w:rsidR="00154DB5" w:rsidRPr="00C2021A" w:rsidRDefault="00154DB5" w:rsidP="00F44783">
      <w:pPr>
        <w:pStyle w:val="EndNoteBibliography"/>
        <w:spacing w:after="0"/>
        <w:rPr>
          <w:noProof/>
          <w:color w:val="auto"/>
        </w:rPr>
      </w:pPr>
      <w:r w:rsidRPr="00C2021A">
        <w:rPr>
          <w:noProof/>
          <w:color w:val="auto"/>
        </w:rPr>
        <w:t>Goossens, N., Nakagawa, S., Sun, X., Hoshida, Y., 2015. Transl. Cancer Res. 4(3), 256-269.</w:t>
      </w:r>
    </w:p>
    <w:p w14:paraId="6BEF622C" w14:textId="77777777" w:rsidR="00154DB5" w:rsidRPr="00C2021A" w:rsidRDefault="00154DB5" w:rsidP="00F44783">
      <w:pPr>
        <w:pStyle w:val="EndNoteBibliography"/>
        <w:spacing w:after="0"/>
        <w:rPr>
          <w:noProof/>
          <w:color w:val="auto"/>
        </w:rPr>
      </w:pPr>
      <w:r w:rsidRPr="00C2021A">
        <w:rPr>
          <w:noProof/>
          <w:color w:val="auto"/>
        </w:rPr>
        <w:t>Goswami, Y., Mishra, R., Agrawal, A.P., Agrawal, L.A., 2015. IOSR J. Dental Med. Sci. 14(3), 80-87.</w:t>
      </w:r>
    </w:p>
    <w:p w14:paraId="5996109E" w14:textId="77777777" w:rsidR="00154DB5" w:rsidRPr="00C2021A" w:rsidRDefault="00154DB5" w:rsidP="00F44783">
      <w:pPr>
        <w:pStyle w:val="EndNoteBibliography"/>
        <w:spacing w:after="0"/>
        <w:rPr>
          <w:noProof/>
          <w:color w:val="auto"/>
        </w:rPr>
      </w:pPr>
      <w:r w:rsidRPr="00C2021A">
        <w:rPr>
          <w:noProof/>
          <w:color w:val="auto"/>
        </w:rPr>
        <w:t>Goumri, M., Lucas, B., Ratier, B., Baitoul, M., 2016. Opt. Mater. 60, 105-113.</w:t>
      </w:r>
    </w:p>
    <w:p w14:paraId="6D08671F" w14:textId="77777777" w:rsidR="00154DB5" w:rsidRPr="00C2021A" w:rsidRDefault="00154DB5" w:rsidP="00F44783">
      <w:pPr>
        <w:pStyle w:val="EndNoteBibliography"/>
        <w:spacing w:after="0"/>
        <w:rPr>
          <w:noProof/>
          <w:color w:val="auto"/>
        </w:rPr>
      </w:pPr>
      <w:r w:rsidRPr="00C2021A">
        <w:rPr>
          <w:noProof/>
          <w:color w:val="auto"/>
        </w:rPr>
        <w:t>Govindasamy, M., Manavalan, S., Chen, S.-M., Umamaheswari, R., Chen, T.-W., 2018. Sens. Actuators B Chem. 272, 274-281.</w:t>
      </w:r>
    </w:p>
    <w:p w14:paraId="7668F569" w14:textId="77777777" w:rsidR="00154DB5" w:rsidRPr="00C2021A" w:rsidRDefault="00154DB5" w:rsidP="00F44783">
      <w:pPr>
        <w:pStyle w:val="EndNoteBibliography"/>
        <w:spacing w:after="0"/>
        <w:rPr>
          <w:noProof/>
          <w:color w:val="auto"/>
        </w:rPr>
      </w:pPr>
      <w:r w:rsidRPr="00C2021A">
        <w:rPr>
          <w:noProof/>
          <w:color w:val="auto"/>
        </w:rPr>
        <w:t>Gug, I.T., Tertis, M., Hosu, O., Cristea, C., 2019. Trends Anal. Chem. 113, 301-316.</w:t>
      </w:r>
    </w:p>
    <w:p w14:paraId="339BC5BD" w14:textId="77777777" w:rsidR="00154DB5" w:rsidRPr="00C2021A" w:rsidRDefault="00154DB5" w:rsidP="00F44783">
      <w:pPr>
        <w:pStyle w:val="EndNoteBibliography"/>
        <w:spacing w:after="0"/>
        <w:rPr>
          <w:noProof/>
          <w:color w:val="auto"/>
        </w:rPr>
      </w:pPr>
      <w:r w:rsidRPr="00C2021A">
        <w:rPr>
          <w:noProof/>
          <w:color w:val="auto"/>
        </w:rPr>
        <w:t>Gupta, A., Tripathi, A., Patil, R., Kumar, V., Khanna, V., Singh, V., 2019. J. Oral Biol. Craniofac. Res. 9(1), 19-23.</w:t>
      </w:r>
    </w:p>
    <w:p w14:paraId="79FDC297" w14:textId="77777777" w:rsidR="00154DB5" w:rsidRPr="00C2021A" w:rsidRDefault="00154DB5" w:rsidP="00F44783">
      <w:pPr>
        <w:pStyle w:val="EndNoteBibliography"/>
        <w:spacing w:after="0"/>
        <w:rPr>
          <w:noProof/>
          <w:color w:val="auto"/>
        </w:rPr>
      </w:pPr>
      <w:r w:rsidRPr="00C2021A">
        <w:rPr>
          <w:noProof/>
          <w:color w:val="auto"/>
        </w:rPr>
        <w:t>Haeckel, R., Hanecke, P., 1996. Eur. J. Clin. Chem. Clin. Biochem. 34(3), 171-192.</w:t>
      </w:r>
    </w:p>
    <w:p w14:paraId="171F2061" w14:textId="77777777" w:rsidR="00154DB5" w:rsidRPr="00C2021A" w:rsidRDefault="00154DB5" w:rsidP="00F44783">
      <w:pPr>
        <w:pStyle w:val="EndNoteBibliography"/>
        <w:spacing w:after="0"/>
        <w:rPr>
          <w:noProof/>
          <w:color w:val="auto"/>
        </w:rPr>
      </w:pPr>
      <w:r w:rsidRPr="00C2021A">
        <w:rPr>
          <w:noProof/>
          <w:color w:val="auto"/>
        </w:rPr>
        <w:t>Hamad, A.W.R., Gaphor, S.M., Shawagfeh, M.T., Al-Talabani, N.G., 2011. Acad. J. Cancer Res. 4(2), 47-55.</w:t>
      </w:r>
    </w:p>
    <w:p w14:paraId="2029F717" w14:textId="77777777" w:rsidR="00154DB5" w:rsidRPr="00C2021A" w:rsidRDefault="00154DB5" w:rsidP="00F44783">
      <w:pPr>
        <w:pStyle w:val="EndNoteBibliography"/>
        <w:spacing w:after="0"/>
        <w:rPr>
          <w:noProof/>
          <w:color w:val="auto"/>
        </w:rPr>
      </w:pPr>
      <w:r w:rsidRPr="00C2021A">
        <w:rPr>
          <w:noProof/>
          <w:color w:val="auto"/>
        </w:rPr>
        <w:t>Hao, Z., Pan, Y., Shao, W., Lin, Q., Zhao, X., 2019. Biosens. Bioelectron. 134, 16-23.</w:t>
      </w:r>
    </w:p>
    <w:p w14:paraId="04F8FCA2" w14:textId="77777777" w:rsidR="00154DB5" w:rsidRPr="00C2021A" w:rsidRDefault="00154DB5" w:rsidP="00F44783">
      <w:pPr>
        <w:pStyle w:val="EndNoteBibliography"/>
        <w:spacing w:after="0"/>
        <w:rPr>
          <w:noProof/>
          <w:color w:val="auto"/>
        </w:rPr>
      </w:pPr>
      <w:r w:rsidRPr="00C2021A">
        <w:rPr>
          <w:noProof/>
          <w:color w:val="auto"/>
        </w:rPr>
        <w:t>Hendgen-Cotta, U., Flögel, U., Kelm, M., Rassaf, T., 2010. J. Exp. Biol. 213(16), 2734-2740.</w:t>
      </w:r>
    </w:p>
    <w:p w14:paraId="5F008D12" w14:textId="77777777" w:rsidR="00154DB5" w:rsidRPr="00C2021A" w:rsidRDefault="00154DB5" w:rsidP="00F44783">
      <w:pPr>
        <w:pStyle w:val="EndNoteBibliography"/>
        <w:spacing w:after="0"/>
        <w:rPr>
          <w:noProof/>
          <w:color w:val="auto"/>
        </w:rPr>
      </w:pPr>
      <w:r w:rsidRPr="00C2021A">
        <w:rPr>
          <w:noProof/>
          <w:color w:val="auto"/>
        </w:rPr>
        <w:t>Henry, N.L., Hayes, D.F., 2012. Mol. Oncol. 6(2), 140-146.</w:t>
      </w:r>
    </w:p>
    <w:p w14:paraId="3330CA8D" w14:textId="77777777" w:rsidR="00154DB5" w:rsidRPr="00C2021A" w:rsidRDefault="00154DB5" w:rsidP="00F44783">
      <w:pPr>
        <w:pStyle w:val="EndNoteBibliography"/>
        <w:spacing w:after="0"/>
        <w:rPr>
          <w:noProof/>
          <w:color w:val="auto"/>
        </w:rPr>
      </w:pPr>
      <w:r w:rsidRPr="00C2021A">
        <w:rPr>
          <w:noProof/>
          <w:color w:val="auto"/>
        </w:rPr>
        <w:t>Herbert, R., Kim, J.-H., Kim, Y.S., Lee, H.M., Yeo, W.-H., 2018. Materials 11(2), 187.</w:t>
      </w:r>
    </w:p>
    <w:p w14:paraId="71D742FC" w14:textId="77777777" w:rsidR="00154DB5" w:rsidRPr="00C2021A" w:rsidRDefault="00154DB5" w:rsidP="00F44783">
      <w:pPr>
        <w:pStyle w:val="EndNoteBibliography"/>
        <w:spacing w:after="0"/>
        <w:rPr>
          <w:noProof/>
          <w:color w:val="auto"/>
        </w:rPr>
      </w:pPr>
      <w:r w:rsidRPr="00C2021A">
        <w:rPr>
          <w:noProof/>
          <w:color w:val="auto"/>
        </w:rPr>
        <w:t>Herr, A.E., Hatch, A.V., Throckmorton, D.J., Tran, H.M., Brennan, J.S., Giannobile, W.V., Singh, A.K., 2007. Proc. Natl. Acad. Sci. U.S.A. 104(13), 5268-5273.</w:t>
      </w:r>
    </w:p>
    <w:p w14:paraId="6A31AD7D" w14:textId="77777777" w:rsidR="00154DB5" w:rsidRPr="00C2021A" w:rsidRDefault="00154DB5" w:rsidP="00F44783">
      <w:pPr>
        <w:pStyle w:val="EndNoteBibliography"/>
        <w:spacing w:after="0"/>
        <w:rPr>
          <w:noProof/>
          <w:color w:val="auto"/>
        </w:rPr>
      </w:pPr>
      <w:r w:rsidRPr="00C2021A">
        <w:rPr>
          <w:noProof/>
          <w:color w:val="auto"/>
        </w:rPr>
        <w:t>Holmström, P., Syrjänen, S., Laine, P., Valle, S.L., Suni, J., 1990. J. Med. Virol. 30(4), 245-248.</w:t>
      </w:r>
    </w:p>
    <w:p w14:paraId="0ED97CA4" w14:textId="77777777" w:rsidR="00154DB5" w:rsidRPr="00C2021A" w:rsidRDefault="00154DB5" w:rsidP="00F44783">
      <w:pPr>
        <w:pStyle w:val="EndNoteBibliography"/>
        <w:spacing w:after="0"/>
        <w:rPr>
          <w:noProof/>
          <w:color w:val="auto"/>
        </w:rPr>
      </w:pPr>
      <w:r w:rsidRPr="00C2021A">
        <w:rPr>
          <w:noProof/>
          <w:color w:val="auto"/>
        </w:rPr>
        <w:lastRenderedPageBreak/>
        <w:t>Holsboer, F., Ising, M., 2010. Annu. Rev. Psychol. 61(1), 81-109.</w:t>
      </w:r>
    </w:p>
    <w:p w14:paraId="488F4617" w14:textId="77777777" w:rsidR="00154DB5" w:rsidRPr="00C2021A" w:rsidRDefault="00154DB5" w:rsidP="00F44783">
      <w:pPr>
        <w:pStyle w:val="EndNoteBibliography"/>
        <w:spacing w:after="0"/>
        <w:rPr>
          <w:noProof/>
          <w:color w:val="auto"/>
        </w:rPr>
      </w:pPr>
      <w:r w:rsidRPr="00C2021A">
        <w:rPr>
          <w:noProof/>
          <w:color w:val="auto"/>
        </w:rPr>
        <w:t>Hu, S., Arellano, M., Boontheung, P., Wang, J., Zhou, H., Jiang, J., Elashoff, D., Wei, R., Loo, J.A., Wong, D.T., 2008. Clin. Cancer Res. 14(19), 6246-6252.</w:t>
      </w:r>
    </w:p>
    <w:p w14:paraId="3B80C822" w14:textId="77777777" w:rsidR="00154DB5" w:rsidRPr="00C2021A" w:rsidRDefault="00154DB5" w:rsidP="00F44783">
      <w:pPr>
        <w:pStyle w:val="EndNoteBibliography"/>
        <w:spacing w:after="0"/>
        <w:rPr>
          <w:noProof/>
          <w:color w:val="auto"/>
        </w:rPr>
      </w:pPr>
      <w:r w:rsidRPr="00C2021A">
        <w:rPr>
          <w:noProof/>
          <w:color w:val="auto"/>
        </w:rPr>
        <w:t>Hutchinson, L., Sinclair, M., Reid, B., Burnett, K., Callan, B., 2018. Br. J. Clin. Pharmacol. 84(6), 1089-1108.</w:t>
      </w:r>
    </w:p>
    <w:p w14:paraId="568A89C8" w14:textId="77777777" w:rsidR="00154DB5" w:rsidRPr="00C2021A" w:rsidRDefault="00154DB5" w:rsidP="00F44783">
      <w:pPr>
        <w:pStyle w:val="EndNoteBibliography"/>
        <w:spacing w:after="0"/>
        <w:rPr>
          <w:noProof/>
          <w:color w:val="auto"/>
        </w:rPr>
      </w:pPr>
      <w:r w:rsidRPr="00C2021A">
        <w:rPr>
          <w:noProof/>
          <w:color w:val="auto"/>
        </w:rPr>
        <w:t>Idkaidek, N., Arafat, T., 2012. Mol. Pharm. 9(8), 2358-2363.</w:t>
      </w:r>
    </w:p>
    <w:p w14:paraId="1BD497CC" w14:textId="77777777" w:rsidR="00154DB5" w:rsidRPr="00C2021A" w:rsidRDefault="00154DB5" w:rsidP="00F44783">
      <w:pPr>
        <w:pStyle w:val="EndNoteBibliography"/>
        <w:spacing w:after="0"/>
        <w:rPr>
          <w:noProof/>
          <w:color w:val="auto"/>
        </w:rPr>
      </w:pPr>
      <w:r w:rsidRPr="00C2021A">
        <w:rPr>
          <w:noProof/>
          <w:color w:val="auto"/>
        </w:rPr>
        <w:t>Ishii, J., Wang, J.-h., Naruse, H., Taga, S., Kinoshita, M., Kurokawa, H., Iwase, M., Kondo, T., Nomura, M., Nagamura, Y., 1997. Clin. Chem. 43(8), 1372-1378.</w:t>
      </w:r>
    </w:p>
    <w:p w14:paraId="45D0344B" w14:textId="77777777" w:rsidR="00154DB5" w:rsidRPr="00C2021A" w:rsidRDefault="00154DB5" w:rsidP="00F44783">
      <w:pPr>
        <w:pStyle w:val="EndNoteBibliography"/>
        <w:spacing w:after="0"/>
        <w:rPr>
          <w:noProof/>
          <w:color w:val="auto"/>
        </w:rPr>
      </w:pPr>
      <w:r w:rsidRPr="00C2021A">
        <w:rPr>
          <w:noProof/>
          <w:color w:val="auto"/>
        </w:rPr>
        <w:t>Izawa, S., Miki, K., Liu, X., Ogawa, N., 2013. Brain Behav. Immun. 27, 38-41.</w:t>
      </w:r>
    </w:p>
    <w:p w14:paraId="5F72EA26" w14:textId="77777777" w:rsidR="00154DB5" w:rsidRPr="00C2021A" w:rsidRDefault="00154DB5" w:rsidP="00F44783">
      <w:pPr>
        <w:pStyle w:val="EndNoteBibliography"/>
        <w:spacing w:after="0"/>
        <w:rPr>
          <w:noProof/>
          <w:color w:val="auto"/>
        </w:rPr>
      </w:pPr>
      <w:r w:rsidRPr="00C2021A">
        <w:rPr>
          <w:noProof/>
          <w:color w:val="auto"/>
        </w:rPr>
        <w:t>James, P.E., Willis, G.R., Allen, J.D., Winyard, P.G., Jones, A.M., 2015. Nitric Oxide 48, 44-50.</w:t>
      </w:r>
    </w:p>
    <w:p w14:paraId="568DA9E4" w14:textId="77777777" w:rsidR="00154DB5" w:rsidRPr="00C2021A" w:rsidRDefault="00154DB5" w:rsidP="00F44783">
      <w:pPr>
        <w:pStyle w:val="EndNoteBibliography"/>
        <w:spacing w:after="0"/>
        <w:rPr>
          <w:noProof/>
          <w:color w:val="auto"/>
        </w:rPr>
      </w:pPr>
      <w:r w:rsidRPr="00C2021A">
        <w:rPr>
          <w:noProof/>
          <w:color w:val="auto"/>
        </w:rPr>
        <w:t>Janyasupab, M., Liu, C.-W., Chanlek, N., Chio-Srichan, S., Promptmas, C., Surareungchai, W., 2019. Sens. Actuators B Chem. 286, 550-563.</w:t>
      </w:r>
    </w:p>
    <w:p w14:paraId="13BB73DC" w14:textId="77777777" w:rsidR="00154DB5" w:rsidRPr="00C2021A" w:rsidRDefault="00154DB5" w:rsidP="00F44783">
      <w:pPr>
        <w:pStyle w:val="EndNoteBibliography"/>
        <w:spacing w:after="0"/>
        <w:rPr>
          <w:noProof/>
          <w:color w:val="auto"/>
        </w:rPr>
      </w:pPr>
      <w:r w:rsidRPr="00C2021A">
        <w:rPr>
          <w:noProof/>
          <w:color w:val="auto"/>
        </w:rPr>
        <w:t>Jastrzębska, A.M., Kurtycz, P., Olszyna, A.R., 2012. J. Nanopart. Res. 14(12), 1320.</w:t>
      </w:r>
    </w:p>
    <w:p w14:paraId="19588535" w14:textId="77777777" w:rsidR="00154DB5" w:rsidRPr="00C2021A" w:rsidRDefault="00154DB5" w:rsidP="00F44783">
      <w:pPr>
        <w:pStyle w:val="EndNoteBibliography"/>
        <w:spacing w:after="0"/>
        <w:rPr>
          <w:noProof/>
          <w:color w:val="auto"/>
        </w:rPr>
      </w:pPr>
      <w:r w:rsidRPr="00C2021A">
        <w:rPr>
          <w:noProof/>
          <w:color w:val="auto"/>
        </w:rPr>
        <w:t>Javaid, M.A., Ahmed, A.S., Durand, R., Tran, S.D., 2016. J. Oral Biol. Craniofac. Res. 6(1), 67-76.</w:t>
      </w:r>
    </w:p>
    <w:p w14:paraId="73FB0443" w14:textId="77777777" w:rsidR="00154DB5" w:rsidRPr="00C2021A" w:rsidRDefault="00154DB5" w:rsidP="00F44783">
      <w:pPr>
        <w:pStyle w:val="EndNoteBibliography"/>
        <w:spacing w:after="0"/>
        <w:rPr>
          <w:noProof/>
          <w:color w:val="auto"/>
        </w:rPr>
      </w:pPr>
      <w:r w:rsidRPr="00C2021A">
        <w:rPr>
          <w:noProof/>
          <w:color w:val="auto"/>
        </w:rPr>
        <w:t>Jokerst, J.V., Raamanathan, A., Christodoulides, N., Floriano, P.N., Pollard, A.A., Simmons, G.W., Wong, J., Gage, C., Furmaga, W.B., Redding, S.W., McDevitt, J.T., 2009. Biosens. Bioelectron. 24(12), 3622-3629.</w:t>
      </w:r>
    </w:p>
    <w:p w14:paraId="7FDF7F83" w14:textId="77777777" w:rsidR="00154DB5" w:rsidRPr="00C2021A" w:rsidRDefault="00154DB5" w:rsidP="00F44783">
      <w:pPr>
        <w:pStyle w:val="EndNoteBibliography"/>
        <w:spacing w:after="0"/>
        <w:rPr>
          <w:noProof/>
          <w:color w:val="auto"/>
        </w:rPr>
      </w:pPr>
      <w:r w:rsidRPr="00C2021A">
        <w:rPr>
          <w:noProof/>
          <w:color w:val="auto"/>
        </w:rPr>
        <w:t>Joshi, S.R., Sharma, A., Kim, G.-H., Jang, J., 2020. Mater. Sci. Eng. C 108, 110465.</w:t>
      </w:r>
    </w:p>
    <w:p w14:paraId="3C2BCA7D" w14:textId="77777777" w:rsidR="00154DB5" w:rsidRPr="00C2021A" w:rsidRDefault="00154DB5" w:rsidP="00F44783">
      <w:pPr>
        <w:pStyle w:val="EndNoteBibliography"/>
        <w:spacing w:after="0"/>
        <w:rPr>
          <w:noProof/>
          <w:color w:val="auto"/>
        </w:rPr>
      </w:pPr>
      <w:r w:rsidRPr="00C2021A">
        <w:rPr>
          <w:noProof/>
          <w:color w:val="auto"/>
        </w:rPr>
        <w:t>Jou, Y.-J., Hua, C.-H., Lin, C.-D., Lai, C.-H., Huang, S.-H., Tsai, M.-H., Kao, J.-Y., Lin, C.-W., 2014. Clin. Chim. Acta 436, 121-129.</w:t>
      </w:r>
    </w:p>
    <w:p w14:paraId="7703E7A9" w14:textId="77777777" w:rsidR="00154DB5" w:rsidRPr="00C2021A" w:rsidRDefault="00154DB5" w:rsidP="00F44783">
      <w:pPr>
        <w:pStyle w:val="EndNoteBibliography"/>
        <w:spacing w:after="0"/>
        <w:rPr>
          <w:noProof/>
          <w:color w:val="auto"/>
        </w:rPr>
      </w:pPr>
      <w:r w:rsidRPr="00C2021A">
        <w:rPr>
          <w:noProof/>
          <w:color w:val="auto"/>
        </w:rPr>
        <w:t>Kaczor-Urbanowicz, K.E., Martin Carreras-Presas, C., Aro, K., Tu, M., Garcia-Godoy, F., Wong, D.T., 2017. Exp. Biol. Med. 242(5), 459-472.</w:t>
      </w:r>
    </w:p>
    <w:p w14:paraId="6BDB3ED2" w14:textId="77777777" w:rsidR="00154DB5" w:rsidRPr="00C2021A" w:rsidRDefault="00154DB5" w:rsidP="00F44783">
      <w:pPr>
        <w:pStyle w:val="EndNoteBibliography"/>
        <w:spacing w:after="0"/>
        <w:rPr>
          <w:noProof/>
          <w:color w:val="auto"/>
        </w:rPr>
      </w:pPr>
      <w:r w:rsidRPr="00C2021A">
        <w:rPr>
          <w:noProof/>
          <w:color w:val="auto"/>
        </w:rPr>
        <w:t>Kamodyová, N., Červenka, T., Celec, P., 2015. Front. Cell. Infect. Microbiol. 5, 73.</w:t>
      </w:r>
    </w:p>
    <w:p w14:paraId="5505E504" w14:textId="77777777" w:rsidR="00154DB5" w:rsidRPr="00C2021A" w:rsidRDefault="00154DB5" w:rsidP="00F44783">
      <w:pPr>
        <w:pStyle w:val="EndNoteBibliography"/>
        <w:spacing w:after="0"/>
        <w:rPr>
          <w:noProof/>
          <w:color w:val="auto"/>
        </w:rPr>
      </w:pPr>
      <w:r w:rsidRPr="00C2021A">
        <w:rPr>
          <w:noProof/>
          <w:color w:val="auto"/>
        </w:rPr>
        <w:t>Kang, D., Kirienko, D.R., Webster, P., Fisher, A.L., Kirienko, N.V., 2018. Virulence 9(1), 804-817.</w:t>
      </w:r>
    </w:p>
    <w:p w14:paraId="5E2FA57D" w14:textId="77777777" w:rsidR="00154DB5" w:rsidRPr="00C2021A" w:rsidRDefault="00154DB5" w:rsidP="00F44783">
      <w:pPr>
        <w:pStyle w:val="EndNoteBibliography"/>
        <w:spacing w:after="0"/>
        <w:rPr>
          <w:noProof/>
          <w:color w:val="auto"/>
        </w:rPr>
      </w:pPr>
      <w:r w:rsidRPr="00C2021A">
        <w:rPr>
          <w:noProof/>
          <w:color w:val="auto"/>
        </w:rPr>
        <w:t>Karamanakos, S.N., Vagenas, K., Kalfarentzos, F., Alexandrides, T.K., 2008. Ann. Surg. 247(3), 401-407.</w:t>
      </w:r>
    </w:p>
    <w:p w14:paraId="64ECA0D9" w14:textId="77777777" w:rsidR="00154DB5" w:rsidRPr="00C2021A" w:rsidRDefault="00154DB5" w:rsidP="00F44783">
      <w:pPr>
        <w:pStyle w:val="EndNoteBibliography"/>
        <w:spacing w:after="0"/>
        <w:rPr>
          <w:noProof/>
          <w:color w:val="auto"/>
        </w:rPr>
      </w:pPr>
      <w:r w:rsidRPr="00C2021A">
        <w:rPr>
          <w:noProof/>
          <w:color w:val="auto"/>
        </w:rPr>
        <w:t>Khan, M., Dighe, K., Wang, Z., Srivastava, I., Daza, E., Schwartz-Dual, A., Ghannam, J., Misra, S., Pan, D., 2018. Analyst 143(5), 1094-1103.</w:t>
      </w:r>
    </w:p>
    <w:p w14:paraId="64E38902" w14:textId="77777777" w:rsidR="00154DB5" w:rsidRPr="00C2021A" w:rsidRDefault="00154DB5" w:rsidP="00F44783">
      <w:pPr>
        <w:pStyle w:val="EndNoteBibliography"/>
        <w:spacing w:after="0"/>
        <w:rPr>
          <w:noProof/>
          <w:color w:val="auto"/>
        </w:rPr>
      </w:pPr>
      <w:r w:rsidRPr="00C2021A">
        <w:rPr>
          <w:noProof/>
          <w:color w:val="auto"/>
        </w:rPr>
        <w:t>Khan, M.S., Dighe, K., Wang, Z., Schwartz-Duval, A.S., Misra, S.K., Pan, D., 2017a. 2017 IEEE Healthcare Innovations and Point of Care Technologies (HI-POCT), pp. 184-187. IEEE.</w:t>
      </w:r>
    </w:p>
    <w:p w14:paraId="080C0C50" w14:textId="77777777" w:rsidR="00154DB5" w:rsidRPr="00C2021A" w:rsidRDefault="00154DB5" w:rsidP="00F44783">
      <w:pPr>
        <w:pStyle w:val="EndNoteBibliography"/>
        <w:spacing w:after="0"/>
        <w:rPr>
          <w:noProof/>
          <w:color w:val="auto"/>
        </w:rPr>
      </w:pPr>
      <w:r w:rsidRPr="00C2021A">
        <w:rPr>
          <w:noProof/>
          <w:color w:val="auto"/>
        </w:rPr>
        <w:t>Khan, M.S., Dighe, K., Wang, Z., Srivastava, I., Schwartz-Duval, A.S., Misra, S.K., Pan, D., 2019. Analyst 144(4), 1448-1457.</w:t>
      </w:r>
    </w:p>
    <w:p w14:paraId="514112D5" w14:textId="77777777" w:rsidR="00154DB5" w:rsidRPr="00C2021A" w:rsidRDefault="00154DB5" w:rsidP="00F44783">
      <w:pPr>
        <w:pStyle w:val="EndNoteBibliography"/>
        <w:spacing w:after="0"/>
        <w:rPr>
          <w:noProof/>
          <w:color w:val="auto"/>
        </w:rPr>
      </w:pPr>
      <w:r w:rsidRPr="00C2021A">
        <w:rPr>
          <w:noProof/>
          <w:color w:val="auto"/>
        </w:rPr>
        <w:t>Khan, M.S., Misra, S.K., Wang, Z., Daza, E., Schwartz-Duval, A.S., Kus, J.M., Pan, D., Pan, D., 2017b. Anal. Chem. 89(3), 2107-2115.</w:t>
      </w:r>
    </w:p>
    <w:p w14:paraId="487C50F1" w14:textId="77777777" w:rsidR="00154DB5" w:rsidRPr="00C2021A" w:rsidRDefault="00154DB5" w:rsidP="00F44783">
      <w:pPr>
        <w:pStyle w:val="EndNoteBibliography"/>
        <w:spacing w:after="0"/>
        <w:rPr>
          <w:noProof/>
          <w:color w:val="auto"/>
        </w:rPr>
      </w:pPr>
      <w:r w:rsidRPr="00C2021A">
        <w:rPr>
          <w:noProof/>
          <w:color w:val="auto"/>
        </w:rPr>
        <w:t>Khan, Q.A., Shaur, A., Khan, T.A., Joya, Y.F., Awan, M., 2017c. Cogent Chem. 3(1), 1298980.</w:t>
      </w:r>
    </w:p>
    <w:p w14:paraId="643A060A" w14:textId="77777777" w:rsidR="00154DB5" w:rsidRPr="00C2021A" w:rsidRDefault="00154DB5" w:rsidP="00F44783">
      <w:pPr>
        <w:pStyle w:val="EndNoteBibliography"/>
        <w:spacing w:after="0"/>
        <w:rPr>
          <w:noProof/>
          <w:color w:val="auto"/>
        </w:rPr>
      </w:pPr>
      <w:r w:rsidRPr="00C2021A">
        <w:rPr>
          <w:noProof/>
          <w:color w:val="auto"/>
        </w:rPr>
        <w:t>Khanna, S., 2008. Int. J. Environ. Res. Public Health 5(5), 418-422.</w:t>
      </w:r>
    </w:p>
    <w:p w14:paraId="21069B54" w14:textId="77777777" w:rsidR="00154DB5" w:rsidRPr="00C2021A" w:rsidRDefault="00154DB5" w:rsidP="00F44783">
      <w:pPr>
        <w:pStyle w:val="EndNoteBibliography"/>
        <w:spacing w:after="0"/>
        <w:rPr>
          <w:noProof/>
          <w:color w:val="auto"/>
        </w:rPr>
      </w:pPr>
      <w:r w:rsidRPr="00C2021A">
        <w:rPr>
          <w:noProof/>
          <w:color w:val="auto"/>
        </w:rPr>
        <w:t>Khurshid, Z., Naseem, M., Sheikh, Z., Najeeb, S., Shahab, S., Zafar, M.S., 2016. Saudi Pharm. J. 24(5), 515-524.</w:t>
      </w:r>
    </w:p>
    <w:p w14:paraId="1581BC5C" w14:textId="77777777" w:rsidR="00154DB5" w:rsidRPr="00C2021A" w:rsidRDefault="00154DB5" w:rsidP="00F44783">
      <w:pPr>
        <w:pStyle w:val="EndNoteBibliography"/>
        <w:spacing w:after="0"/>
        <w:rPr>
          <w:noProof/>
          <w:color w:val="auto"/>
        </w:rPr>
      </w:pPr>
      <w:r w:rsidRPr="00C2021A">
        <w:rPr>
          <w:noProof/>
          <w:color w:val="auto"/>
        </w:rPr>
        <w:t>Kim, J., Campbell, A.S., de Ávila, B.E.-F., Wang, J., 2019. Nature Biotechnol. 37(4), 389-406.</w:t>
      </w:r>
    </w:p>
    <w:p w14:paraId="2D23DCE8" w14:textId="77777777" w:rsidR="00154DB5" w:rsidRPr="00C2021A" w:rsidRDefault="00154DB5" w:rsidP="00F44783">
      <w:pPr>
        <w:pStyle w:val="EndNoteBibliography"/>
        <w:spacing w:after="0"/>
        <w:rPr>
          <w:noProof/>
          <w:color w:val="auto"/>
        </w:rPr>
      </w:pPr>
      <w:r w:rsidRPr="00C2021A">
        <w:rPr>
          <w:noProof/>
          <w:color w:val="auto"/>
        </w:rPr>
        <w:t>Kim, J., Imani, S., de Araujo, W.R., Warchall, J., Valdés-Ramírez, G., Paixão, T.R.L.C., Mercier, P.P., Wang, J., 2015. Biosens. Bioelectron. 74, 1061-1068.</w:t>
      </w:r>
    </w:p>
    <w:p w14:paraId="53DE6EB2" w14:textId="77777777" w:rsidR="00154DB5" w:rsidRPr="00C2021A" w:rsidRDefault="00154DB5" w:rsidP="00F44783">
      <w:pPr>
        <w:pStyle w:val="EndNoteBibliography"/>
        <w:spacing w:after="0"/>
        <w:rPr>
          <w:noProof/>
          <w:color w:val="auto"/>
        </w:rPr>
      </w:pPr>
      <w:r w:rsidRPr="00C2021A">
        <w:rPr>
          <w:noProof/>
          <w:color w:val="auto"/>
        </w:rPr>
        <w:t>Kim, J., Kim, M., Lee, M.-S., Kim, K., Ji, S., Kim, Y.-T., Park, J., Na, K., Bae, K.-H., Kyun Kim, H., Bien, F., Young Lee, C., Park, J.-U., 2017a. Nature Commun. 8(1), 14997.</w:t>
      </w:r>
    </w:p>
    <w:p w14:paraId="17498845" w14:textId="77777777" w:rsidR="00154DB5" w:rsidRPr="00C2021A" w:rsidRDefault="00154DB5" w:rsidP="00F44783">
      <w:pPr>
        <w:pStyle w:val="EndNoteBibliography"/>
        <w:spacing w:after="0"/>
        <w:rPr>
          <w:noProof/>
          <w:color w:val="auto"/>
        </w:rPr>
      </w:pPr>
      <w:r w:rsidRPr="00C2021A">
        <w:rPr>
          <w:noProof/>
          <w:color w:val="auto"/>
        </w:rPr>
        <w:t>Kim, J., Valdés-Ramírez, G., Bandodkar, A.J., Jia, W., Martinez, A.G., Ramírez, J., Mercier, P., Wang, J., 2014. Analyst 139(7), 1632-1636.</w:t>
      </w:r>
    </w:p>
    <w:p w14:paraId="7AFD7E3A" w14:textId="77777777" w:rsidR="00154DB5" w:rsidRPr="00C2021A" w:rsidRDefault="00154DB5" w:rsidP="00F44783">
      <w:pPr>
        <w:pStyle w:val="EndNoteBibliography"/>
        <w:spacing w:after="0"/>
        <w:rPr>
          <w:noProof/>
          <w:color w:val="auto"/>
        </w:rPr>
      </w:pPr>
      <w:r w:rsidRPr="00C2021A">
        <w:rPr>
          <w:noProof/>
          <w:color w:val="auto"/>
        </w:rPr>
        <w:t>Kim, K.S., Lim, S.R., Kim, S.-E., Lee, J.Y., Chung, C.-H., Choe, W.-S., Yoo, P.J., 2017b. Sens. Actuators B Chem. 242, 1121-1128.</w:t>
      </w:r>
    </w:p>
    <w:p w14:paraId="69E07BFE" w14:textId="77777777" w:rsidR="00154DB5" w:rsidRPr="00C2021A" w:rsidRDefault="00154DB5" w:rsidP="00F44783">
      <w:pPr>
        <w:pStyle w:val="EndNoteBibliography"/>
        <w:spacing w:after="0"/>
        <w:rPr>
          <w:noProof/>
          <w:color w:val="auto"/>
        </w:rPr>
      </w:pPr>
      <w:r w:rsidRPr="00C2021A">
        <w:rPr>
          <w:noProof/>
          <w:color w:val="auto"/>
        </w:rPr>
        <w:t>Kim, Y.-H., Lee, K., Jung, H., Kang, H.K., Jo, J., Park, I.-K., Lee, H.H., 2017c. Biosens. Bioelectron. 98, 473-477.</w:t>
      </w:r>
    </w:p>
    <w:p w14:paraId="6401A21A" w14:textId="77777777" w:rsidR="00154DB5" w:rsidRPr="00C2021A" w:rsidRDefault="00154DB5" w:rsidP="00F44783">
      <w:pPr>
        <w:pStyle w:val="EndNoteBibliography"/>
        <w:spacing w:after="0"/>
        <w:rPr>
          <w:noProof/>
          <w:color w:val="auto"/>
        </w:rPr>
      </w:pPr>
      <w:r w:rsidRPr="00C2021A">
        <w:rPr>
          <w:noProof/>
          <w:color w:val="auto"/>
        </w:rPr>
        <w:t>Kondo, S., Toyokuni, S., Iwasa, Y., Tanaka, T., Onodera, H., Hiai, H., Imamura, M., 1999. Free Radical Biology and Medicine 27(3-4), 401-410.</w:t>
      </w:r>
    </w:p>
    <w:p w14:paraId="2DB4AFB0" w14:textId="77777777" w:rsidR="00154DB5" w:rsidRPr="00C2021A" w:rsidRDefault="00154DB5" w:rsidP="00F44783">
      <w:pPr>
        <w:pStyle w:val="EndNoteBibliography"/>
        <w:spacing w:after="0"/>
        <w:rPr>
          <w:noProof/>
          <w:color w:val="auto"/>
        </w:rPr>
      </w:pPr>
      <w:r w:rsidRPr="00C2021A">
        <w:rPr>
          <w:noProof/>
          <w:color w:val="auto"/>
        </w:rPr>
        <w:t>Konkena, B., Vasudevan, S., 2012. J. Phys. Chem. Lett. 3(7), 867-872.</w:t>
      </w:r>
    </w:p>
    <w:p w14:paraId="07C4D087" w14:textId="77777777" w:rsidR="00154DB5" w:rsidRPr="00C2021A" w:rsidRDefault="00154DB5" w:rsidP="00F44783">
      <w:pPr>
        <w:pStyle w:val="EndNoteBibliography"/>
        <w:spacing w:after="0"/>
        <w:rPr>
          <w:noProof/>
          <w:color w:val="auto"/>
        </w:rPr>
      </w:pPr>
      <w:r w:rsidRPr="00C2021A">
        <w:rPr>
          <w:noProof/>
          <w:color w:val="auto"/>
        </w:rPr>
        <w:t>Koutny, L.B., Schmalzing, D., Taylor, T.A., Fuchs, M., 1996. Anal. Chem. 68(1), 18-22.</w:t>
      </w:r>
    </w:p>
    <w:p w14:paraId="24807980" w14:textId="77777777" w:rsidR="00154DB5" w:rsidRPr="00C2021A" w:rsidRDefault="00154DB5" w:rsidP="00F44783">
      <w:pPr>
        <w:pStyle w:val="EndNoteBibliography"/>
        <w:spacing w:after="0"/>
        <w:rPr>
          <w:noProof/>
          <w:color w:val="auto"/>
        </w:rPr>
      </w:pPr>
      <w:r w:rsidRPr="00C2021A">
        <w:rPr>
          <w:noProof/>
          <w:color w:val="auto"/>
        </w:rPr>
        <w:t>Kumar, P., Shahzad, F., Yu, S., Hong, S.M., Kim, Y.-H., Koo, C.M., 2015a. Carbon 94, 494-500.</w:t>
      </w:r>
    </w:p>
    <w:p w14:paraId="6FC1EEA7" w14:textId="77777777" w:rsidR="00154DB5" w:rsidRPr="00C2021A" w:rsidRDefault="00154DB5" w:rsidP="00F44783">
      <w:pPr>
        <w:pStyle w:val="EndNoteBibliography"/>
        <w:spacing w:after="0"/>
        <w:rPr>
          <w:noProof/>
          <w:color w:val="auto"/>
        </w:rPr>
      </w:pPr>
      <w:r w:rsidRPr="00C2021A">
        <w:rPr>
          <w:noProof/>
          <w:color w:val="auto"/>
        </w:rPr>
        <w:t>Kumar, S., Kumar, S., Augustine, S., Yadav, S., Yadav, B.K., Chauhan, R.P., Dewan, A.K., Malhotra, B.D., 2018. Biosens. Bioelectron. 102, 247-255.</w:t>
      </w:r>
    </w:p>
    <w:p w14:paraId="7DED5D9F" w14:textId="77777777" w:rsidR="00154DB5" w:rsidRPr="00C2021A" w:rsidRDefault="00154DB5" w:rsidP="00F44783">
      <w:pPr>
        <w:pStyle w:val="EndNoteBibliography"/>
        <w:spacing w:after="0"/>
        <w:rPr>
          <w:noProof/>
          <w:color w:val="auto"/>
        </w:rPr>
      </w:pPr>
      <w:r w:rsidRPr="00C2021A">
        <w:rPr>
          <w:noProof/>
          <w:color w:val="auto"/>
        </w:rPr>
        <w:lastRenderedPageBreak/>
        <w:t>Kumar, S., Kumar, S., Tiwari, S., Srivastava, S., Srivastava, M., Yadav, B.K., Kumar, S., Tran, T.T., Dewan, A.K., Mulchandani, A., Sharma, J.G., Maji, S., Malhotra, B.D., 2015b. Adv. Sci. 2(8), 1500048.</w:t>
      </w:r>
    </w:p>
    <w:p w14:paraId="162D9EC4" w14:textId="77777777" w:rsidR="00154DB5" w:rsidRPr="00C2021A" w:rsidRDefault="00154DB5" w:rsidP="00F44783">
      <w:pPr>
        <w:pStyle w:val="EndNoteBibliography"/>
        <w:spacing w:after="0"/>
        <w:rPr>
          <w:noProof/>
          <w:color w:val="auto"/>
        </w:rPr>
      </w:pPr>
      <w:r w:rsidRPr="00C2021A">
        <w:rPr>
          <w:noProof/>
          <w:color w:val="auto"/>
        </w:rPr>
        <w:t>Kumar, S., Sharma, J.G., Maji, S., Malhotra, B.D., 2016. Biosens. Bioelectron. 78, 497-504.</w:t>
      </w:r>
    </w:p>
    <w:p w14:paraId="6F307E5F" w14:textId="77777777" w:rsidR="00154DB5" w:rsidRPr="00C2021A" w:rsidRDefault="00154DB5" w:rsidP="00F44783">
      <w:pPr>
        <w:pStyle w:val="EndNoteBibliography"/>
        <w:spacing w:after="0"/>
        <w:rPr>
          <w:noProof/>
          <w:color w:val="auto"/>
        </w:rPr>
      </w:pPr>
      <w:r w:rsidRPr="00C2021A">
        <w:rPr>
          <w:noProof/>
          <w:color w:val="auto"/>
        </w:rPr>
        <w:t>Kumari, N., Dwarakanath, B.S., Das, A., Bhatt, A.N., 2016. Tumor Biol. 37(9), 11553-11572.</w:t>
      </w:r>
    </w:p>
    <w:p w14:paraId="326CF30E" w14:textId="77777777" w:rsidR="00154DB5" w:rsidRPr="00C2021A" w:rsidRDefault="00154DB5" w:rsidP="00F44783">
      <w:pPr>
        <w:pStyle w:val="EndNoteBibliography"/>
        <w:spacing w:after="0"/>
        <w:rPr>
          <w:noProof/>
          <w:color w:val="auto"/>
        </w:rPr>
      </w:pPr>
      <w:r w:rsidRPr="00C2021A">
        <w:rPr>
          <w:noProof/>
          <w:color w:val="auto"/>
        </w:rPr>
        <w:t>Kwon, Y.-T., Kim, Y.-S., Kwon, S., Mahmood, M., Lim, H.-R., Park, S.-W., Kang, S.-O., Choi, J.J., Herbert, R., Jang, Y.C., 2020. Nature communications 11(1), 1-11.</w:t>
      </w:r>
    </w:p>
    <w:p w14:paraId="18B53356" w14:textId="77777777" w:rsidR="00154DB5" w:rsidRPr="00C2021A" w:rsidRDefault="00154DB5" w:rsidP="00F44783">
      <w:pPr>
        <w:pStyle w:val="EndNoteBibliography"/>
        <w:spacing w:after="0"/>
        <w:rPr>
          <w:noProof/>
          <w:color w:val="auto"/>
        </w:rPr>
      </w:pPr>
      <w:r w:rsidRPr="00C2021A">
        <w:rPr>
          <w:noProof/>
          <w:color w:val="auto"/>
        </w:rPr>
        <w:t>Lawrence, H.P., 2002. J. Can. Dent. Assoc. 68(3), 170-175.</w:t>
      </w:r>
    </w:p>
    <w:p w14:paraId="7A7F1626" w14:textId="77777777" w:rsidR="00154DB5" w:rsidRPr="00C2021A" w:rsidRDefault="00154DB5" w:rsidP="00F44783">
      <w:pPr>
        <w:pStyle w:val="EndNoteBibliography"/>
        <w:spacing w:after="0"/>
        <w:rPr>
          <w:noProof/>
          <w:color w:val="auto"/>
        </w:rPr>
      </w:pPr>
      <w:r w:rsidRPr="00C2021A">
        <w:rPr>
          <w:noProof/>
          <w:color w:val="auto"/>
        </w:rPr>
        <w:t>Lazzeri, C., Valente, S., Chiostri, M., Gensini, G.F., 2015. World J. Cardiol. 7(8), 483.</w:t>
      </w:r>
    </w:p>
    <w:p w14:paraId="78819A93" w14:textId="77777777" w:rsidR="00154DB5" w:rsidRPr="00C2021A" w:rsidRDefault="00154DB5" w:rsidP="00F44783">
      <w:pPr>
        <w:pStyle w:val="EndNoteBibliography"/>
        <w:spacing w:after="0"/>
        <w:rPr>
          <w:noProof/>
          <w:color w:val="auto"/>
        </w:rPr>
      </w:pPr>
      <w:r w:rsidRPr="00C2021A">
        <w:rPr>
          <w:noProof/>
          <w:color w:val="auto"/>
        </w:rPr>
        <w:t>Lee, C., Wei, X., Kysar, J.W., Hone, J., 2008. Science 321(5887), 385-388.</w:t>
      </w:r>
    </w:p>
    <w:p w14:paraId="1F13F376" w14:textId="77777777" w:rsidR="00154DB5" w:rsidRPr="00C2021A" w:rsidRDefault="00154DB5" w:rsidP="00F44783">
      <w:pPr>
        <w:pStyle w:val="EndNoteBibliography"/>
        <w:spacing w:after="0"/>
        <w:rPr>
          <w:noProof/>
          <w:color w:val="auto"/>
        </w:rPr>
      </w:pPr>
      <w:r w:rsidRPr="00C2021A">
        <w:rPr>
          <w:noProof/>
          <w:color w:val="auto"/>
        </w:rPr>
        <w:t>Lee, H., Lee, Y., Song, C., Cho, H.R., Ghaffari, R., Choi, T.K., Kim, K.H., Lee, Y.B., Ling, D., Lee, H., Yu, S.J., Choi, S.H., Hyeon, T., Kim, D.-H., 2015. Nature Commun. 6(1), 10059.</w:t>
      </w:r>
    </w:p>
    <w:p w14:paraId="5B6FCBA9" w14:textId="77777777" w:rsidR="00154DB5" w:rsidRPr="00C2021A" w:rsidRDefault="00154DB5" w:rsidP="00F44783">
      <w:pPr>
        <w:pStyle w:val="EndNoteBibliography"/>
        <w:spacing w:after="0"/>
        <w:rPr>
          <w:noProof/>
          <w:color w:val="auto"/>
        </w:rPr>
      </w:pPr>
      <w:r w:rsidRPr="00C2021A">
        <w:rPr>
          <w:noProof/>
          <w:color w:val="auto"/>
        </w:rPr>
        <w:t>Lee, J.-H., Loya, P.E., Lou, J., Thomas, E.L., 2014. Science 346(6213), 1092-1096.</w:t>
      </w:r>
    </w:p>
    <w:p w14:paraId="6AE4EB68" w14:textId="77777777" w:rsidR="00154DB5" w:rsidRPr="00C2021A" w:rsidRDefault="00154DB5" w:rsidP="00F44783">
      <w:pPr>
        <w:pStyle w:val="EndNoteBibliography"/>
        <w:spacing w:after="0"/>
        <w:rPr>
          <w:noProof/>
          <w:color w:val="auto"/>
        </w:rPr>
      </w:pPr>
      <w:r w:rsidRPr="00C2021A">
        <w:rPr>
          <w:noProof/>
          <w:color w:val="auto"/>
        </w:rPr>
        <w:t>Lee, Y., Howe, C., Mishra, S., Lee, D.S., Mahmood, M., Piper, M., Kim, Y., Tieu, K., Byun, H.-S., Coffey, J.P., 2018a. Proc. Natl. Acad. Sci. 115(21), 5377-5382.</w:t>
      </w:r>
    </w:p>
    <w:p w14:paraId="6B27ECE4" w14:textId="77777777" w:rsidR="00154DB5" w:rsidRPr="00C2021A" w:rsidRDefault="00154DB5" w:rsidP="00F44783">
      <w:pPr>
        <w:pStyle w:val="EndNoteBibliography"/>
        <w:spacing w:after="0"/>
        <w:rPr>
          <w:noProof/>
          <w:color w:val="auto"/>
        </w:rPr>
      </w:pPr>
      <w:r w:rsidRPr="00C2021A">
        <w:rPr>
          <w:noProof/>
          <w:color w:val="auto"/>
        </w:rPr>
        <w:t>Lee, Y.J., Eom, K.S., Shin, K.-S., Kang, J.Y., Lee, S.H., 2018b. Sens. Actuators B Chem. 271, 73-81.</w:t>
      </w:r>
    </w:p>
    <w:p w14:paraId="75B7C742" w14:textId="77777777" w:rsidR="00154DB5" w:rsidRPr="00C2021A" w:rsidRDefault="00154DB5" w:rsidP="00F44783">
      <w:pPr>
        <w:pStyle w:val="EndNoteBibliography"/>
        <w:spacing w:after="0"/>
        <w:rPr>
          <w:noProof/>
          <w:color w:val="auto"/>
        </w:rPr>
      </w:pPr>
      <w:r w:rsidRPr="00C2021A">
        <w:rPr>
          <w:noProof/>
          <w:color w:val="auto"/>
        </w:rPr>
        <w:t>Lightcap, I.V., Kosel, T.H., Kamat, P.V., 2010. Nano Lett. 10(2), 577-583.</w:t>
      </w:r>
    </w:p>
    <w:p w14:paraId="2664267D" w14:textId="77777777" w:rsidR="00154DB5" w:rsidRPr="00C2021A" w:rsidRDefault="00154DB5" w:rsidP="00F44783">
      <w:pPr>
        <w:pStyle w:val="EndNoteBibliography"/>
        <w:spacing w:after="0"/>
        <w:rPr>
          <w:noProof/>
          <w:color w:val="auto"/>
        </w:rPr>
      </w:pPr>
      <w:r w:rsidRPr="00C2021A">
        <w:rPr>
          <w:noProof/>
          <w:color w:val="auto"/>
        </w:rPr>
        <w:t>Liguori, I., Russo, G., Curcio, F., Bulli, G., Aran, L., Della-Morte, D., Gargiulo, G., Testa, G., Cacciatore, F., Bonaduce, D., 2018. Clin. Interv. Aging 13, 757.</w:t>
      </w:r>
    </w:p>
    <w:p w14:paraId="6B255875" w14:textId="77777777" w:rsidR="00154DB5" w:rsidRPr="00C2021A" w:rsidRDefault="00154DB5" w:rsidP="00F44783">
      <w:pPr>
        <w:pStyle w:val="EndNoteBibliography"/>
        <w:spacing w:after="0"/>
        <w:rPr>
          <w:noProof/>
          <w:color w:val="auto"/>
        </w:rPr>
      </w:pPr>
      <w:r w:rsidRPr="00C2021A">
        <w:rPr>
          <w:noProof/>
          <w:color w:val="auto"/>
        </w:rPr>
        <w:t>Lim, H.R., Kim, H.S., Qazi, R., Kwon, Y.T., Jeong, J.W., Yeo, W.H., 2020. Adv. Mater. 32(15), 1901924.</w:t>
      </w:r>
    </w:p>
    <w:p w14:paraId="12BF728C" w14:textId="77777777" w:rsidR="00154DB5" w:rsidRPr="00C2021A" w:rsidRDefault="00154DB5" w:rsidP="00F44783">
      <w:pPr>
        <w:pStyle w:val="EndNoteBibliography"/>
        <w:spacing w:after="0"/>
        <w:rPr>
          <w:noProof/>
          <w:color w:val="auto"/>
        </w:rPr>
      </w:pPr>
      <w:r w:rsidRPr="00C2021A">
        <w:rPr>
          <w:noProof/>
          <w:color w:val="auto"/>
        </w:rPr>
        <w:t>Lin, Y.-M., Valdes-Garcia, A., Han, S.-J., Farmer, D.B., Meric, I., Sun, Y., Wu, Y., Dimitrakopoulos, C., Grill, A., Avouris, P., Jenkins, K.A., 2011. Science 332(6035), 1294-1297.</w:t>
      </w:r>
    </w:p>
    <w:p w14:paraId="559A2A04" w14:textId="77777777" w:rsidR="00154DB5" w:rsidRPr="00C2021A" w:rsidRDefault="00154DB5" w:rsidP="00F44783">
      <w:pPr>
        <w:pStyle w:val="EndNoteBibliography"/>
        <w:spacing w:after="0"/>
        <w:rPr>
          <w:noProof/>
          <w:color w:val="auto"/>
        </w:rPr>
      </w:pPr>
      <w:r w:rsidRPr="00C2021A">
        <w:rPr>
          <w:noProof/>
          <w:color w:val="auto"/>
        </w:rPr>
        <w:t>Liu, D., Yun, Y., Yang, D., Hu, X., Dong, X., Zhang, N., Zhang, L., Yin, H., Duan, W., 2019. Dis. Markers 2019, 4081962.</w:t>
      </w:r>
    </w:p>
    <w:p w14:paraId="164ACE65" w14:textId="77777777" w:rsidR="00154DB5" w:rsidRPr="00C2021A" w:rsidRDefault="00154DB5" w:rsidP="00F44783">
      <w:pPr>
        <w:pStyle w:val="EndNoteBibliography"/>
        <w:spacing w:after="0"/>
        <w:rPr>
          <w:noProof/>
          <w:color w:val="auto"/>
        </w:rPr>
      </w:pPr>
      <w:r w:rsidRPr="00C2021A">
        <w:rPr>
          <w:noProof/>
          <w:color w:val="auto"/>
        </w:rPr>
        <w:t>Liu, H., Liu, Y., Zhu, D., 2011a. J. Mater. Chem. 21(10), 3335-3345.</w:t>
      </w:r>
    </w:p>
    <w:p w14:paraId="4EDCC498" w14:textId="77777777" w:rsidR="00154DB5" w:rsidRPr="00C2021A" w:rsidRDefault="00154DB5" w:rsidP="00F44783">
      <w:pPr>
        <w:pStyle w:val="EndNoteBibliography"/>
        <w:spacing w:after="0"/>
        <w:rPr>
          <w:noProof/>
          <w:color w:val="auto"/>
        </w:rPr>
      </w:pPr>
      <w:r w:rsidRPr="00C2021A">
        <w:rPr>
          <w:noProof/>
          <w:color w:val="auto"/>
        </w:rPr>
        <w:t>Liu, Q., Shi, J., Sun, J., Wang, T., Zeng, L., Jiang, G., 2011b. Angew. Chem. Int. 50(26), 5913-5917.</w:t>
      </w:r>
    </w:p>
    <w:p w14:paraId="066ED523" w14:textId="77777777" w:rsidR="00154DB5" w:rsidRPr="00C2021A" w:rsidRDefault="00154DB5" w:rsidP="00F44783">
      <w:pPr>
        <w:pStyle w:val="EndNoteBibliography"/>
        <w:spacing w:after="0"/>
        <w:rPr>
          <w:noProof/>
          <w:color w:val="auto"/>
        </w:rPr>
      </w:pPr>
      <w:r w:rsidRPr="00C2021A">
        <w:rPr>
          <w:noProof/>
          <w:color w:val="auto"/>
        </w:rPr>
        <w:t>Liu, W.-W., Chai, S.-P., Mohamed, A.R., Hashim, U., 2014. J. Ind. Eng. Chem. 20(4), 1171-1185.</w:t>
      </w:r>
    </w:p>
    <w:p w14:paraId="64F351FD" w14:textId="77777777" w:rsidR="00154DB5" w:rsidRPr="00C2021A" w:rsidRDefault="00154DB5" w:rsidP="00F44783">
      <w:pPr>
        <w:pStyle w:val="EndNoteBibliography"/>
        <w:spacing w:after="0"/>
        <w:rPr>
          <w:noProof/>
          <w:color w:val="auto"/>
        </w:rPr>
      </w:pPr>
      <w:r w:rsidRPr="00C2021A">
        <w:rPr>
          <w:noProof/>
          <w:color w:val="auto"/>
        </w:rPr>
        <w:t>Liu, X., Li, Q., Gu, P., Su, S., Huang, Y., Feng, X., Fan, Q., Huang, W., 2017. IEEE Sens. J. 17(17), 5431-5436.</w:t>
      </w:r>
    </w:p>
    <w:p w14:paraId="659D528A" w14:textId="77777777" w:rsidR="00154DB5" w:rsidRPr="00C2021A" w:rsidRDefault="00154DB5" w:rsidP="00F44783">
      <w:pPr>
        <w:pStyle w:val="EndNoteBibliography"/>
        <w:spacing w:after="0"/>
        <w:rPr>
          <w:noProof/>
          <w:color w:val="auto"/>
        </w:rPr>
      </w:pPr>
      <w:r w:rsidRPr="00C2021A">
        <w:rPr>
          <w:noProof/>
          <w:color w:val="auto"/>
        </w:rPr>
        <w:t>Ma, L., Hu, L., Feng, X., Wang, S., 2018. Aging Dis. 9(5), 938-945.</w:t>
      </w:r>
    </w:p>
    <w:p w14:paraId="5F746D18" w14:textId="77777777" w:rsidR="00154DB5" w:rsidRPr="00C2021A" w:rsidRDefault="00154DB5" w:rsidP="00F44783">
      <w:pPr>
        <w:pStyle w:val="EndNoteBibliography"/>
        <w:spacing w:after="0"/>
        <w:rPr>
          <w:noProof/>
          <w:color w:val="auto"/>
        </w:rPr>
      </w:pPr>
      <w:r w:rsidRPr="00C2021A">
        <w:rPr>
          <w:noProof/>
          <w:color w:val="auto"/>
        </w:rPr>
        <w:t>Ma, Y., Zhang, Y., Cai, S., Han, Z., Liu, X., Wang, F., Cao, Y., Wang, Z., Li, H., Chen, Y., 2020. Adv. Mater. 32(15), 1902062.</w:t>
      </w:r>
    </w:p>
    <w:p w14:paraId="108A2051" w14:textId="77777777" w:rsidR="00154DB5" w:rsidRPr="00C2021A" w:rsidRDefault="00154DB5" w:rsidP="00F44783">
      <w:pPr>
        <w:pStyle w:val="EndNoteBibliography"/>
        <w:spacing w:after="0"/>
        <w:rPr>
          <w:noProof/>
          <w:color w:val="auto"/>
        </w:rPr>
      </w:pPr>
      <w:r w:rsidRPr="00C2021A">
        <w:rPr>
          <w:noProof/>
          <w:color w:val="auto"/>
        </w:rPr>
        <w:t>Mahanta, N.K., Abramson, A.R., 2012. 13th InterSociety Conference on Thermal and Thermomechanical Phenomena in Electronic Systems, pp. 1-6. IEEE.</w:t>
      </w:r>
    </w:p>
    <w:p w14:paraId="1E067ACD" w14:textId="77777777" w:rsidR="00154DB5" w:rsidRPr="00C2021A" w:rsidRDefault="00154DB5" w:rsidP="00F44783">
      <w:pPr>
        <w:pStyle w:val="EndNoteBibliography"/>
        <w:spacing w:after="0"/>
        <w:rPr>
          <w:noProof/>
          <w:color w:val="auto"/>
        </w:rPr>
      </w:pPr>
      <w:r w:rsidRPr="00C2021A">
        <w:rPr>
          <w:noProof/>
          <w:color w:val="auto"/>
        </w:rPr>
        <w:t>Maheshwaran, S., Akilarasan, M., Chen, S.-M., Chen, T.-W., Tamilalagan, E., Tzu, C.Y., Lou, B.-S., 2020. J. Electrochem. Soc. 167(6), 066517.</w:t>
      </w:r>
    </w:p>
    <w:p w14:paraId="79A1C6DD" w14:textId="77777777" w:rsidR="00154DB5" w:rsidRPr="00C2021A" w:rsidRDefault="00154DB5" w:rsidP="00F44783">
      <w:pPr>
        <w:pStyle w:val="EndNoteBibliography"/>
        <w:spacing w:after="0"/>
        <w:rPr>
          <w:noProof/>
          <w:color w:val="auto"/>
        </w:rPr>
      </w:pPr>
      <w:r w:rsidRPr="00C2021A">
        <w:rPr>
          <w:noProof/>
          <w:color w:val="auto"/>
        </w:rPr>
        <w:t>Maier, C., Riedl, M., Vila, G., Nowotny, P., Wolzt, M., Clodi, M., Ludvik, B., Luger, A., 2008. Diabetes 57(9), 2332-2340.</w:t>
      </w:r>
    </w:p>
    <w:p w14:paraId="4E56F58F" w14:textId="77777777" w:rsidR="00154DB5" w:rsidRPr="00C2021A" w:rsidRDefault="00154DB5" w:rsidP="00F44783">
      <w:pPr>
        <w:pStyle w:val="EndNoteBibliography"/>
        <w:spacing w:after="0"/>
        <w:rPr>
          <w:noProof/>
          <w:color w:val="auto"/>
        </w:rPr>
      </w:pPr>
      <w:r w:rsidRPr="00C2021A">
        <w:rPr>
          <w:noProof/>
          <w:color w:val="auto"/>
        </w:rPr>
        <w:t>Malon, R.S.P., Sadir, S., Balakrishnan, M., Córcoles, E.P., 2014. BioMed Res. Int. 2014, 962903-962903.</w:t>
      </w:r>
    </w:p>
    <w:p w14:paraId="791750BA" w14:textId="77777777" w:rsidR="00154DB5" w:rsidRPr="00C2021A" w:rsidRDefault="00154DB5" w:rsidP="00F44783">
      <w:pPr>
        <w:pStyle w:val="EndNoteBibliography"/>
        <w:spacing w:after="0"/>
        <w:rPr>
          <w:noProof/>
          <w:color w:val="auto"/>
        </w:rPr>
      </w:pPr>
      <w:r w:rsidRPr="00C2021A">
        <w:rPr>
          <w:noProof/>
          <w:color w:val="auto"/>
        </w:rPr>
        <w:t>Mandal, M., Maitra, A., Das, T., Das, C.K., 2015. Graphene Materials: Fundamentals and Emerging Applications, pp. 1-23.</w:t>
      </w:r>
    </w:p>
    <w:p w14:paraId="0E80F159" w14:textId="77777777" w:rsidR="00154DB5" w:rsidRPr="00C2021A" w:rsidRDefault="00154DB5" w:rsidP="00F44783">
      <w:pPr>
        <w:pStyle w:val="EndNoteBibliography"/>
        <w:spacing w:after="0"/>
        <w:rPr>
          <w:noProof/>
          <w:color w:val="auto"/>
        </w:rPr>
      </w:pPr>
      <w:r w:rsidRPr="00C2021A">
        <w:rPr>
          <w:noProof/>
          <w:color w:val="auto"/>
        </w:rPr>
        <w:t>Mannoor, M.S., Tao, H., Clayton, J.D., Sengupta, A., Kaplan, D.L., Naik, R.R., Verma, N., Omenetto, F.G., McAlpine, M.C., 2012. Nature Commun. 3, 763.</w:t>
      </w:r>
    </w:p>
    <w:p w14:paraId="03B7ADE4" w14:textId="77777777" w:rsidR="00154DB5" w:rsidRPr="00C2021A" w:rsidRDefault="00154DB5" w:rsidP="00F44783">
      <w:pPr>
        <w:pStyle w:val="EndNoteBibliography"/>
        <w:spacing w:after="0"/>
        <w:rPr>
          <w:noProof/>
          <w:color w:val="auto"/>
        </w:rPr>
      </w:pPr>
      <w:r w:rsidRPr="00C2021A">
        <w:rPr>
          <w:noProof/>
          <w:color w:val="auto"/>
        </w:rPr>
        <w:t>Mao, H.Y., Laurent, S., Chen, W., Akhavan, O., Imani, M., Ashkarran, A.A., Mahmoudi, M., 2013. Chem. Rev. 113(5), 3407-3424.</w:t>
      </w:r>
    </w:p>
    <w:p w14:paraId="3896AD0A" w14:textId="77777777" w:rsidR="00154DB5" w:rsidRPr="00C2021A" w:rsidRDefault="00154DB5" w:rsidP="00F44783">
      <w:pPr>
        <w:pStyle w:val="EndNoteBibliography"/>
        <w:spacing w:after="0"/>
        <w:rPr>
          <w:noProof/>
          <w:color w:val="auto"/>
        </w:rPr>
      </w:pPr>
      <w:r w:rsidRPr="00C2021A">
        <w:rPr>
          <w:noProof/>
          <w:color w:val="auto"/>
        </w:rPr>
        <w:t>Markopoulos, A.K., Michailidou, E.Z., Tzimagiorgis, G., 2010. Open Dent. J. 4, 172.</w:t>
      </w:r>
    </w:p>
    <w:p w14:paraId="07792EBB" w14:textId="77777777" w:rsidR="00154DB5" w:rsidRPr="00C2021A" w:rsidRDefault="00154DB5" w:rsidP="00F44783">
      <w:pPr>
        <w:pStyle w:val="EndNoteBibliography"/>
        <w:spacing w:after="0"/>
        <w:rPr>
          <w:noProof/>
          <w:color w:val="auto"/>
        </w:rPr>
      </w:pPr>
      <w:r w:rsidRPr="00C2021A">
        <w:rPr>
          <w:noProof/>
          <w:color w:val="auto"/>
        </w:rPr>
        <w:t>Martínez-García, G., Agüí, L., Yáñez-Sedeño, P., Pingarrón, J., 2016. Electrochim. Acta 202, 209-215.</w:t>
      </w:r>
    </w:p>
    <w:p w14:paraId="4F026418" w14:textId="77777777" w:rsidR="00154DB5" w:rsidRPr="00C2021A" w:rsidRDefault="00154DB5" w:rsidP="00F44783">
      <w:pPr>
        <w:pStyle w:val="EndNoteBibliography"/>
        <w:spacing w:after="0"/>
        <w:rPr>
          <w:noProof/>
          <w:color w:val="auto"/>
        </w:rPr>
      </w:pPr>
      <w:r w:rsidRPr="00C2021A">
        <w:rPr>
          <w:noProof/>
          <w:color w:val="auto"/>
        </w:rPr>
        <w:t>Michalke, B., Rossbach, B., Göen, T., Schäferhenrich, A., Scherer, G., 2015. Int. Arch. of Occ. Env. Hea. 88(1), 1-44.</w:t>
      </w:r>
    </w:p>
    <w:p w14:paraId="29C6D459" w14:textId="77777777" w:rsidR="00154DB5" w:rsidRPr="00C2021A" w:rsidRDefault="00154DB5" w:rsidP="00F44783">
      <w:pPr>
        <w:pStyle w:val="EndNoteBibliography"/>
        <w:spacing w:after="0"/>
        <w:rPr>
          <w:noProof/>
          <w:color w:val="auto"/>
        </w:rPr>
      </w:pPr>
      <w:r w:rsidRPr="00C2021A">
        <w:rPr>
          <w:noProof/>
          <w:color w:val="auto"/>
        </w:rPr>
        <w:t>Mishra, S., Saadat, D., Kwon, O., Lee, Y., Choi, W.-S., Kim, J.-H., Yeo, W.-H., 2016. Biosensors and Bioelectronics 81, 181-197.</w:t>
      </w:r>
    </w:p>
    <w:p w14:paraId="4BCD15D3" w14:textId="77777777" w:rsidR="00154DB5" w:rsidRPr="00C2021A" w:rsidRDefault="00154DB5" w:rsidP="00F44783">
      <w:pPr>
        <w:pStyle w:val="EndNoteBibliography"/>
        <w:spacing w:after="0"/>
        <w:rPr>
          <w:noProof/>
          <w:color w:val="auto"/>
        </w:rPr>
      </w:pPr>
      <w:r w:rsidRPr="00C2021A">
        <w:rPr>
          <w:noProof/>
          <w:color w:val="auto"/>
        </w:rPr>
        <w:t>Mishra, V., Patil, R., Khanna, V., Tripathi, A., Singh, V., Pandey, S., Chaurasia, A., 2018. J. Clin. Diagnostic Res. 12(7), ZC44-ZC47.</w:t>
      </w:r>
    </w:p>
    <w:p w14:paraId="15CB2209" w14:textId="77777777" w:rsidR="00154DB5" w:rsidRPr="00C2021A" w:rsidRDefault="00154DB5" w:rsidP="00F44783">
      <w:pPr>
        <w:pStyle w:val="EndNoteBibliography"/>
        <w:spacing w:after="0"/>
        <w:rPr>
          <w:noProof/>
          <w:color w:val="auto"/>
        </w:rPr>
      </w:pPr>
      <w:r w:rsidRPr="00C2021A">
        <w:rPr>
          <w:noProof/>
          <w:color w:val="auto"/>
        </w:rPr>
        <w:t>Mitsubayashi, K., Arakawa, T., 2016. Electroanalysis 28(6), 1170-1187.</w:t>
      </w:r>
    </w:p>
    <w:p w14:paraId="2CE579B4" w14:textId="77777777" w:rsidR="00154DB5" w:rsidRPr="00C2021A" w:rsidRDefault="00154DB5" w:rsidP="00F44783">
      <w:pPr>
        <w:pStyle w:val="EndNoteBibliography"/>
        <w:spacing w:after="0"/>
        <w:rPr>
          <w:noProof/>
          <w:color w:val="auto"/>
        </w:rPr>
      </w:pPr>
      <w:r w:rsidRPr="00C2021A">
        <w:rPr>
          <w:noProof/>
          <w:color w:val="auto"/>
        </w:rPr>
        <w:t>Mohamed, M.A., Atty, S.A., Merey, H.A., Fattah, T.A., Foster, C.W., Banks, C.E., 2017. Analyst 142(19), 3674-3679.</w:t>
      </w:r>
    </w:p>
    <w:p w14:paraId="7A7ABE56" w14:textId="77777777" w:rsidR="00154DB5" w:rsidRPr="00C2021A" w:rsidRDefault="00154DB5" w:rsidP="00F44783">
      <w:pPr>
        <w:pStyle w:val="EndNoteBibliography"/>
        <w:spacing w:after="0"/>
        <w:rPr>
          <w:noProof/>
          <w:color w:val="auto"/>
        </w:rPr>
      </w:pPr>
      <w:r w:rsidRPr="00C2021A">
        <w:rPr>
          <w:noProof/>
          <w:color w:val="auto"/>
        </w:rPr>
        <w:lastRenderedPageBreak/>
        <w:t>Mohd Azmi, M.A., Tehrani, Z., Lewis, R.P., Walker, K.A.D., Jones, D.R., Daniels, D.R., Doak, S.H., Guy, O.J., 2014. Biosens. Bioelectron. 52, 216-224.</w:t>
      </w:r>
    </w:p>
    <w:p w14:paraId="51E4E22D" w14:textId="77777777" w:rsidR="00154DB5" w:rsidRPr="00C2021A" w:rsidRDefault="00154DB5" w:rsidP="00F44783">
      <w:pPr>
        <w:pStyle w:val="EndNoteBibliography"/>
        <w:spacing w:after="0"/>
        <w:rPr>
          <w:noProof/>
          <w:color w:val="auto"/>
        </w:rPr>
      </w:pPr>
      <w:r w:rsidRPr="00C2021A">
        <w:rPr>
          <w:noProof/>
          <w:color w:val="auto"/>
        </w:rPr>
        <w:t>Mojon, P., Budtz-Jørgensen, E., Rapin, C.H., 1999. Age Ageing 28(5), 463-468.</w:t>
      </w:r>
    </w:p>
    <w:p w14:paraId="54C5B8C8" w14:textId="77777777" w:rsidR="00154DB5" w:rsidRPr="00C2021A" w:rsidRDefault="00154DB5" w:rsidP="00F44783">
      <w:pPr>
        <w:pStyle w:val="EndNoteBibliography"/>
        <w:spacing w:after="0"/>
        <w:rPr>
          <w:noProof/>
          <w:color w:val="auto"/>
        </w:rPr>
      </w:pPr>
      <w:r w:rsidRPr="00C2021A">
        <w:rPr>
          <w:noProof/>
          <w:color w:val="auto"/>
        </w:rPr>
        <w:t>Montes-Navajas, P., Asenjo, N.G., Santamaría, R., Menéndez, R., Corma, A., García, H., 2013. Langmuir 29(44), 13443-13448.</w:t>
      </w:r>
    </w:p>
    <w:p w14:paraId="404EA1BB" w14:textId="77777777" w:rsidR="00154DB5" w:rsidRPr="00C2021A" w:rsidRDefault="00154DB5" w:rsidP="00F44783">
      <w:pPr>
        <w:pStyle w:val="EndNoteBibliography"/>
        <w:spacing w:after="0"/>
        <w:rPr>
          <w:noProof/>
          <w:color w:val="auto"/>
        </w:rPr>
      </w:pPr>
      <w:r w:rsidRPr="00C2021A">
        <w:rPr>
          <w:noProof/>
          <w:color w:val="auto"/>
        </w:rPr>
        <w:t>Morgan, C.J., Curran, H.V., Drugs, I.S.C.o., 2012. Addiction 107(1), 27-38.</w:t>
      </w:r>
    </w:p>
    <w:p w14:paraId="239F4AF1" w14:textId="77777777" w:rsidR="00154DB5" w:rsidRPr="00C2021A" w:rsidRDefault="00154DB5" w:rsidP="00F44783">
      <w:pPr>
        <w:pStyle w:val="EndNoteBibliography"/>
        <w:spacing w:after="0"/>
        <w:rPr>
          <w:noProof/>
          <w:color w:val="auto"/>
        </w:rPr>
      </w:pPr>
      <w:r w:rsidRPr="00C2021A">
        <w:rPr>
          <w:noProof/>
          <w:color w:val="auto"/>
        </w:rPr>
        <w:t>Morozov, S.V., Novoselov, K.S., Katsnelson, M.I., Schedin, F., Elias, D.C., Jaszczak, J.A., Geim, A.K., 2008. Phys. Rev. Lett. 100(1), 016602.</w:t>
      </w:r>
    </w:p>
    <w:p w14:paraId="310AC862" w14:textId="77777777" w:rsidR="00154DB5" w:rsidRPr="00C2021A" w:rsidRDefault="00154DB5" w:rsidP="00F44783">
      <w:pPr>
        <w:pStyle w:val="EndNoteBibliography"/>
        <w:spacing w:after="0"/>
        <w:rPr>
          <w:noProof/>
          <w:color w:val="auto"/>
        </w:rPr>
      </w:pPr>
      <w:r w:rsidRPr="00C2021A">
        <w:rPr>
          <w:noProof/>
          <w:color w:val="auto"/>
        </w:rPr>
        <w:t>Murphy, D.L., Baker, M., Goodwin, F.K., Miller, H., Kotin, J., Bunney, W.E., 1974. Psychopharmacology 34(1), 11-20.</w:t>
      </w:r>
    </w:p>
    <w:p w14:paraId="05B6205C" w14:textId="77777777" w:rsidR="00154DB5" w:rsidRPr="00C2021A" w:rsidRDefault="00154DB5" w:rsidP="00F44783">
      <w:pPr>
        <w:pStyle w:val="EndNoteBibliography"/>
        <w:spacing w:after="0"/>
        <w:rPr>
          <w:noProof/>
          <w:color w:val="auto"/>
        </w:rPr>
      </w:pPr>
      <w:r w:rsidRPr="00C2021A">
        <w:rPr>
          <w:noProof/>
          <w:color w:val="auto"/>
        </w:rPr>
        <w:t>Nagler, R., Bahar, G., Shpitzer, T., Feinmesser, R., 2006. Clin. Cancer Res. 12(13), 3979-3984.</w:t>
      </w:r>
    </w:p>
    <w:p w14:paraId="37042B36" w14:textId="77777777" w:rsidR="00154DB5" w:rsidRPr="00C2021A" w:rsidRDefault="00154DB5" w:rsidP="00F44783">
      <w:pPr>
        <w:pStyle w:val="EndNoteBibliography"/>
        <w:spacing w:after="0"/>
        <w:rPr>
          <w:noProof/>
          <w:color w:val="auto"/>
        </w:rPr>
      </w:pPr>
      <w:r w:rsidRPr="00C2021A">
        <w:rPr>
          <w:noProof/>
          <w:color w:val="auto"/>
        </w:rPr>
        <w:t>Nair, R.R., Blake, P., Grigorenko, A.N., Novoselov, K.S., Booth, T.J., Stauber, T., Peres, N.M.R., Geim, A.K., 2008. Science 320(5881), 1308-1308.</w:t>
      </w:r>
    </w:p>
    <w:p w14:paraId="35FA7C87" w14:textId="77777777" w:rsidR="00154DB5" w:rsidRPr="00C2021A" w:rsidRDefault="00154DB5" w:rsidP="00F44783">
      <w:pPr>
        <w:pStyle w:val="EndNoteBibliography"/>
        <w:spacing w:after="0"/>
        <w:rPr>
          <w:noProof/>
          <w:color w:val="auto"/>
        </w:rPr>
      </w:pPr>
      <w:r w:rsidRPr="00C2021A">
        <w:rPr>
          <w:noProof/>
          <w:color w:val="auto"/>
        </w:rPr>
        <w:t>Napoleon Waszkiewicz, A.U.B.Z.-S.A.U.A.Z.A.U.M.W.A.U.S.D.S.A.U.B.R.A.U., 2012. Folia Histochem. Cytobiol. 50(2), 248-254.</w:t>
      </w:r>
    </w:p>
    <w:p w14:paraId="65880C93" w14:textId="77777777" w:rsidR="00154DB5" w:rsidRPr="00C2021A" w:rsidRDefault="00154DB5" w:rsidP="00F44783">
      <w:pPr>
        <w:pStyle w:val="EndNoteBibliography"/>
        <w:spacing w:after="0"/>
        <w:rPr>
          <w:noProof/>
          <w:color w:val="auto"/>
        </w:rPr>
      </w:pPr>
      <w:r w:rsidRPr="00C2021A">
        <w:rPr>
          <w:noProof/>
          <w:color w:val="auto"/>
        </w:rPr>
        <w:t>Nazarpour, S., Hajian, R., Sabzvari, M.H., 2020. Microchem. J., 104634.</w:t>
      </w:r>
    </w:p>
    <w:p w14:paraId="2F5752D2" w14:textId="77777777" w:rsidR="00154DB5" w:rsidRPr="00C2021A" w:rsidRDefault="00154DB5" w:rsidP="00F44783">
      <w:pPr>
        <w:pStyle w:val="EndNoteBibliography"/>
        <w:spacing w:after="0"/>
        <w:rPr>
          <w:noProof/>
          <w:color w:val="auto"/>
        </w:rPr>
      </w:pPr>
      <w:r w:rsidRPr="00C2021A">
        <w:rPr>
          <w:noProof/>
          <w:color w:val="auto"/>
        </w:rPr>
        <w:t>Ng, S.P., Qiu, G., Ding, N., Lu, X., Wu, C.-M.L., 2017. Biosens. Bioelectron. 89, 468-476.</w:t>
      </w:r>
    </w:p>
    <w:p w14:paraId="44111FF3" w14:textId="77777777" w:rsidR="00154DB5" w:rsidRPr="00C2021A" w:rsidRDefault="00154DB5" w:rsidP="00F44783">
      <w:pPr>
        <w:pStyle w:val="EndNoteBibliography"/>
        <w:spacing w:after="0"/>
        <w:rPr>
          <w:noProof/>
          <w:color w:val="auto"/>
        </w:rPr>
      </w:pPr>
      <w:r w:rsidRPr="00C2021A">
        <w:rPr>
          <w:noProof/>
          <w:color w:val="auto"/>
        </w:rPr>
        <w:t>Ngamchuea, K., Batchelor-McAuley, C., Compton, R.G., 2018. Sens. Actuators B Chem. 262, 404-410.</w:t>
      </w:r>
    </w:p>
    <w:p w14:paraId="60038910" w14:textId="77777777" w:rsidR="00154DB5" w:rsidRPr="00C2021A" w:rsidRDefault="00154DB5" w:rsidP="00F44783">
      <w:pPr>
        <w:pStyle w:val="EndNoteBibliography"/>
        <w:spacing w:after="0"/>
        <w:rPr>
          <w:noProof/>
          <w:color w:val="auto"/>
        </w:rPr>
      </w:pPr>
      <w:r w:rsidRPr="00C2021A">
        <w:rPr>
          <w:noProof/>
          <w:color w:val="auto"/>
        </w:rPr>
        <w:t>North, J.R., 1985. Trends Biotechnol. 3(7), 180-186.</w:t>
      </w:r>
    </w:p>
    <w:p w14:paraId="02AE1836" w14:textId="77777777" w:rsidR="00154DB5" w:rsidRPr="00C2021A" w:rsidRDefault="00154DB5" w:rsidP="00F44783">
      <w:pPr>
        <w:pStyle w:val="EndNoteBibliography"/>
        <w:spacing w:after="0"/>
        <w:rPr>
          <w:noProof/>
          <w:color w:val="auto"/>
        </w:rPr>
      </w:pPr>
      <w:r w:rsidRPr="00C2021A">
        <w:rPr>
          <w:noProof/>
          <w:color w:val="auto"/>
        </w:rPr>
        <w:t>Novoselov, K.S., Geim, A.K., Morozov, S.V., Jiang, D., Zhang, Y., Dubonos, S.V., Grigorieva, I.V., Firsov, A.A., 2004. Science 306(5696), 666-669.</w:t>
      </w:r>
    </w:p>
    <w:p w14:paraId="6BE38A95" w14:textId="77777777" w:rsidR="00154DB5" w:rsidRPr="00C2021A" w:rsidRDefault="00154DB5" w:rsidP="00F44783">
      <w:pPr>
        <w:pStyle w:val="EndNoteBibliography"/>
        <w:spacing w:after="0"/>
        <w:rPr>
          <w:noProof/>
          <w:color w:val="auto"/>
        </w:rPr>
      </w:pPr>
      <w:r w:rsidRPr="00C2021A">
        <w:rPr>
          <w:noProof/>
          <w:color w:val="auto"/>
        </w:rPr>
        <w:t>Oba, I.T., Spina, A.M.M., Saraceni, C.P., Lemos, M.F., Senhoras, R.d.C.F.A., Moreira, R.C., Granato, C.F.H., 2000. Rev. Inst. Med. Trop. Sao Paulo 42(4), 197-200.</w:t>
      </w:r>
    </w:p>
    <w:p w14:paraId="13487477" w14:textId="77777777" w:rsidR="00154DB5" w:rsidRPr="00C2021A" w:rsidRDefault="00154DB5" w:rsidP="00F44783">
      <w:pPr>
        <w:pStyle w:val="EndNoteBibliography"/>
        <w:spacing w:after="0"/>
        <w:rPr>
          <w:noProof/>
          <w:color w:val="auto"/>
        </w:rPr>
      </w:pPr>
      <w:r w:rsidRPr="00C2021A">
        <w:rPr>
          <w:noProof/>
          <w:color w:val="auto"/>
        </w:rPr>
        <w:t>Ocak, E., Kubat, G., Yorulmaz, İ., 2015. Balk. Med. J. 32(1), 46.</w:t>
      </w:r>
    </w:p>
    <w:p w14:paraId="5DA8A6DC" w14:textId="77777777" w:rsidR="00154DB5" w:rsidRPr="00C2021A" w:rsidRDefault="00154DB5" w:rsidP="00F44783">
      <w:pPr>
        <w:pStyle w:val="EndNoteBibliography"/>
        <w:spacing w:after="0"/>
        <w:rPr>
          <w:noProof/>
          <w:color w:val="auto"/>
        </w:rPr>
      </w:pPr>
      <w:r w:rsidRPr="00C2021A">
        <w:rPr>
          <w:noProof/>
          <w:color w:val="auto"/>
        </w:rPr>
        <w:t>Parate, K., Karunakaran, C., Claussen, J.C., 2019. Sens. Actuators B Chem. 287, 165-172.</w:t>
      </w:r>
    </w:p>
    <w:p w14:paraId="2A163784" w14:textId="77777777" w:rsidR="00154DB5" w:rsidRPr="00C2021A" w:rsidRDefault="00154DB5" w:rsidP="00F44783">
      <w:pPr>
        <w:pStyle w:val="EndNoteBibliography"/>
        <w:spacing w:after="0"/>
        <w:rPr>
          <w:noProof/>
          <w:color w:val="auto"/>
        </w:rPr>
      </w:pPr>
      <w:r w:rsidRPr="00C2021A">
        <w:rPr>
          <w:noProof/>
          <w:color w:val="auto"/>
        </w:rPr>
        <w:t>Parate, K., Rangnekar, S.V., Jing, D., Mendivelso-Perez, D.L., Ding, S., Secor, E.B., Smith, E.A., Hostetter, J.M., Hersam, M.C., Claussen, J.C., 2020. ACS Appl. Mater. Interfaces 12(7), 8592-8603.</w:t>
      </w:r>
    </w:p>
    <w:p w14:paraId="315C8484" w14:textId="77777777" w:rsidR="00154DB5" w:rsidRPr="00C2021A" w:rsidRDefault="00154DB5" w:rsidP="00F44783">
      <w:pPr>
        <w:pStyle w:val="EndNoteBibliography"/>
        <w:spacing w:after="0"/>
        <w:rPr>
          <w:noProof/>
          <w:color w:val="auto"/>
        </w:rPr>
      </w:pPr>
      <w:r w:rsidRPr="00C2021A">
        <w:rPr>
          <w:noProof/>
          <w:color w:val="auto"/>
        </w:rPr>
        <w:t>Park, C.S., Yoon, H., Kwon, O.S., 2016. J. Ind. Eng. Chem. 38, 13-22.</w:t>
      </w:r>
    </w:p>
    <w:p w14:paraId="45549352" w14:textId="77777777" w:rsidR="00154DB5" w:rsidRPr="00C2021A" w:rsidRDefault="00154DB5" w:rsidP="00F44783">
      <w:pPr>
        <w:pStyle w:val="EndNoteBibliography"/>
        <w:spacing w:after="0"/>
        <w:rPr>
          <w:noProof/>
          <w:color w:val="auto"/>
        </w:rPr>
      </w:pPr>
      <w:r w:rsidRPr="00C2021A">
        <w:rPr>
          <w:noProof/>
          <w:color w:val="auto"/>
        </w:rPr>
        <w:t>Park, S., Kim, H., Kim, J.-H., Yeo, W.-H., 2020. Materials 13(16), 3587.</w:t>
      </w:r>
    </w:p>
    <w:p w14:paraId="58A482AF" w14:textId="77777777" w:rsidR="00154DB5" w:rsidRPr="00C2021A" w:rsidRDefault="00154DB5" w:rsidP="00F44783">
      <w:pPr>
        <w:pStyle w:val="EndNoteBibliography"/>
        <w:spacing w:after="0"/>
        <w:rPr>
          <w:noProof/>
          <w:color w:val="auto"/>
        </w:rPr>
      </w:pPr>
      <w:r w:rsidRPr="00C2021A">
        <w:rPr>
          <w:noProof/>
          <w:color w:val="auto"/>
        </w:rPr>
        <w:t>Patel, S., Metgud, R., 2015. J. Cancer Res. Ther. 11(1), 119-123.</w:t>
      </w:r>
    </w:p>
    <w:p w14:paraId="3A3661DF" w14:textId="77777777" w:rsidR="00154DB5" w:rsidRPr="00C2021A" w:rsidRDefault="00154DB5" w:rsidP="00F44783">
      <w:pPr>
        <w:pStyle w:val="EndNoteBibliography"/>
        <w:spacing w:after="0"/>
        <w:rPr>
          <w:noProof/>
          <w:color w:val="auto"/>
        </w:rPr>
      </w:pPr>
      <w:r w:rsidRPr="00C2021A">
        <w:rPr>
          <w:noProof/>
          <w:color w:val="auto"/>
        </w:rPr>
        <w:t>Peacock IV, W.F., De Marco, T., Fonarow, G.C., Diercks, D., Wynne, J., Apple, F.S., Wu, A.H., 2008. N. Engl. J. Med. 358(20), 2117-2126.</w:t>
      </w:r>
    </w:p>
    <w:p w14:paraId="535569DF" w14:textId="77777777" w:rsidR="00154DB5" w:rsidRPr="00C2021A" w:rsidRDefault="00154DB5" w:rsidP="00F44783">
      <w:pPr>
        <w:pStyle w:val="EndNoteBibliography"/>
        <w:spacing w:after="0"/>
        <w:rPr>
          <w:noProof/>
          <w:color w:val="auto"/>
        </w:rPr>
      </w:pPr>
      <w:r w:rsidRPr="00C2021A">
        <w:rPr>
          <w:noProof/>
          <w:color w:val="auto"/>
        </w:rPr>
        <w:t>Peek, M.E., Bhatnagar, A., McCarty, N.A., Zughaier, S.M., 2012. Interdiscip. Perspect. Infect. Dis. 2012, 843509.</w:t>
      </w:r>
    </w:p>
    <w:p w14:paraId="0ECB8341" w14:textId="77777777" w:rsidR="00154DB5" w:rsidRPr="00C2021A" w:rsidRDefault="00154DB5" w:rsidP="00F44783">
      <w:pPr>
        <w:pStyle w:val="EndNoteBibliography"/>
        <w:spacing w:after="0"/>
        <w:rPr>
          <w:noProof/>
          <w:color w:val="auto"/>
        </w:rPr>
      </w:pPr>
      <w:r w:rsidRPr="00C2021A">
        <w:rPr>
          <w:noProof/>
          <w:color w:val="auto"/>
        </w:rPr>
        <w:t>Pinho, R., Pedrosa, R., Costa-Martins, P., Castello-Branco, L., 1999. Acta Trop. 72(1), 31-38.</w:t>
      </w:r>
    </w:p>
    <w:p w14:paraId="30771607" w14:textId="77777777" w:rsidR="00154DB5" w:rsidRPr="00C2021A" w:rsidRDefault="00154DB5" w:rsidP="00F44783">
      <w:pPr>
        <w:pStyle w:val="EndNoteBibliography"/>
        <w:spacing w:after="0"/>
        <w:rPr>
          <w:noProof/>
          <w:color w:val="auto"/>
        </w:rPr>
      </w:pPr>
      <w:r w:rsidRPr="00C2021A">
        <w:rPr>
          <w:noProof/>
          <w:color w:val="auto"/>
        </w:rPr>
        <w:t>Plummer, M., Franceschi, S., Vignat, J., Forman, D., de Martel, C., 2015. Int. J. Cancer 136(2), 487-490.</w:t>
      </w:r>
    </w:p>
    <w:p w14:paraId="6394D3F9" w14:textId="77777777" w:rsidR="00154DB5" w:rsidRPr="00C2021A" w:rsidRDefault="00154DB5" w:rsidP="00F44783">
      <w:pPr>
        <w:pStyle w:val="EndNoteBibliography"/>
        <w:spacing w:after="0"/>
        <w:rPr>
          <w:noProof/>
          <w:color w:val="auto"/>
        </w:rPr>
      </w:pPr>
      <w:r w:rsidRPr="00C2021A">
        <w:rPr>
          <w:noProof/>
          <w:color w:val="auto"/>
        </w:rPr>
        <w:t>Ponnaiah, S.K., Periakaruppan, P., Selvam, M., Muthupandian, S., Jeyaprabha, B., Selvanathan, R., 2019. J. Clust. Sci., 1-9.</w:t>
      </w:r>
    </w:p>
    <w:p w14:paraId="5F94D198" w14:textId="77777777" w:rsidR="00154DB5" w:rsidRPr="00C2021A" w:rsidRDefault="00154DB5" w:rsidP="00F44783">
      <w:pPr>
        <w:pStyle w:val="EndNoteBibliography"/>
        <w:spacing w:after="0"/>
        <w:rPr>
          <w:noProof/>
          <w:color w:val="auto"/>
        </w:rPr>
      </w:pPr>
      <w:r w:rsidRPr="00C2021A">
        <w:rPr>
          <w:noProof/>
          <w:color w:val="auto"/>
        </w:rPr>
        <w:t>Prasad, S., Tyagi, A.K., Aggarwal, B.B., 2016. Exp. Biol. Med. 241(8), 783-799.</w:t>
      </w:r>
    </w:p>
    <w:p w14:paraId="6B39A1C3" w14:textId="77777777" w:rsidR="00154DB5" w:rsidRPr="00C2021A" w:rsidRDefault="00154DB5" w:rsidP="00F44783">
      <w:pPr>
        <w:pStyle w:val="EndNoteBibliography"/>
        <w:spacing w:after="0"/>
        <w:rPr>
          <w:noProof/>
          <w:color w:val="auto"/>
        </w:rPr>
      </w:pPr>
      <w:r w:rsidRPr="00C2021A">
        <w:rPr>
          <w:noProof/>
          <w:color w:val="auto"/>
        </w:rPr>
        <w:t>Prestigiacomo, A.F., Stamey, T.A., 1996. J. Urol. 155(6), 1977-1980.</w:t>
      </w:r>
    </w:p>
    <w:p w14:paraId="1CFFA51C" w14:textId="77777777" w:rsidR="00154DB5" w:rsidRPr="00C2021A" w:rsidRDefault="00154DB5" w:rsidP="00F44783">
      <w:pPr>
        <w:pStyle w:val="EndNoteBibliography"/>
        <w:spacing w:after="0"/>
        <w:rPr>
          <w:noProof/>
          <w:color w:val="auto"/>
        </w:rPr>
      </w:pPr>
      <w:r w:rsidRPr="00C2021A">
        <w:rPr>
          <w:noProof/>
          <w:color w:val="auto"/>
        </w:rPr>
        <w:t>Pumera, M., 2013. Electrochem. Commun. 36, 14-18.</w:t>
      </w:r>
    </w:p>
    <w:p w14:paraId="166DF2F9" w14:textId="77777777" w:rsidR="00154DB5" w:rsidRPr="00C2021A" w:rsidRDefault="00154DB5" w:rsidP="00F44783">
      <w:pPr>
        <w:pStyle w:val="EndNoteBibliography"/>
        <w:spacing w:after="0"/>
        <w:rPr>
          <w:noProof/>
          <w:color w:val="auto"/>
        </w:rPr>
      </w:pPr>
      <w:r w:rsidRPr="00C2021A">
        <w:rPr>
          <w:noProof/>
          <w:color w:val="auto"/>
        </w:rPr>
        <w:t>Rahim, M.A.A., Rahim, Z.H.A., Ahmad, W.A.W., Hashim, O.H., 2015. Int. J. Med. Sci. 12(4), 329-335.</w:t>
      </w:r>
    </w:p>
    <w:p w14:paraId="130EFF18" w14:textId="77777777" w:rsidR="00154DB5" w:rsidRPr="00C2021A" w:rsidRDefault="00154DB5" w:rsidP="00F44783">
      <w:pPr>
        <w:pStyle w:val="EndNoteBibliography"/>
        <w:spacing w:after="0"/>
        <w:rPr>
          <w:noProof/>
          <w:color w:val="auto"/>
        </w:rPr>
      </w:pPr>
      <w:r w:rsidRPr="00C2021A">
        <w:rPr>
          <w:noProof/>
          <w:color w:val="auto"/>
        </w:rPr>
        <w:t>Rathnayake, N., Gieselmann, D.-R., Heikkinen, A.M., Tervahartiala, T., Sorsa, T., 2017. Diagnostics 7(1), 7.</w:t>
      </w:r>
    </w:p>
    <w:p w14:paraId="415CFDE1" w14:textId="77777777" w:rsidR="00154DB5" w:rsidRPr="00C2021A" w:rsidRDefault="00154DB5" w:rsidP="00F44783">
      <w:pPr>
        <w:pStyle w:val="EndNoteBibliography"/>
        <w:spacing w:after="0"/>
        <w:rPr>
          <w:noProof/>
          <w:color w:val="auto"/>
        </w:rPr>
      </w:pPr>
      <w:r w:rsidRPr="00C2021A">
        <w:rPr>
          <w:noProof/>
          <w:color w:val="auto"/>
        </w:rPr>
        <w:t>Ray, T.R., Choi, J., Bandodkar, A.J., Krishnan, S., Gutruf, P., Tian, L., Ghaffari, R., Rogers, J.A., 2019. Chem. Rev. 119(8), 5461-5533.</w:t>
      </w:r>
    </w:p>
    <w:p w14:paraId="2784897D" w14:textId="77777777" w:rsidR="00154DB5" w:rsidRPr="00C2021A" w:rsidRDefault="00154DB5" w:rsidP="00F44783">
      <w:pPr>
        <w:pStyle w:val="EndNoteBibliography"/>
        <w:spacing w:after="0"/>
        <w:rPr>
          <w:noProof/>
          <w:color w:val="auto"/>
        </w:rPr>
      </w:pPr>
      <w:r w:rsidRPr="00C2021A">
        <w:rPr>
          <w:noProof/>
          <w:color w:val="auto"/>
        </w:rPr>
        <w:t>Rose, D.M., Muttray, A., Mayer-Popken, O., Jung, D., Konietzko, J., 1999. Eur. J. Med. Res. 4(12), 529-532.</w:t>
      </w:r>
    </w:p>
    <w:p w14:paraId="229B57B4" w14:textId="77777777" w:rsidR="00154DB5" w:rsidRPr="00C2021A" w:rsidRDefault="00154DB5" w:rsidP="00F44783">
      <w:pPr>
        <w:pStyle w:val="EndNoteBibliography"/>
        <w:spacing w:after="0"/>
        <w:rPr>
          <w:noProof/>
          <w:color w:val="auto"/>
        </w:rPr>
      </w:pPr>
      <w:r w:rsidRPr="00C2021A">
        <w:rPr>
          <w:noProof/>
          <w:color w:val="auto"/>
        </w:rPr>
        <w:t>Rusling, J.F., Kumar, C.V., Gutkind, J.S., Patel, V., 2010. Analyst 135(10), 2496-2511.</w:t>
      </w:r>
    </w:p>
    <w:p w14:paraId="3C805F52" w14:textId="77777777" w:rsidR="00154DB5" w:rsidRPr="00C2021A" w:rsidRDefault="00154DB5" w:rsidP="00F44783">
      <w:pPr>
        <w:pStyle w:val="EndNoteBibliography"/>
        <w:spacing w:after="0"/>
        <w:rPr>
          <w:noProof/>
          <w:color w:val="auto"/>
        </w:rPr>
      </w:pPr>
      <w:r w:rsidRPr="00C2021A">
        <w:rPr>
          <w:noProof/>
          <w:color w:val="auto"/>
        </w:rPr>
        <w:t>Sabbagh, M.N., Shi, J., Lee, M., Arnold, L., Al-Hasan, Y., Heim, J., McGeer, P., 2018. BMC Neurol. 18(1), 155.</w:t>
      </w:r>
    </w:p>
    <w:p w14:paraId="23D598D8" w14:textId="77777777" w:rsidR="00154DB5" w:rsidRPr="00C2021A" w:rsidRDefault="00154DB5" w:rsidP="00F44783">
      <w:pPr>
        <w:pStyle w:val="EndNoteBibliography"/>
        <w:spacing w:after="0"/>
        <w:rPr>
          <w:noProof/>
          <w:color w:val="auto"/>
        </w:rPr>
      </w:pPr>
      <w:r w:rsidRPr="00C2021A">
        <w:rPr>
          <w:noProof/>
          <w:color w:val="auto"/>
        </w:rPr>
        <w:t>Sadana, A., Sadana, N., 2008. In: Sadana, A., Sadana, N. (Eds.), Fractal Analysis of the Binding and Dissociation Kinetics for Different Analytes on Biosensor Surfaces, pp. 19-53. Elsevier, Amsterdam.</w:t>
      </w:r>
    </w:p>
    <w:p w14:paraId="545557F5" w14:textId="77777777" w:rsidR="00154DB5" w:rsidRPr="00C2021A" w:rsidRDefault="00154DB5" w:rsidP="00F44783">
      <w:pPr>
        <w:pStyle w:val="EndNoteBibliography"/>
        <w:spacing w:after="0"/>
        <w:rPr>
          <w:noProof/>
          <w:color w:val="auto"/>
        </w:rPr>
      </w:pPr>
      <w:r w:rsidRPr="00C2021A">
        <w:rPr>
          <w:noProof/>
          <w:color w:val="auto"/>
        </w:rPr>
        <w:t>Sánchez-Tirado, E., González-Cortés, A., Yáñez-Sedeño, P., Pingarrón, J.M., 2018. Biosens. Bioelectron. 113, 88-94.</w:t>
      </w:r>
    </w:p>
    <w:p w14:paraId="691C2266" w14:textId="77777777" w:rsidR="00154DB5" w:rsidRPr="00C2021A" w:rsidRDefault="00154DB5" w:rsidP="00F44783">
      <w:pPr>
        <w:pStyle w:val="EndNoteBibliography"/>
        <w:spacing w:after="0"/>
        <w:rPr>
          <w:noProof/>
          <w:color w:val="auto"/>
        </w:rPr>
      </w:pPr>
      <w:r w:rsidRPr="00C2021A">
        <w:rPr>
          <w:noProof/>
          <w:color w:val="auto"/>
        </w:rPr>
        <w:lastRenderedPageBreak/>
        <w:t>Satish, B., Srikala, P., Maharudrappa, B., Awanti, S.M., Kumar, P., Hugar, D., 2014. J. Int. Oral Health 6(2), 114.</w:t>
      </w:r>
    </w:p>
    <w:p w14:paraId="77609F6F" w14:textId="77777777" w:rsidR="00154DB5" w:rsidRPr="00C2021A" w:rsidRDefault="00154DB5" w:rsidP="00F44783">
      <w:pPr>
        <w:pStyle w:val="EndNoteBibliography"/>
        <w:spacing w:after="0"/>
        <w:rPr>
          <w:noProof/>
          <w:color w:val="auto"/>
        </w:rPr>
      </w:pPr>
      <w:r w:rsidRPr="00C2021A">
        <w:rPr>
          <w:noProof/>
          <w:color w:val="auto"/>
        </w:rPr>
        <w:t>Sawyers, C.L., 2008. Nature 452(7187), 548-552.</w:t>
      </w:r>
    </w:p>
    <w:p w14:paraId="50D1533E" w14:textId="77777777" w:rsidR="00154DB5" w:rsidRPr="00C2021A" w:rsidRDefault="00154DB5" w:rsidP="00F44783">
      <w:pPr>
        <w:pStyle w:val="EndNoteBibliography"/>
        <w:spacing w:after="0"/>
        <w:rPr>
          <w:noProof/>
          <w:color w:val="auto"/>
        </w:rPr>
      </w:pPr>
      <w:r w:rsidRPr="00C2021A">
        <w:rPr>
          <w:noProof/>
          <w:color w:val="auto"/>
        </w:rPr>
        <w:t>Schedin, F., Geim, A.K., Morozov, S.V., Hill, E.W., Blake, P., Katsnelson, M.I., Novoselov, K.S., 2007. Nature Mater. 6(9), 652-655.</w:t>
      </w:r>
    </w:p>
    <w:p w14:paraId="09735D59" w14:textId="77777777" w:rsidR="00154DB5" w:rsidRPr="00C2021A" w:rsidRDefault="00154DB5" w:rsidP="00F44783">
      <w:pPr>
        <w:pStyle w:val="EndNoteBibliography"/>
        <w:spacing w:after="0"/>
        <w:rPr>
          <w:noProof/>
          <w:color w:val="auto"/>
        </w:rPr>
      </w:pPr>
      <w:r w:rsidRPr="00C2021A">
        <w:rPr>
          <w:noProof/>
          <w:color w:val="auto"/>
        </w:rPr>
        <w:t>Schroeder, V., Savagatrup, S., He, M., Lin, S., Swager, T.M., 2019. Chem. Rev. 119(1), 599-663.</w:t>
      </w:r>
    </w:p>
    <w:p w14:paraId="29D0E16C" w14:textId="77777777" w:rsidR="00154DB5" w:rsidRPr="00C2021A" w:rsidRDefault="00154DB5" w:rsidP="00F44783">
      <w:pPr>
        <w:pStyle w:val="EndNoteBibliography"/>
        <w:spacing w:after="0"/>
        <w:rPr>
          <w:noProof/>
          <w:color w:val="auto"/>
        </w:rPr>
      </w:pPr>
      <w:r w:rsidRPr="00C2021A">
        <w:rPr>
          <w:noProof/>
          <w:color w:val="auto"/>
        </w:rPr>
        <w:t>Segura, R., Javierre, C., Ventura, J.L., Lizarraga, M.A., Campos, B., Garrido, E., 1996. Br. J. Sports Med. 30(4), 305-309.</w:t>
      </w:r>
    </w:p>
    <w:p w14:paraId="4D64A7A7" w14:textId="77777777" w:rsidR="00154DB5" w:rsidRPr="00C2021A" w:rsidRDefault="00154DB5" w:rsidP="00F44783">
      <w:pPr>
        <w:pStyle w:val="EndNoteBibliography"/>
        <w:spacing w:after="0"/>
        <w:rPr>
          <w:noProof/>
          <w:color w:val="auto"/>
        </w:rPr>
      </w:pPr>
      <w:r w:rsidRPr="00C2021A">
        <w:rPr>
          <w:noProof/>
          <w:color w:val="auto"/>
        </w:rPr>
        <w:t>Selvarajan, R.S., Rahim, R.A., Majlis, B.Y., Gopinath, S.C., Hamzah, A.A., 2020. Sensors 20(9), 2642.</w:t>
      </w:r>
    </w:p>
    <w:p w14:paraId="29808D15" w14:textId="77777777" w:rsidR="00154DB5" w:rsidRPr="00C2021A" w:rsidRDefault="00154DB5" w:rsidP="00F44783">
      <w:pPr>
        <w:pStyle w:val="EndNoteBibliography"/>
        <w:spacing w:after="0"/>
        <w:rPr>
          <w:noProof/>
          <w:color w:val="auto"/>
        </w:rPr>
      </w:pPr>
      <w:r w:rsidRPr="00C2021A">
        <w:rPr>
          <w:noProof/>
          <w:color w:val="auto"/>
        </w:rPr>
        <w:t>Shanbhag, V.K.L., Prasad, K., 2016. Anal. Methods 8(33), 6255-6259.</w:t>
      </w:r>
    </w:p>
    <w:p w14:paraId="43B1292F" w14:textId="77777777" w:rsidR="00154DB5" w:rsidRPr="00C2021A" w:rsidRDefault="00154DB5" w:rsidP="00F44783">
      <w:pPr>
        <w:pStyle w:val="EndNoteBibliography"/>
        <w:spacing w:after="0"/>
        <w:rPr>
          <w:noProof/>
          <w:color w:val="auto"/>
        </w:rPr>
      </w:pPr>
      <w:r w:rsidRPr="00C2021A">
        <w:rPr>
          <w:noProof/>
          <w:color w:val="auto"/>
        </w:rPr>
        <w:t>Sharma, S., Jackson, P.G., Makan, J., 2004. J. Clin. Pathol. 57(10), 1025-1026.</w:t>
      </w:r>
    </w:p>
    <w:p w14:paraId="7E85BFA5" w14:textId="77777777" w:rsidR="00154DB5" w:rsidRPr="00C2021A" w:rsidRDefault="00154DB5" w:rsidP="00F44783">
      <w:pPr>
        <w:pStyle w:val="EndNoteBibliography"/>
        <w:spacing w:after="0"/>
        <w:rPr>
          <w:noProof/>
          <w:color w:val="auto"/>
        </w:rPr>
      </w:pPr>
      <w:r w:rsidRPr="00C2021A">
        <w:rPr>
          <w:noProof/>
          <w:color w:val="auto"/>
        </w:rPr>
        <w:t>Ship, J.A., 2003. J. Am. Dent. Assoc. 134, 4S-10S.</w:t>
      </w:r>
    </w:p>
    <w:p w14:paraId="6C161965" w14:textId="77777777" w:rsidR="00154DB5" w:rsidRPr="00C2021A" w:rsidRDefault="00154DB5" w:rsidP="00F44783">
      <w:pPr>
        <w:pStyle w:val="EndNoteBibliography"/>
        <w:spacing w:after="0"/>
        <w:rPr>
          <w:noProof/>
          <w:color w:val="auto"/>
        </w:rPr>
      </w:pPr>
      <w:r w:rsidRPr="00C2021A">
        <w:rPr>
          <w:noProof/>
          <w:color w:val="auto"/>
        </w:rPr>
        <w:t>Shivaraman, S., Barton, R.A., Yu, X., Alden, J., Herman, L., Chandrashekhar, M.V.S., Park, J., McEuen, P.L., Parpia, J.M., Craighead, H.G., Spencer, M.G., 2009. Nano Lett. 9(9), 3100-3105.</w:t>
      </w:r>
    </w:p>
    <w:p w14:paraId="26D92CA8" w14:textId="77777777" w:rsidR="00154DB5" w:rsidRPr="00C2021A" w:rsidRDefault="00154DB5" w:rsidP="00F44783">
      <w:pPr>
        <w:pStyle w:val="EndNoteBibliography"/>
        <w:spacing w:after="0"/>
        <w:rPr>
          <w:noProof/>
          <w:color w:val="auto"/>
        </w:rPr>
      </w:pPr>
      <w:r w:rsidRPr="00C2021A">
        <w:rPr>
          <w:noProof/>
          <w:color w:val="auto"/>
        </w:rPr>
        <w:t>Siegel, R.L., Miller, K.D., Jemal, A., 2017. CA Cancer J. Clin. 67(1), 7-30.</w:t>
      </w:r>
    </w:p>
    <w:p w14:paraId="7492F156" w14:textId="77777777" w:rsidR="00154DB5" w:rsidRPr="00C2021A" w:rsidRDefault="00154DB5" w:rsidP="00F44783">
      <w:pPr>
        <w:pStyle w:val="EndNoteBibliography"/>
        <w:spacing w:after="0"/>
        <w:rPr>
          <w:noProof/>
          <w:color w:val="auto"/>
        </w:rPr>
      </w:pPr>
      <w:r w:rsidRPr="00C2021A">
        <w:rPr>
          <w:noProof/>
          <w:color w:val="auto"/>
        </w:rPr>
        <w:t>Siegel, R.L., Miller, K.D., Jemal, A., 2019. CA Cancer J. Clin. 69(1), 7-34.</w:t>
      </w:r>
    </w:p>
    <w:p w14:paraId="444154F2" w14:textId="77777777" w:rsidR="00154DB5" w:rsidRPr="00C2021A" w:rsidRDefault="00154DB5" w:rsidP="00F44783">
      <w:pPr>
        <w:pStyle w:val="EndNoteBibliography"/>
        <w:spacing w:after="0"/>
        <w:rPr>
          <w:noProof/>
          <w:color w:val="auto"/>
        </w:rPr>
      </w:pPr>
      <w:r w:rsidRPr="00C2021A">
        <w:rPr>
          <w:noProof/>
          <w:color w:val="auto"/>
        </w:rPr>
        <w:t>Sies, H., Berndt, C., Jones, D.P., 2017. Annu. Rev. Biochem. 86, 715-748.</w:t>
      </w:r>
    </w:p>
    <w:p w14:paraId="1964A68D" w14:textId="77777777" w:rsidR="00154DB5" w:rsidRPr="00C2021A" w:rsidRDefault="00154DB5" w:rsidP="00F44783">
      <w:pPr>
        <w:pStyle w:val="EndNoteBibliography"/>
        <w:spacing w:after="0"/>
        <w:rPr>
          <w:noProof/>
          <w:color w:val="auto"/>
        </w:rPr>
      </w:pPr>
      <w:r w:rsidRPr="00C2021A">
        <w:rPr>
          <w:noProof/>
          <w:color w:val="auto"/>
        </w:rPr>
        <w:t>Smith, K.G., Kamdar, A.A., Stark, J.M., 2019. In: Wilmott, R.W., Deterding, R., Li, A., Ratjen, F., Sly, P., Zar, H.J., Bush, A. (Eds.), Kendig's Disorders of the Respiratory Tract in Children, pp. 120-133.e122, ninth ed. ed. Content Repository Only!, Philadelphia.</w:t>
      </w:r>
    </w:p>
    <w:p w14:paraId="45563282" w14:textId="77777777" w:rsidR="00154DB5" w:rsidRPr="00C2021A" w:rsidRDefault="00154DB5" w:rsidP="00F44783">
      <w:pPr>
        <w:pStyle w:val="EndNoteBibliography"/>
        <w:spacing w:after="0"/>
        <w:rPr>
          <w:noProof/>
          <w:color w:val="auto"/>
        </w:rPr>
      </w:pPr>
      <w:r w:rsidRPr="00C2021A">
        <w:rPr>
          <w:noProof/>
          <w:color w:val="auto"/>
        </w:rPr>
        <w:t>Stamey, T.A., Yang, N., Hay, A.R., McNeal, J.E., Freiha, F.S., Redwine, E., 1987. N. Engl. J. Med. 317(15), 909-916.</w:t>
      </w:r>
    </w:p>
    <w:p w14:paraId="16DC836A" w14:textId="77777777" w:rsidR="00154DB5" w:rsidRPr="00C2021A" w:rsidRDefault="00154DB5" w:rsidP="00F44783">
      <w:pPr>
        <w:pStyle w:val="EndNoteBibliography"/>
        <w:spacing w:after="0"/>
        <w:rPr>
          <w:noProof/>
          <w:color w:val="auto"/>
        </w:rPr>
      </w:pPr>
      <w:r w:rsidRPr="00C2021A">
        <w:rPr>
          <w:noProof/>
          <w:color w:val="auto"/>
        </w:rPr>
        <w:t>Stieber, P., Hasholzner, U., Bodenmüller, H., Nagel, D., Sunder-Plassmann, L., Dienemann, H., Meier, W., Fateh-Moghadam, A., 1993. Cancer 72(3), 707-713.</w:t>
      </w:r>
    </w:p>
    <w:p w14:paraId="24AA3959" w14:textId="77777777" w:rsidR="00154DB5" w:rsidRPr="00C2021A" w:rsidRDefault="00154DB5" w:rsidP="00F44783">
      <w:pPr>
        <w:pStyle w:val="EndNoteBibliography"/>
        <w:spacing w:after="0"/>
        <w:rPr>
          <w:noProof/>
          <w:color w:val="auto"/>
        </w:rPr>
      </w:pPr>
      <w:r w:rsidRPr="00C2021A">
        <w:rPr>
          <w:noProof/>
          <w:color w:val="auto"/>
        </w:rPr>
        <w:t>Stoller, M.D., Park, S., Zhu, Y., An, J., Ruoff, R.S., 2008. Nano Lett. 8(10), 3498-3502.</w:t>
      </w:r>
    </w:p>
    <w:p w14:paraId="3166DBE2" w14:textId="77777777" w:rsidR="00154DB5" w:rsidRPr="00C2021A" w:rsidRDefault="00154DB5" w:rsidP="00F44783">
      <w:pPr>
        <w:pStyle w:val="EndNoteBibliography"/>
        <w:spacing w:after="0"/>
        <w:rPr>
          <w:noProof/>
          <w:color w:val="auto"/>
        </w:rPr>
      </w:pPr>
      <w:r w:rsidRPr="00C2021A">
        <w:rPr>
          <w:noProof/>
          <w:color w:val="auto"/>
        </w:rPr>
        <w:t>Taba, M., Kinney, J., Kim, A.S., Giannobile, W.V., 2005. Dental Clinics 49(3), 551-571.</w:t>
      </w:r>
    </w:p>
    <w:p w14:paraId="520E2AB1" w14:textId="77777777" w:rsidR="00154DB5" w:rsidRPr="00C2021A" w:rsidRDefault="00154DB5" w:rsidP="00F44783">
      <w:pPr>
        <w:pStyle w:val="EndNoteBibliography"/>
        <w:spacing w:after="0"/>
        <w:rPr>
          <w:noProof/>
          <w:color w:val="auto"/>
        </w:rPr>
      </w:pPr>
      <w:r w:rsidRPr="00C2021A">
        <w:rPr>
          <w:noProof/>
          <w:color w:val="auto"/>
        </w:rPr>
        <w:t>Tan, W., Sabet, L., Li, Y., Yu, T., Klokkevold, P.R., Wong, D.T., Ho, C.-M., 2008. Biosens. Bioelectron. 24(2), 266-271.</w:t>
      </w:r>
    </w:p>
    <w:p w14:paraId="0488ADFC" w14:textId="77777777" w:rsidR="00154DB5" w:rsidRPr="00C2021A" w:rsidRDefault="00154DB5" w:rsidP="00F44783">
      <w:pPr>
        <w:pStyle w:val="EndNoteBibliography"/>
        <w:spacing w:after="0"/>
        <w:rPr>
          <w:noProof/>
          <w:color w:val="auto"/>
        </w:rPr>
      </w:pPr>
      <w:r w:rsidRPr="00C2021A">
        <w:rPr>
          <w:noProof/>
          <w:color w:val="auto"/>
        </w:rPr>
        <w:t>Tartaglia, G.M., Gagliano, N., Zarbin, L., Tolomeo, G., Sforza, C., 2017. Arch. Oral Biol. 78, 34-38.</w:t>
      </w:r>
    </w:p>
    <w:p w14:paraId="0A873C52" w14:textId="77777777" w:rsidR="00154DB5" w:rsidRPr="00C2021A" w:rsidRDefault="00154DB5" w:rsidP="00F44783">
      <w:pPr>
        <w:pStyle w:val="EndNoteBibliography"/>
        <w:spacing w:after="0"/>
        <w:rPr>
          <w:noProof/>
          <w:color w:val="auto"/>
        </w:rPr>
      </w:pPr>
      <w:r w:rsidRPr="00C2021A">
        <w:rPr>
          <w:noProof/>
          <w:color w:val="auto"/>
        </w:rPr>
        <w:t>Taufique, M.F.N., Bhaumik, A., Haque, A., Karnati, P., 2017. J. Mater. Sci. Eng. 06.</w:t>
      </w:r>
    </w:p>
    <w:p w14:paraId="0121C9DE" w14:textId="77777777" w:rsidR="00154DB5" w:rsidRPr="00C2021A" w:rsidRDefault="00154DB5" w:rsidP="00F44783">
      <w:pPr>
        <w:pStyle w:val="EndNoteBibliography"/>
        <w:spacing w:after="0"/>
        <w:rPr>
          <w:noProof/>
          <w:color w:val="auto"/>
        </w:rPr>
      </w:pPr>
      <w:r w:rsidRPr="00C2021A">
        <w:rPr>
          <w:noProof/>
          <w:color w:val="auto"/>
        </w:rPr>
        <w:t>Teruhisa, U., Ryoji, H., Taisuke, I., Tatsuya, S., Fumihiro, M., Tatsuo, S., 1981. Clin. Chim. Acta 110(2), 245-253.</w:t>
      </w:r>
    </w:p>
    <w:p w14:paraId="084A0658" w14:textId="77777777" w:rsidR="00154DB5" w:rsidRPr="00C2021A" w:rsidRDefault="00154DB5" w:rsidP="00F44783">
      <w:pPr>
        <w:pStyle w:val="EndNoteBibliography"/>
        <w:spacing w:after="0"/>
        <w:rPr>
          <w:noProof/>
          <w:color w:val="auto"/>
        </w:rPr>
      </w:pPr>
      <w:r w:rsidRPr="00C2021A">
        <w:rPr>
          <w:noProof/>
          <w:color w:val="auto"/>
        </w:rPr>
        <w:t>Thevenot, D.R., Toth, K., Durst, R.A., Wilson, G.S., 1999. Pure Appl. Chem. 71(12), 2333-2348.</w:t>
      </w:r>
    </w:p>
    <w:p w14:paraId="1AE21665" w14:textId="77777777" w:rsidR="00154DB5" w:rsidRPr="00C2021A" w:rsidRDefault="00154DB5" w:rsidP="00F44783">
      <w:pPr>
        <w:pStyle w:val="EndNoteBibliography"/>
        <w:spacing w:after="0"/>
        <w:rPr>
          <w:noProof/>
          <w:color w:val="auto"/>
        </w:rPr>
      </w:pPr>
      <w:r w:rsidRPr="00C2021A">
        <w:rPr>
          <w:noProof/>
          <w:color w:val="auto"/>
        </w:rPr>
        <w:t>Torrente-Rodríguez, R.M., Campuzano, S., Ruiz-Valdepeñas Montiel, V., Gamella, M., Pingarrón, J.M., 2016. Biosens. Bioelectron. 77, 543-548.</w:t>
      </w:r>
    </w:p>
    <w:p w14:paraId="6E81D70D" w14:textId="77777777" w:rsidR="00154DB5" w:rsidRPr="00C2021A" w:rsidRDefault="00154DB5" w:rsidP="00F44783">
      <w:pPr>
        <w:pStyle w:val="EndNoteBibliography"/>
        <w:spacing w:after="0"/>
        <w:rPr>
          <w:noProof/>
          <w:color w:val="auto"/>
        </w:rPr>
      </w:pPr>
      <w:r w:rsidRPr="00C2021A">
        <w:rPr>
          <w:noProof/>
          <w:color w:val="auto"/>
        </w:rPr>
        <w:t>Torrente-Rodríguez, R.M., Tu, J., Yang, Y., Min, J., Wang, M., Song, Y., Yu, Y., Xu, C., Ye, C., IsHak, W.W., Gao, W., 2020. Matter 2(4), 921-937.</w:t>
      </w:r>
    </w:p>
    <w:p w14:paraId="0623F251" w14:textId="77777777" w:rsidR="00154DB5" w:rsidRPr="00C2021A" w:rsidRDefault="00154DB5" w:rsidP="00F44783">
      <w:pPr>
        <w:pStyle w:val="EndNoteBibliography"/>
        <w:spacing w:after="0"/>
        <w:rPr>
          <w:noProof/>
          <w:color w:val="auto"/>
        </w:rPr>
      </w:pPr>
      <w:r w:rsidRPr="00C2021A">
        <w:rPr>
          <w:noProof/>
          <w:color w:val="auto"/>
        </w:rPr>
        <w:t>Tseng, P., Napier, B., Garbarini, L., Kaplan, D.L., Omenetto, F.G., 2018. Adv. Mater. 30(18), 1703257.</w:t>
      </w:r>
    </w:p>
    <w:p w14:paraId="2C13CE8A" w14:textId="77777777" w:rsidR="00154DB5" w:rsidRPr="00C2021A" w:rsidRDefault="00154DB5" w:rsidP="00F44783">
      <w:pPr>
        <w:pStyle w:val="EndNoteBibliography"/>
        <w:spacing w:after="0"/>
        <w:rPr>
          <w:noProof/>
          <w:color w:val="auto"/>
        </w:rPr>
      </w:pPr>
      <w:r w:rsidRPr="00C2021A">
        <w:rPr>
          <w:noProof/>
          <w:color w:val="auto"/>
        </w:rPr>
        <w:t>Valavanidis, A., Vlachogianni, T., Fiotakis, C., 2009. J. Environ. Sci. Health C 27(2), 120-139.</w:t>
      </w:r>
    </w:p>
    <w:p w14:paraId="0EE7580E" w14:textId="77777777" w:rsidR="00154DB5" w:rsidRPr="00C2021A" w:rsidRDefault="00154DB5" w:rsidP="00F44783">
      <w:pPr>
        <w:pStyle w:val="EndNoteBibliography"/>
        <w:spacing w:after="0"/>
        <w:rPr>
          <w:noProof/>
          <w:color w:val="auto"/>
        </w:rPr>
      </w:pPr>
      <w:r w:rsidRPr="00C2021A">
        <w:rPr>
          <w:noProof/>
          <w:color w:val="auto"/>
        </w:rPr>
        <w:t>Varodi, C., Pogacean, F., Coros, M., Rosu, M.-C., Stefan-van Staden, R.-I., Gal, E., Tudoran, L.-B., Pruneanu, S., Mirel, S., 2019. Sensors 19(19), 4297.</w:t>
      </w:r>
    </w:p>
    <w:p w14:paraId="5C29D558" w14:textId="77777777" w:rsidR="00154DB5" w:rsidRPr="00C2021A" w:rsidRDefault="00154DB5" w:rsidP="00F44783">
      <w:pPr>
        <w:pStyle w:val="EndNoteBibliography"/>
        <w:spacing w:after="0"/>
        <w:rPr>
          <w:noProof/>
          <w:color w:val="auto"/>
        </w:rPr>
      </w:pPr>
      <w:r w:rsidRPr="00C2021A">
        <w:rPr>
          <w:noProof/>
          <w:color w:val="auto"/>
        </w:rPr>
        <w:t>Verma, S., Singh, A., Shukla, A., Kaswan, J., Arora, K., Ramirez-Vick, J., Singh, P., Singh, S.P., 2017. ACS Appl. Mater. Interfaces 9(33), 27462-27474.</w:t>
      </w:r>
    </w:p>
    <w:p w14:paraId="4BEA7D04" w14:textId="77777777" w:rsidR="00154DB5" w:rsidRPr="00C2021A" w:rsidRDefault="00154DB5" w:rsidP="00F44783">
      <w:pPr>
        <w:pStyle w:val="EndNoteBibliography"/>
        <w:spacing w:after="0"/>
        <w:rPr>
          <w:noProof/>
          <w:color w:val="auto"/>
        </w:rPr>
      </w:pPr>
      <w:r w:rsidRPr="00C2021A">
        <w:rPr>
          <w:noProof/>
          <w:color w:val="auto"/>
        </w:rPr>
        <w:t>Verma, S., Singh, S.P., 2019. MRS Commun. 9(4), 1227-1234.</w:t>
      </w:r>
    </w:p>
    <w:p w14:paraId="7DCAD971" w14:textId="77777777" w:rsidR="00154DB5" w:rsidRPr="00C2021A" w:rsidRDefault="00154DB5" w:rsidP="00F44783">
      <w:pPr>
        <w:pStyle w:val="EndNoteBibliography"/>
        <w:spacing w:after="0"/>
        <w:rPr>
          <w:noProof/>
          <w:color w:val="auto"/>
        </w:rPr>
      </w:pPr>
      <w:r w:rsidRPr="00C2021A">
        <w:rPr>
          <w:noProof/>
          <w:color w:val="auto"/>
        </w:rPr>
        <w:t>Walker, R.F., Riad-Fahmy, D., Read, G., 1978. Clin. Chem. 24(9), 1460-1463.</w:t>
      </w:r>
    </w:p>
    <w:p w14:paraId="6A04BFD4" w14:textId="77777777" w:rsidR="00154DB5" w:rsidRPr="00C2021A" w:rsidRDefault="00154DB5" w:rsidP="00F44783">
      <w:pPr>
        <w:pStyle w:val="EndNoteBibliography"/>
        <w:spacing w:after="0"/>
        <w:rPr>
          <w:noProof/>
          <w:color w:val="auto"/>
        </w:rPr>
      </w:pPr>
      <w:r w:rsidRPr="00C2021A">
        <w:rPr>
          <w:noProof/>
          <w:color w:val="auto"/>
        </w:rPr>
        <w:t>Wang, J., 1998. Biosens. Bioelectron. 13(7-8), 757-762.</w:t>
      </w:r>
    </w:p>
    <w:p w14:paraId="53402AEA" w14:textId="77777777" w:rsidR="00154DB5" w:rsidRPr="00C2021A" w:rsidRDefault="00154DB5" w:rsidP="00F44783">
      <w:pPr>
        <w:pStyle w:val="EndNoteBibliography"/>
        <w:spacing w:after="0"/>
        <w:rPr>
          <w:noProof/>
          <w:color w:val="auto"/>
        </w:rPr>
      </w:pPr>
      <w:r w:rsidRPr="00C2021A">
        <w:rPr>
          <w:noProof/>
          <w:color w:val="auto"/>
        </w:rPr>
        <w:t>Wang, J., Yu, J., Wang, T., Li, C., Wei, Y., Deng, X., Chen, X., 2020. J. Mater. Chem. B 8(16), 3341-3356.</w:t>
      </w:r>
    </w:p>
    <w:p w14:paraId="5FBB395C" w14:textId="77777777" w:rsidR="00154DB5" w:rsidRPr="00C2021A" w:rsidRDefault="00154DB5" w:rsidP="00F44783">
      <w:pPr>
        <w:pStyle w:val="EndNoteBibliography"/>
        <w:spacing w:after="0"/>
        <w:rPr>
          <w:noProof/>
          <w:color w:val="auto"/>
        </w:rPr>
      </w:pPr>
      <w:r w:rsidRPr="00C2021A">
        <w:rPr>
          <w:noProof/>
          <w:color w:val="auto"/>
        </w:rPr>
        <w:t>Wang, Q., Gao, P., Cheng, F., Wang, X., Duan, Y., 2014. Talanta 119, 299-305.</w:t>
      </w:r>
    </w:p>
    <w:p w14:paraId="2C945CE8" w14:textId="77777777" w:rsidR="00154DB5" w:rsidRPr="00C2021A" w:rsidRDefault="00154DB5" w:rsidP="00F44783">
      <w:pPr>
        <w:pStyle w:val="EndNoteBibliography"/>
        <w:spacing w:after="0"/>
        <w:rPr>
          <w:noProof/>
          <w:color w:val="auto"/>
        </w:rPr>
      </w:pPr>
      <w:r w:rsidRPr="00C2021A">
        <w:rPr>
          <w:noProof/>
          <w:color w:val="auto"/>
        </w:rPr>
        <w:t>Wang, Y., Li, Z., Wang, J., Li, J., Lin, Y., 2011. Trends Biotechnol. 29(5), 205-212.</w:t>
      </w:r>
    </w:p>
    <w:p w14:paraId="52BD0BFE" w14:textId="77777777" w:rsidR="00154DB5" w:rsidRPr="00C2021A" w:rsidRDefault="00154DB5" w:rsidP="00F44783">
      <w:pPr>
        <w:pStyle w:val="EndNoteBibliography"/>
        <w:spacing w:after="0"/>
        <w:rPr>
          <w:noProof/>
          <w:color w:val="auto"/>
        </w:rPr>
      </w:pPr>
      <w:r w:rsidRPr="00C2021A">
        <w:rPr>
          <w:noProof/>
          <w:color w:val="auto"/>
        </w:rPr>
        <w:t>Warinner, C., Rodrigues, J.F.M., Vyas, R., Trachsel, C., Shved, N., Grossmann, J., Radini, A., Hancock, Y., Tito, R.Y., Fiddyment, S., 2014. Nature Genet. 46(4), 336.</w:t>
      </w:r>
    </w:p>
    <w:p w14:paraId="3981F5B3" w14:textId="77777777" w:rsidR="00154DB5" w:rsidRPr="00C2021A" w:rsidRDefault="00154DB5" w:rsidP="00F44783">
      <w:pPr>
        <w:pStyle w:val="EndNoteBibliography"/>
        <w:spacing w:after="0"/>
        <w:rPr>
          <w:noProof/>
          <w:color w:val="auto"/>
        </w:rPr>
      </w:pPr>
      <w:r w:rsidRPr="00C2021A">
        <w:rPr>
          <w:noProof/>
          <w:color w:val="auto"/>
        </w:rPr>
        <w:t>Waugh, D.J., Wilson, C., 2008. Clin. Cancer Res. 14(21), 6735-6741.</w:t>
      </w:r>
    </w:p>
    <w:p w14:paraId="49BBB97B" w14:textId="77777777" w:rsidR="00154DB5" w:rsidRPr="00C2021A" w:rsidRDefault="00154DB5" w:rsidP="00F44783">
      <w:pPr>
        <w:pStyle w:val="EndNoteBibliography"/>
        <w:spacing w:after="0"/>
        <w:rPr>
          <w:noProof/>
          <w:color w:val="auto"/>
        </w:rPr>
      </w:pPr>
      <w:r w:rsidRPr="00C2021A">
        <w:rPr>
          <w:noProof/>
          <w:color w:val="auto"/>
        </w:rPr>
        <w:t>Wieskopf, B., Demangeat, C., Purohit, A., Stenger, R., Gries, P., Kreisman, H., Quoix, E., 1995. Chest 108(1), 163-169.</w:t>
      </w:r>
    </w:p>
    <w:p w14:paraId="41C77B46" w14:textId="77777777" w:rsidR="00154DB5" w:rsidRPr="00C2021A" w:rsidRDefault="00154DB5" w:rsidP="00F44783">
      <w:pPr>
        <w:pStyle w:val="EndNoteBibliography"/>
        <w:spacing w:after="0"/>
        <w:rPr>
          <w:noProof/>
          <w:color w:val="auto"/>
        </w:rPr>
      </w:pPr>
      <w:r w:rsidRPr="00C2021A">
        <w:rPr>
          <w:noProof/>
          <w:color w:val="auto"/>
        </w:rPr>
        <w:t>Wilson, G.S., Hu, Y., 2000. Chem. Rev. 100(7), 2693-2704.</w:t>
      </w:r>
    </w:p>
    <w:p w14:paraId="1CD1133C" w14:textId="77777777" w:rsidR="00154DB5" w:rsidRPr="00C2021A" w:rsidRDefault="00154DB5" w:rsidP="00F44783">
      <w:pPr>
        <w:pStyle w:val="EndNoteBibliography"/>
        <w:spacing w:after="0"/>
        <w:rPr>
          <w:noProof/>
          <w:color w:val="auto"/>
        </w:rPr>
      </w:pPr>
      <w:r w:rsidRPr="00C2021A">
        <w:rPr>
          <w:noProof/>
          <w:color w:val="auto"/>
        </w:rPr>
        <w:lastRenderedPageBreak/>
        <w:t>Wu, L., Qu, X., 2015. Chem. Soc. Rev. 44(10), 2963-2997.</w:t>
      </w:r>
    </w:p>
    <w:p w14:paraId="1BDBA05E" w14:textId="77777777" w:rsidR="00154DB5" w:rsidRPr="00C2021A" w:rsidRDefault="00154DB5" w:rsidP="00F44783">
      <w:pPr>
        <w:pStyle w:val="EndNoteBibliography"/>
        <w:spacing w:after="0"/>
        <w:rPr>
          <w:noProof/>
          <w:color w:val="auto"/>
        </w:rPr>
      </w:pPr>
      <w:r w:rsidRPr="00C2021A">
        <w:rPr>
          <w:noProof/>
          <w:color w:val="auto"/>
        </w:rPr>
        <w:t>Wu, L.L., Chiou, C.-C., Chang, P.-Y., Wu, J.T., 2004. Clin. Chim. Acta 339(1-2), 1-9.</w:t>
      </w:r>
    </w:p>
    <w:p w14:paraId="53A3F922" w14:textId="77777777" w:rsidR="00154DB5" w:rsidRPr="00C2021A" w:rsidRDefault="00154DB5" w:rsidP="00F44783">
      <w:pPr>
        <w:pStyle w:val="EndNoteBibliography"/>
        <w:spacing w:after="0"/>
        <w:rPr>
          <w:noProof/>
          <w:color w:val="auto"/>
        </w:rPr>
      </w:pPr>
      <w:r w:rsidRPr="00C2021A">
        <w:rPr>
          <w:noProof/>
          <w:color w:val="auto"/>
        </w:rPr>
        <w:t>Wu, R.-Q., Zhang, D.-F., Tu, E., Chen, Q.-M., Chen, W., 2014. Int. J. Oral Sci. 6(3), 125-132.</w:t>
      </w:r>
    </w:p>
    <w:p w14:paraId="54997607" w14:textId="77777777" w:rsidR="00154DB5" w:rsidRPr="00C2021A" w:rsidRDefault="00154DB5" w:rsidP="00F44783">
      <w:pPr>
        <w:pStyle w:val="EndNoteBibliography"/>
        <w:spacing w:after="0"/>
        <w:rPr>
          <w:noProof/>
          <w:color w:val="auto"/>
        </w:rPr>
      </w:pPr>
      <w:r w:rsidRPr="00C2021A">
        <w:rPr>
          <w:noProof/>
          <w:color w:val="auto"/>
        </w:rPr>
        <w:t>Xiao, Y., Wang, Y., Wu, M., Ma, X., Yang, X., 2013. J. Electroanal. Chem. 702, 49-55.</w:t>
      </w:r>
    </w:p>
    <w:p w14:paraId="1E51BADE" w14:textId="77777777" w:rsidR="00154DB5" w:rsidRPr="00C2021A" w:rsidRDefault="00154DB5" w:rsidP="00F44783">
      <w:pPr>
        <w:pStyle w:val="EndNoteBibliography"/>
        <w:spacing w:after="0"/>
        <w:rPr>
          <w:noProof/>
          <w:color w:val="auto"/>
        </w:rPr>
      </w:pPr>
      <w:r w:rsidRPr="00C2021A">
        <w:rPr>
          <w:noProof/>
          <w:color w:val="auto"/>
        </w:rPr>
        <w:t>Xie, K., 2001. Cytokine Growth F. R. 12(4), 375-391.</w:t>
      </w:r>
    </w:p>
    <w:p w14:paraId="407AA5B3" w14:textId="77777777" w:rsidR="00154DB5" w:rsidRPr="00C2021A" w:rsidRDefault="00154DB5" w:rsidP="00F44783">
      <w:pPr>
        <w:pStyle w:val="EndNoteBibliography"/>
        <w:spacing w:after="0"/>
        <w:rPr>
          <w:noProof/>
          <w:color w:val="auto"/>
        </w:rPr>
      </w:pPr>
      <w:r w:rsidRPr="00C2021A">
        <w:rPr>
          <w:noProof/>
          <w:color w:val="auto"/>
        </w:rPr>
        <w:t>Yang, D., Velamakanni, A., Bozoklu, G., Park, S., Stoller, M., Piner, R.D., Stankovich, S., Jung, I., Field, D.A., Ventrice, C.A., Ruoff, R.S., 2009. Carbon 47(1), 145-152.</w:t>
      </w:r>
    </w:p>
    <w:p w14:paraId="3C338FB5" w14:textId="77777777" w:rsidR="00154DB5" w:rsidRPr="00C2021A" w:rsidRDefault="00154DB5" w:rsidP="00F44783">
      <w:pPr>
        <w:pStyle w:val="EndNoteBibliography"/>
        <w:spacing w:after="0"/>
        <w:rPr>
          <w:noProof/>
          <w:color w:val="auto"/>
        </w:rPr>
      </w:pPr>
      <w:r w:rsidRPr="00C2021A">
        <w:rPr>
          <w:noProof/>
          <w:color w:val="auto"/>
        </w:rPr>
        <w:t>Ye, D., Liang, G., Li, H., Luo, J., Zhang, S., Chen, H., Kong, J., 2013. Talanta 116, 223-230.</w:t>
      </w:r>
    </w:p>
    <w:p w14:paraId="211CD7C4" w14:textId="77777777" w:rsidR="00154DB5" w:rsidRPr="00C2021A" w:rsidRDefault="00154DB5" w:rsidP="00F44783">
      <w:pPr>
        <w:pStyle w:val="EndNoteBibliography"/>
        <w:spacing w:after="0"/>
        <w:rPr>
          <w:noProof/>
          <w:color w:val="auto"/>
        </w:rPr>
      </w:pPr>
      <w:r w:rsidRPr="00C2021A">
        <w:rPr>
          <w:noProof/>
          <w:color w:val="auto"/>
        </w:rPr>
        <w:t>Yoo, S.S., Kim, S.Y., Kim, K.S., Hong, S., Oh, M.J., Nam, M.G., Kim, W.-J., Park, J., Chung, C.-H., Choe, W.-S., 2020. Sens. Actuators B Chem. 305, 127477.</w:t>
      </w:r>
    </w:p>
    <w:p w14:paraId="6A8E38D7" w14:textId="77777777" w:rsidR="00154DB5" w:rsidRPr="00C2021A" w:rsidRDefault="00154DB5" w:rsidP="00F44783">
      <w:pPr>
        <w:pStyle w:val="EndNoteBibliography"/>
        <w:spacing w:after="0"/>
        <w:rPr>
          <w:noProof/>
          <w:color w:val="auto"/>
        </w:rPr>
      </w:pPr>
      <w:r w:rsidRPr="00C2021A">
        <w:rPr>
          <w:noProof/>
          <w:color w:val="auto"/>
        </w:rPr>
        <w:t>Yuan, Z., Xiao, X., Li, J., Zhao, Z., Yu, D., Li, Q., 2018. Adv. Sci. 5(2), 1700626.</w:t>
      </w:r>
    </w:p>
    <w:p w14:paraId="6D278A9C" w14:textId="77777777" w:rsidR="00154DB5" w:rsidRPr="00C2021A" w:rsidRDefault="00154DB5" w:rsidP="00F44783">
      <w:pPr>
        <w:pStyle w:val="EndNoteBibliography"/>
        <w:spacing w:after="0"/>
        <w:rPr>
          <w:noProof/>
          <w:color w:val="auto"/>
        </w:rPr>
      </w:pPr>
      <w:r w:rsidRPr="00C2021A">
        <w:rPr>
          <w:noProof/>
          <w:color w:val="auto"/>
        </w:rPr>
        <w:t>Zhang, H.-B., Wang, J.-W., Yan, Q., Zheng, W.-G., Chen, C., Yu, Z.-Z., 2011. J. Mater. Chem. 21(14), 5392-5397.</w:t>
      </w:r>
    </w:p>
    <w:p w14:paraId="20FD8234" w14:textId="77777777" w:rsidR="00154DB5" w:rsidRPr="00C2021A" w:rsidRDefault="00154DB5" w:rsidP="00F44783">
      <w:pPr>
        <w:pStyle w:val="EndNoteBibliography"/>
        <w:spacing w:after="0"/>
        <w:rPr>
          <w:noProof/>
          <w:color w:val="auto"/>
        </w:rPr>
      </w:pPr>
      <w:r w:rsidRPr="00C2021A">
        <w:rPr>
          <w:noProof/>
          <w:color w:val="auto"/>
        </w:rPr>
        <w:t>Zhang, W., Du, Y., Wang, M.L., 2015. Sens. Biosensing Res. 4, 23-29.</w:t>
      </w:r>
    </w:p>
    <w:p w14:paraId="3878BE5D" w14:textId="77777777" w:rsidR="00154DB5" w:rsidRPr="00C2021A" w:rsidRDefault="00154DB5" w:rsidP="00F44783">
      <w:pPr>
        <w:pStyle w:val="EndNoteBibliography"/>
        <w:spacing w:after="0"/>
        <w:rPr>
          <w:noProof/>
          <w:color w:val="auto"/>
        </w:rPr>
      </w:pPr>
      <w:r w:rsidRPr="00C2021A">
        <w:rPr>
          <w:noProof/>
          <w:color w:val="auto"/>
        </w:rPr>
        <w:t>Zheng, J., Sun, L., Yuan, W., Xu, J., Yu, X., Wang, F., Sun, L., Zeng, Y., 2018. J. Oral Pathol. Med. 47(9), 830-835.</w:t>
      </w:r>
    </w:p>
    <w:p w14:paraId="0B2BB57A" w14:textId="77777777" w:rsidR="00154DB5" w:rsidRPr="00C2021A" w:rsidRDefault="00154DB5" w:rsidP="00F44783">
      <w:pPr>
        <w:pStyle w:val="EndNoteBibliography"/>
        <w:spacing w:after="0"/>
        <w:rPr>
          <w:noProof/>
          <w:color w:val="auto"/>
        </w:rPr>
      </w:pPr>
      <w:r w:rsidRPr="00C2021A">
        <w:rPr>
          <w:noProof/>
          <w:color w:val="auto"/>
        </w:rPr>
        <w:t>Zhong, L., Cheng, F., Lu, X., Duan, Y., Wang, X., 2016. Talanta 158, 351-360.</w:t>
      </w:r>
    </w:p>
    <w:p w14:paraId="26DDCBEF" w14:textId="77777777" w:rsidR="00154DB5" w:rsidRPr="00C2021A" w:rsidRDefault="00154DB5" w:rsidP="00F44783">
      <w:pPr>
        <w:pStyle w:val="EndNoteBibliography"/>
        <w:rPr>
          <w:noProof/>
          <w:color w:val="auto"/>
        </w:rPr>
      </w:pPr>
      <w:r w:rsidRPr="00C2021A">
        <w:rPr>
          <w:noProof/>
          <w:color w:val="auto"/>
        </w:rPr>
        <w:t>Zou, R., Shan, S., Huang, L., Chen, Z., Lawson, T., Lin, M., Yan, L., Liu, Y., 2020. ACS Biomater. Sci. Eng. 6(1), 673-679.</w:t>
      </w:r>
    </w:p>
    <w:p w14:paraId="25E555A9" w14:textId="77777777" w:rsidR="00154DB5" w:rsidRPr="00C2021A" w:rsidRDefault="00154DB5" w:rsidP="00CA62CA">
      <w:pPr>
        <w:spacing w:after="0" w:line="240" w:lineRule="auto"/>
        <w:jc w:val="both"/>
        <w:rPr>
          <w:rFonts w:cs="Arial"/>
          <w:color w:val="auto"/>
        </w:rPr>
      </w:pPr>
    </w:p>
    <w:p w14:paraId="6A13F2F5" w14:textId="77777777" w:rsidR="00154DB5" w:rsidRPr="00C2021A" w:rsidRDefault="00154DB5" w:rsidP="00041DBE">
      <w:pPr>
        <w:spacing w:after="0" w:line="240" w:lineRule="auto"/>
        <w:jc w:val="both"/>
        <w:rPr>
          <w:rFonts w:cs="Arial"/>
          <w:color w:val="auto"/>
        </w:rPr>
      </w:pPr>
    </w:p>
    <w:p w14:paraId="1A5C948C" w14:textId="77777777" w:rsidR="00154DB5" w:rsidRPr="00C2021A" w:rsidRDefault="00154DB5" w:rsidP="00041DBE">
      <w:pPr>
        <w:spacing w:after="0" w:line="240" w:lineRule="auto"/>
        <w:jc w:val="both"/>
        <w:rPr>
          <w:rFonts w:cs="Arial"/>
          <w:color w:val="auto"/>
        </w:rPr>
      </w:pPr>
    </w:p>
    <w:p w14:paraId="6CBB75C8" w14:textId="77777777" w:rsidR="00154DB5" w:rsidRPr="00C2021A" w:rsidRDefault="00154DB5" w:rsidP="00041DBE">
      <w:pPr>
        <w:spacing w:after="0" w:line="240" w:lineRule="auto"/>
        <w:jc w:val="both"/>
        <w:rPr>
          <w:rFonts w:cs="Arial"/>
          <w:color w:val="auto"/>
        </w:rPr>
      </w:pPr>
    </w:p>
    <w:p w14:paraId="6EA258F6" w14:textId="77777777" w:rsidR="00154DB5" w:rsidRPr="00C2021A" w:rsidRDefault="00154DB5" w:rsidP="00041DBE">
      <w:pPr>
        <w:spacing w:after="0" w:line="240" w:lineRule="auto"/>
        <w:jc w:val="both"/>
        <w:rPr>
          <w:rFonts w:cs="Arial"/>
          <w:color w:val="auto"/>
        </w:rPr>
      </w:pPr>
    </w:p>
    <w:p w14:paraId="653BD75E" w14:textId="77777777" w:rsidR="00154DB5" w:rsidRPr="00C2021A" w:rsidRDefault="00154DB5" w:rsidP="00041DBE">
      <w:pPr>
        <w:spacing w:after="0" w:line="240" w:lineRule="auto"/>
        <w:jc w:val="both"/>
        <w:rPr>
          <w:rFonts w:cs="Arial"/>
          <w:color w:val="auto"/>
        </w:rPr>
      </w:pPr>
    </w:p>
    <w:p w14:paraId="43C210AF" w14:textId="77777777" w:rsidR="00154DB5" w:rsidRPr="00C2021A" w:rsidRDefault="00154DB5" w:rsidP="00041DBE">
      <w:pPr>
        <w:spacing w:after="0" w:line="240" w:lineRule="auto"/>
        <w:jc w:val="both"/>
        <w:rPr>
          <w:rFonts w:cs="Arial"/>
          <w:color w:val="auto"/>
        </w:rPr>
      </w:pPr>
    </w:p>
    <w:p w14:paraId="0706D3C2" w14:textId="77777777" w:rsidR="00154DB5" w:rsidRPr="00C2021A" w:rsidRDefault="00154DB5" w:rsidP="00041DBE">
      <w:pPr>
        <w:spacing w:after="0" w:line="240" w:lineRule="auto"/>
        <w:jc w:val="both"/>
        <w:rPr>
          <w:rFonts w:cs="Arial"/>
          <w:color w:val="auto"/>
        </w:rPr>
      </w:pPr>
    </w:p>
    <w:p w14:paraId="2BF66636" w14:textId="77777777" w:rsidR="00154DB5" w:rsidRPr="00C2021A" w:rsidRDefault="00154DB5" w:rsidP="00041DBE">
      <w:pPr>
        <w:spacing w:after="0" w:line="240" w:lineRule="auto"/>
        <w:jc w:val="both"/>
        <w:rPr>
          <w:rFonts w:cs="Arial"/>
          <w:color w:val="auto"/>
        </w:rPr>
      </w:pPr>
    </w:p>
    <w:p w14:paraId="26BBE9F4" w14:textId="77777777" w:rsidR="00154DB5" w:rsidRPr="00C2021A" w:rsidRDefault="00154DB5" w:rsidP="00041DBE">
      <w:pPr>
        <w:spacing w:after="0" w:line="240" w:lineRule="auto"/>
        <w:jc w:val="both"/>
        <w:rPr>
          <w:rFonts w:cs="Arial"/>
          <w:color w:val="auto"/>
        </w:rPr>
      </w:pPr>
    </w:p>
    <w:p w14:paraId="120B024C"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r w:rsidRPr="00C2021A">
        <w:rPr>
          <w:rFonts w:cs="Arial"/>
          <w:noProof/>
          <w:color w:val="auto"/>
          <w:lang w:eastAsia="ko-KR"/>
        </w:rPr>
        <w:br w:type="page"/>
      </w:r>
    </w:p>
    <w:p w14:paraId="4B63CA1E" w14:textId="77777777" w:rsidR="00154DB5" w:rsidRPr="00C2021A" w:rsidRDefault="00154DB5" w:rsidP="003D21D3">
      <w:pPr>
        <w:spacing w:after="0" w:line="240" w:lineRule="auto"/>
        <w:jc w:val="center"/>
        <w:rPr>
          <w:rFonts w:cs="Arial"/>
          <w:color w:val="auto"/>
        </w:rPr>
      </w:pPr>
      <w:r w:rsidRPr="00C2021A">
        <w:rPr>
          <w:rFonts w:cs="Arial"/>
          <w:noProof/>
          <w:color w:val="auto"/>
          <w:lang w:eastAsia="ko-KR"/>
        </w:rPr>
        <w:lastRenderedPageBreak/>
        <w:drawing>
          <wp:inline distT="0" distB="0" distL="0" distR="0" wp14:anchorId="065CA29C" wp14:editId="2AD6F771">
            <wp:extent cx="4705350" cy="46589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png"/>
                    <pic:cNvPicPr/>
                  </pic:nvPicPr>
                  <pic:blipFill>
                    <a:blip r:embed="rId8">
                      <a:extLst>
                        <a:ext uri="{28A0092B-C50C-407E-A947-70E740481C1C}">
                          <a14:useLocalDpi xmlns:a14="http://schemas.microsoft.com/office/drawing/2010/main" val="0"/>
                        </a:ext>
                      </a:extLst>
                    </a:blip>
                    <a:stretch>
                      <a:fillRect/>
                    </a:stretch>
                  </pic:blipFill>
                  <pic:spPr>
                    <a:xfrm>
                      <a:off x="0" y="0"/>
                      <a:ext cx="4710831" cy="4664342"/>
                    </a:xfrm>
                    <a:prstGeom prst="rect">
                      <a:avLst/>
                    </a:prstGeom>
                  </pic:spPr>
                </pic:pic>
              </a:graphicData>
            </a:graphic>
          </wp:inline>
        </w:drawing>
      </w:r>
    </w:p>
    <w:p w14:paraId="4E4DB6B1" w14:textId="77777777" w:rsidR="00154DB5" w:rsidRPr="00C2021A" w:rsidRDefault="00154DB5" w:rsidP="003D21D3">
      <w:pPr>
        <w:spacing w:after="0" w:line="240" w:lineRule="auto"/>
        <w:jc w:val="center"/>
        <w:rPr>
          <w:rFonts w:cs="Arial"/>
          <w:color w:val="auto"/>
        </w:rPr>
      </w:pPr>
    </w:p>
    <w:p w14:paraId="16667D52" w14:textId="77777777" w:rsidR="00154DB5" w:rsidRPr="00C2021A" w:rsidRDefault="00154DB5" w:rsidP="00041DBE">
      <w:pPr>
        <w:spacing w:after="0" w:line="240" w:lineRule="auto"/>
        <w:jc w:val="both"/>
        <w:rPr>
          <w:rFonts w:cs="Arial"/>
          <w:b/>
          <w:bCs/>
          <w:color w:val="auto"/>
        </w:rPr>
      </w:pPr>
      <w:r w:rsidRPr="00C2021A">
        <w:rPr>
          <w:rFonts w:cs="Arial"/>
          <w:b/>
          <w:bCs/>
          <w:color w:val="auto"/>
        </w:rPr>
        <w:t>Figure 1. Overview of g</w:t>
      </w:r>
      <w:r w:rsidRPr="00C2021A">
        <w:rPr>
          <w:rFonts w:cs="Arial"/>
          <w:b/>
          <w:color w:val="auto"/>
        </w:rPr>
        <w:t xml:space="preserve">raphene-based </w:t>
      </w:r>
      <w:proofErr w:type="spellStart"/>
      <w:r w:rsidRPr="00C2021A">
        <w:rPr>
          <w:rFonts w:cs="Arial"/>
          <w:b/>
          <w:color w:val="auto"/>
        </w:rPr>
        <w:t>nanobiosensors</w:t>
      </w:r>
      <w:proofErr w:type="spellEnd"/>
      <w:r w:rsidRPr="00C2021A">
        <w:rPr>
          <w:rFonts w:cs="Arial"/>
          <w:b/>
          <w:color w:val="auto"/>
        </w:rPr>
        <w:t xml:space="preserve"> for salivary biomarker detection.</w:t>
      </w:r>
      <w:r w:rsidRPr="00C2021A">
        <w:rPr>
          <w:rFonts w:cs="Arial"/>
          <w:color w:val="auto"/>
        </w:rPr>
        <w:t xml:space="preserve"> This chart summarizes the key properties and performance indicators of biosensors and targeted salivary biomarkers in four different categories. </w:t>
      </w:r>
    </w:p>
    <w:p w14:paraId="74E25E2B" w14:textId="77777777" w:rsidR="00154DB5" w:rsidRPr="00C2021A" w:rsidRDefault="00154DB5" w:rsidP="00041DBE">
      <w:pPr>
        <w:spacing w:after="0" w:line="240" w:lineRule="auto"/>
        <w:jc w:val="both"/>
        <w:rPr>
          <w:rFonts w:cs="Arial"/>
          <w:color w:val="auto"/>
        </w:rPr>
      </w:pPr>
    </w:p>
    <w:p w14:paraId="2B439E58" w14:textId="77777777" w:rsidR="00154DB5" w:rsidRPr="00C2021A" w:rsidRDefault="00154DB5" w:rsidP="00041DBE">
      <w:pPr>
        <w:spacing w:after="0" w:line="240" w:lineRule="auto"/>
        <w:jc w:val="both"/>
        <w:rPr>
          <w:rFonts w:cs="Arial"/>
          <w:color w:val="auto"/>
        </w:rPr>
      </w:pPr>
    </w:p>
    <w:p w14:paraId="5C1E6039" w14:textId="77777777" w:rsidR="00154DB5" w:rsidRPr="00C2021A" w:rsidRDefault="00154DB5" w:rsidP="00041DBE">
      <w:pPr>
        <w:spacing w:after="0" w:line="240" w:lineRule="auto"/>
        <w:jc w:val="both"/>
        <w:rPr>
          <w:rFonts w:cs="Arial"/>
          <w:color w:val="auto"/>
        </w:rPr>
      </w:pPr>
    </w:p>
    <w:p w14:paraId="145E44C6" w14:textId="77777777" w:rsidR="00154DB5" w:rsidRPr="00C2021A" w:rsidRDefault="00154DB5" w:rsidP="00041DBE">
      <w:pPr>
        <w:spacing w:after="0" w:line="240" w:lineRule="auto"/>
        <w:jc w:val="both"/>
        <w:rPr>
          <w:rFonts w:cs="Arial"/>
          <w:color w:val="auto"/>
        </w:rPr>
      </w:pPr>
    </w:p>
    <w:p w14:paraId="7F812024" w14:textId="77777777" w:rsidR="00154DB5" w:rsidRPr="00C2021A" w:rsidRDefault="00154DB5" w:rsidP="00041DBE">
      <w:pPr>
        <w:spacing w:after="0" w:line="240" w:lineRule="auto"/>
        <w:jc w:val="both"/>
        <w:rPr>
          <w:rFonts w:cs="Arial"/>
          <w:color w:val="auto"/>
        </w:rPr>
      </w:pPr>
    </w:p>
    <w:p w14:paraId="17BAF878" w14:textId="77777777" w:rsidR="00154DB5" w:rsidRPr="00C2021A" w:rsidRDefault="00154DB5" w:rsidP="00041DBE">
      <w:pPr>
        <w:spacing w:after="0" w:line="240" w:lineRule="auto"/>
        <w:jc w:val="both"/>
        <w:rPr>
          <w:rFonts w:cs="Arial"/>
          <w:color w:val="auto"/>
        </w:rPr>
      </w:pPr>
    </w:p>
    <w:p w14:paraId="7ADAE2F1" w14:textId="77777777" w:rsidR="00154DB5" w:rsidRPr="00C2021A" w:rsidRDefault="00154DB5" w:rsidP="00041DBE">
      <w:pPr>
        <w:spacing w:after="0" w:line="240" w:lineRule="auto"/>
        <w:jc w:val="both"/>
        <w:rPr>
          <w:rFonts w:cs="Arial"/>
          <w:color w:val="auto"/>
        </w:rPr>
      </w:pPr>
    </w:p>
    <w:p w14:paraId="3A411F1A" w14:textId="77777777" w:rsidR="00154DB5" w:rsidRPr="00C2021A" w:rsidRDefault="00154DB5" w:rsidP="00041DBE">
      <w:pPr>
        <w:spacing w:after="0" w:line="240" w:lineRule="auto"/>
        <w:jc w:val="both"/>
        <w:rPr>
          <w:rFonts w:cs="Arial"/>
          <w:color w:val="auto"/>
        </w:rPr>
      </w:pPr>
    </w:p>
    <w:p w14:paraId="6F53037B" w14:textId="77777777" w:rsidR="00154DB5" w:rsidRPr="00C2021A" w:rsidRDefault="00154DB5" w:rsidP="007D6BEF">
      <w:pPr>
        <w:spacing w:after="0" w:line="240" w:lineRule="auto"/>
        <w:jc w:val="center"/>
        <w:rPr>
          <w:rFonts w:cs="Arial"/>
          <w:color w:val="auto"/>
        </w:rPr>
      </w:pPr>
    </w:p>
    <w:p w14:paraId="5EB97A1F" w14:textId="77777777" w:rsidR="00154DB5" w:rsidRPr="00C2021A" w:rsidRDefault="00154DB5" w:rsidP="007D6BEF">
      <w:pPr>
        <w:spacing w:after="0" w:line="240" w:lineRule="auto"/>
        <w:jc w:val="center"/>
        <w:rPr>
          <w:rFonts w:cs="Arial"/>
          <w:color w:val="auto"/>
        </w:rPr>
      </w:pPr>
      <w:r w:rsidRPr="00C2021A">
        <w:rPr>
          <w:rFonts w:cs="Arial"/>
          <w:noProof/>
          <w:color w:val="auto"/>
          <w:lang w:eastAsia="ko-KR"/>
        </w:rPr>
        <w:lastRenderedPageBreak/>
        <w:drawing>
          <wp:inline distT="0" distB="0" distL="0" distR="0" wp14:anchorId="13DF6971" wp14:editId="7CDCE126">
            <wp:extent cx="3708400" cy="4489922"/>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png"/>
                    <pic:cNvPicPr/>
                  </pic:nvPicPr>
                  <pic:blipFill>
                    <a:blip r:embed="rId9">
                      <a:extLst>
                        <a:ext uri="{28A0092B-C50C-407E-A947-70E740481C1C}">
                          <a14:useLocalDpi xmlns:a14="http://schemas.microsoft.com/office/drawing/2010/main" val="0"/>
                        </a:ext>
                      </a:extLst>
                    </a:blip>
                    <a:stretch>
                      <a:fillRect/>
                    </a:stretch>
                  </pic:blipFill>
                  <pic:spPr>
                    <a:xfrm>
                      <a:off x="0" y="0"/>
                      <a:ext cx="3713635" cy="4496260"/>
                    </a:xfrm>
                    <a:prstGeom prst="rect">
                      <a:avLst/>
                    </a:prstGeom>
                  </pic:spPr>
                </pic:pic>
              </a:graphicData>
            </a:graphic>
          </wp:inline>
        </w:drawing>
      </w:r>
    </w:p>
    <w:p w14:paraId="0C8EDB98" w14:textId="77777777" w:rsidR="00154DB5" w:rsidRPr="00C2021A" w:rsidRDefault="00154DB5" w:rsidP="00041DBE">
      <w:pPr>
        <w:spacing w:after="0" w:line="240" w:lineRule="auto"/>
        <w:jc w:val="both"/>
        <w:rPr>
          <w:rFonts w:cs="Arial"/>
          <w:color w:val="auto"/>
        </w:rPr>
      </w:pPr>
    </w:p>
    <w:p w14:paraId="5F8B1203" w14:textId="77777777" w:rsidR="00154DB5" w:rsidRPr="00C2021A" w:rsidRDefault="00154DB5" w:rsidP="00041DBE">
      <w:pPr>
        <w:spacing w:after="0" w:line="240" w:lineRule="auto"/>
        <w:jc w:val="both"/>
        <w:rPr>
          <w:rFonts w:cs="Arial"/>
          <w:color w:val="auto"/>
        </w:rPr>
      </w:pPr>
      <w:r w:rsidRPr="00C2021A">
        <w:rPr>
          <w:rFonts w:cs="Arial"/>
          <w:b/>
          <w:bCs/>
          <w:color w:val="auto"/>
        </w:rPr>
        <w:t xml:space="preserve">Figure 2. Production methods of graphene and graphene derivatives. </w:t>
      </w:r>
      <w:r w:rsidRPr="00C2021A">
        <w:rPr>
          <w:rFonts w:cs="Arial"/>
          <w:color w:val="auto"/>
        </w:rPr>
        <w:t>A) Molecular structure of graphene (GR), graphene oxide (GO), and reduced graphene oxide (</w:t>
      </w:r>
      <w:proofErr w:type="spellStart"/>
      <w:r w:rsidRPr="00C2021A">
        <w:rPr>
          <w:rFonts w:cs="Arial"/>
          <w:color w:val="auto"/>
        </w:rPr>
        <w:t>rGO</w:t>
      </w:r>
      <w:proofErr w:type="spellEnd"/>
      <w:r w:rsidRPr="00C2021A">
        <w:rPr>
          <w:rFonts w:cs="Arial"/>
          <w:color w:val="auto"/>
        </w:rPr>
        <w:t xml:space="preserve">). B) Comparison of various graphene production techniques according to quality and cost: (a) molecular beam epitaxy, (b) micromechanical exfoliation, (c) chemical vapor deposition, (d) epitaxial growth on </w:t>
      </w:r>
      <w:proofErr w:type="spellStart"/>
      <w:r w:rsidRPr="00C2021A">
        <w:rPr>
          <w:rFonts w:cs="Arial"/>
          <w:color w:val="auto"/>
        </w:rPr>
        <w:t>SiC</w:t>
      </w:r>
      <w:proofErr w:type="spellEnd"/>
      <w:r w:rsidRPr="00C2021A">
        <w:rPr>
          <w:rFonts w:cs="Arial"/>
          <w:color w:val="auto"/>
        </w:rPr>
        <w:t xml:space="preserve">, (e) molecular assembly, (f) liquid-phase exfoliation, and (g) </w:t>
      </w:r>
      <w:proofErr w:type="spellStart"/>
      <w:r w:rsidRPr="00C2021A">
        <w:rPr>
          <w:rFonts w:cs="Arial"/>
          <w:color w:val="auto"/>
        </w:rPr>
        <w:t>photoexfoliation</w:t>
      </w:r>
      <w:proofErr w:type="spellEnd"/>
      <w:r w:rsidRPr="00C2021A">
        <w:rPr>
          <w:rFonts w:cs="Arial"/>
          <w:color w:val="auto"/>
        </w:rPr>
        <w:t xml:space="preserve">. Adapted with permission from </w:t>
      </w:r>
      <w:r w:rsidRPr="00C2021A">
        <w:rPr>
          <w:rFonts w:cs="Arial"/>
          <w:noProof/>
          <w:color w:val="auto"/>
        </w:rPr>
        <w:t>(Bonaccorso et al. 2012)</w:t>
      </w:r>
    </w:p>
    <w:p w14:paraId="753ED4FA" w14:textId="77777777" w:rsidR="00154DB5" w:rsidRPr="00C2021A" w:rsidRDefault="00154DB5" w:rsidP="00041DBE">
      <w:pPr>
        <w:spacing w:after="0" w:line="240" w:lineRule="auto"/>
        <w:jc w:val="both"/>
        <w:rPr>
          <w:rFonts w:cs="Arial"/>
          <w:color w:val="auto"/>
        </w:rPr>
      </w:pPr>
    </w:p>
    <w:p w14:paraId="067D7D80" w14:textId="77777777" w:rsidR="00154DB5" w:rsidRPr="00C2021A" w:rsidRDefault="00154DB5" w:rsidP="00041DBE">
      <w:pPr>
        <w:spacing w:after="0" w:line="240" w:lineRule="auto"/>
        <w:jc w:val="both"/>
        <w:rPr>
          <w:rFonts w:cs="Arial"/>
          <w:color w:val="auto"/>
        </w:rPr>
      </w:pPr>
    </w:p>
    <w:p w14:paraId="17444296" w14:textId="77777777" w:rsidR="00154DB5" w:rsidRPr="00C2021A" w:rsidRDefault="00154DB5" w:rsidP="00041DBE">
      <w:pPr>
        <w:spacing w:after="0" w:line="240" w:lineRule="auto"/>
        <w:jc w:val="both"/>
        <w:rPr>
          <w:rFonts w:cs="Arial"/>
          <w:color w:val="auto"/>
        </w:rPr>
      </w:pPr>
    </w:p>
    <w:p w14:paraId="30BB38FA" w14:textId="77777777" w:rsidR="00154DB5" w:rsidRPr="00C2021A" w:rsidRDefault="00154DB5" w:rsidP="00041DBE">
      <w:pPr>
        <w:spacing w:after="0" w:line="240" w:lineRule="auto"/>
        <w:jc w:val="both"/>
        <w:rPr>
          <w:rFonts w:cs="Arial"/>
          <w:color w:val="auto"/>
        </w:rPr>
      </w:pPr>
    </w:p>
    <w:p w14:paraId="1985A969" w14:textId="77777777" w:rsidR="00154DB5" w:rsidRPr="00C2021A" w:rsidRDefault="00154DB5" w:rsidP="00041DBE">
      <w:pPr>
        <w:spacing w:after="0" w:line="240" w:lineRule="auto"/>
        <w:jc w:val="both"/>
        <w:rPr>
          <w:rFonts w:cs="Arial"/>
          <w:color w:val="auto"/>
        </w:rPr>
      </w:pPr>
    </w:p>
    <w:p w14:paraId="37C0EBC6" w14:textId="77777777" w:rsidR="00154DB5" w:rsidRPr="00C2021A" w:rsidRDefault="00154DB5" w:rsidP="00041DBE">
      <w:pPr>
        <w:spacing w:after="0" w:line="240" w:lineRule="auto"/>
        <w:jc w:val="both"/>
        <w:rPr>
          <w:rFonts w:cs="Arial"/>
          <w:color w:val="auto"/>
        </w:rPr>
      </w:pPr>
    </w:p>
    <w:p w14:paraId="7F21E178" w14:textId="77777777" w:rsidR="00154DB5" w:rsidRPr="00C2021A" w:rsidRDefault="00154DB5" w:rsidP="00041DBE">
      <w:pPr>
        <w:spacing w:after="0" w:line="240" w:lineRule="auto"/>
        <w:jc w:val="both"/>
        <w:rPr>
          <w:rFonts w:cs="Arial"/>
          <w:color w:val="auto"/>
        </w:rPr>
      </w:pPr>
    </w:p>
    <w:p w14:paraId="51D3B0EE" w14:textId="77777777" w:rsidR="00154DB5" w:rsidRPr="00C2021A" w:rsidRDefault="00154DB5" w:rsidP="00041DBE">
      <w:pPr>
        <w:spacing w:after="0" w:line="240" w:lineRule="auto"/>
        <w:jc w:val="both"/>
        <w:rPr>
          <w:rFonts w:cs="Arial"/>
          <w:color w:val="auto"/>
        </w:rPr>
      </w:pPr>
    </w:p>
    <w:p w14:paraId="41376983" w14:textId="77777777" w:rsidR="00154DB5" w:rsidRPr="00C2021A" w:rsidRDefault="00154DB5" w:rsidP="00041DBE">
      <w:pPr>
        <w:spacing w:after="0" w:line="240" w:lineRule="auto"/>
        <w:jc w:val="both"/>
        <w:rPr>
          <w:rFonts w:cs="Arial"/>
          <w:color w:val="auto"/>
        </w:rPr>
      </w:pPr>
    </w:p>
    <w:p w14:paraId="05D79245" w14:textId="77777777" w:rsidR="00154DB5" w:rsidRPr="00C2021A" w:rsidRDefault="00154DB5" w:rsidP="00041DBE">
      <w:pPr>
        <w:spacing w:after="0" w:line="240" w:lineRule="auto"/>
        <w:jc w:val="both"/>
        <w:rPr>
          <w:rFonts w:cs="Arial"/>
          <w:color w:val="auto"/>
        </w:rPr>
      </w:pPr>
    </w:p>
    <w:p w14:paraId="3A132613" w14:textId="77777777" w:rsidR="00154DB5" w:rsidRPr="00C2021A" w:rsidRDefault="00154DB5" w:rsidP="00041DBE">
      <w:pPr>
        <w:spacing w:after="0" w:line="240" w:lineRule="auto"/>
        <w:jc w:val="both"/>
        <w:rPr>
          <w:rFonts w:cs="Arial"/>
          <w:color w:val="auto"/>
        </w:rPr>
      </w:pPr>
    </w:p>
    <w:p w14:paraId="0BA88BE9" w14:textId="77777777" w:rsidR="00154DB5" w:rsidRPr="00C2021A" w:rsidRDefault="00154DB5" w:rsidP="00041DBE">
      <w:pPr>
        <w:spacing w:after="0" w:line="240" w:lineRule="auto"/>
        <w:jc w:val="both"/>
        <w:rPr>
          <w:rFonts w:cs="Arial"/>
          <w:color w:val="auto"/>
        </w:rPr>
      </w:pPr>
    </w:p>
    <w:p w14:paraId="5C0C176D" w14:textId="77777777" w:rsidR="00154DB5" w:rsidRPr="00C2021A" w:rsidRDefault="00154DB5" w:rsidP="00343B70">
      <w:pPr>
        <w:spacing w:after="0" w:line="240" w:lineRule="auto"/>
        <w:jc w:val="both"/>
        <w:rPr>
          <w:rFonts w:cs="Arial"/>
          <w:noProof/>
          <w:color w:val="auto"/>
          <w:lang w:eastAsia="ko-KR"/>
        </w:rPr>
      </w:pPr>
      <w:r w:rsidRPr="00C2021A">
        <w:rPr>
          <w:rFonts w:cs="Arial"/>
          <w:noProof/>
          <w:color w:val="auto"/>
          <w:lang w:eastAsia="ko-KR"/>
        </w:rPr>
        <w:br w:type="page"/>
      </w:r>
    </w:p>
    <w:p w14:paraId="56EB89C3" w14:textId="329658DC" w:rsidR="00154DB5" w:rsidRPr="00C2021A" w:rsidRDefault="00154DB5" w:rsidP="00DA233C">
      <w:pPr>
        <w:spacing w:after="0" w:line="240" w:lineRule="auto"/>
        <w:jc w:val="center"/>
        <w:rPr>
          <w:rFonts w:cs="Arial"/>
          <w:noProof/>
          <w:color w:val="auto"/>
          <w:lang w:eastAsia="ko-KR"/>
        </w:rPr>
      </w:pPr>
      <w:r w:rsidRPr="00C2021A">
        <w:rPr>
          <w:rFonts w:cs="Arial"/>
          <w:noProof/>
          <w:color w:val="auto"/>
          <w:lang w:eastAsia="ko-KR"/>
        </w:rPr>
        <w:lastRenderedPageBreak/>
        <w:drawing>
          <wp:inline distT="0" distB="0" distL="0" distR="0" wp14:anchorId="40B66B7C" wp14:editId="0F5DD8BF">
            <wp:extent cx="4846320" cy="314291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277" t="6404" r="1982" b="6808"/>
                    <a:stretch/>
                  </pic:blipFill>
                  <pic:spPr bwMode="auto">
                    <a:xfrm>
                      <a:off x="0" y="0"/>
                      <a:ext cx="4846320" cy="3142910"/>
                    </a:xfrm>
                    <a:prstGeom prst="rect">
                      <a:avLst/>
                    </a:prstGeom>
                    <a:noFill/>
                    <a:ln>
                      <a:noFill/>
                    </a:ln>
                    <a:extLst>
                      <a:ext uri="{53640926-AAD7-44D8-BBD7-CCE9431645EC}">
                        <a14:shadowObscured xmlns:a14="http://schemas.microsoft.com/office/drawing/2010/main"/>
                      </a:ext>
                    </a:extLst>
                  </pic:spPr>
                </pic:pic>
              </a:graphicData>
            </a:graphic>
          </wp:inline>
        </w:drawing>
      </w:r>
    </w:p>
    <w:p w14:paraId="4CDBCCAF" w14:textId="77777777" w:rsidR="00822FA8" w:rsidRPr="00C2021A" w:rsidRDefault="00822FA8" w:rsidP="00DA233C">
      <w:pPr>
        <w:spacing w:after="0" w:line="240" w:lineRule="auto"/>
        <w:jc w:val="center"/>
        <w:rPr>
          <w:rFonts w:cs="Arial"/>
          <w:noProof/>
          <w:color w:val="auto"/>
          <w:lang w:eastAsia="ko-KR"/>
        </w:rPr>
      </w:pPr>
    </w:p>
    <w:p w14:paraId="2510DD86" w14:textId="77777777" w:rsidR="00154DB5" w:rsidRPr="00C2021A" w:rsidRDefault="00154DB5" w:rsidP="00343B70">
      <w:pPr>
        <w:spacing w:after="0" w:line="240" w:lineRule="auto"/>
        <w:jc w:val="both"/>
        <w:rPr>
          <w:rFonts w:cs="Arial"/>
          <w:noProof/>
          <w:color w:val="auto"/>
          <w:lang w:eastAsia="ko-KR"/>
        </w:rPr>
      </w:pPr>
    </w:p>
    <w:p w14:paraId="130F35CC" w14:textId="77777777" w:rsidR="00154DB5" w:rsidRPr="00C2021A" w:rsidRDefault="00154DB5" w:rsidP="00343B70">
      <w:pPr>
        <w:spacing w:after="0" w:line="240" w:lineRule="auto"/>
        <w:jc w:val="both"/>
        <w:rPr>
          <w:rFonts w:cs="Arial"/>
          <w:bCs/>
          <w:color w:val="auto"/>
        </w:rPr>
      </w:pPr>
      <w:r w:rsidRPr="00C2021A">
        <w:rPr>
          <w:rFonts w:cs="Arial"/>
          <w:b/>
          <w:color w:val="auto"/>
        </w:rPr>
        <w:t>Figure 3.</w:t>
      </w:r>
      <w:r w:rsidRPr="00C2021A">
        <w:rPr>
          <w:rFonts w:cs="Arial"/>
          <w:bCs/>
          <w:color w:val="auto"/>
        </w:rPr>
        <w:t xml:space="preserve"> </w:t>
      </w:r>
      <w:r w:rsidRPr="00C2021A">
        <w:rPr>
          <w:rFonts w:cs="Arial"/>
          <w:b/>
          <w:color w:val="auto"/>
        </w:rPr>
        <w:t>Architecture of a graphene-based biosensor.</w:t>
      </w:r>
      <w:r w:rsidRPr="00C2021A">
        <w:rPr>
          <w:rFonts w:cs="Arial"/>
          <w:bCs/>
          <w:color w:val="auto"/>
        </w:rPr>
        <w:t xml:space="preserve"> The biorecognition element is immobilized on the surface of the graphene layer, acting as the transducer. The interaction between the target molecule and the bioreceptor generate a biological signal that is translated into a meaningful electrical signal.</w:t>
      </w:r>
    </w:p>
    <w:p w14:paraId="498F9DF6"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25ABD1D1"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4B9D0489"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61C3CBCB"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2F6E0449"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2AA740AF"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6D693D15"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795941B7"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703B09AE"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23EF5053"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2EE93A39"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446B6DC8"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685F59A9"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2CFF9797"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p>
    <w:p w14:paraId="6467449C" w14:textId="77777777" w:rsidR="00154DB5" w:rsidRPr="00C2021A" w:rsidRDefault="00154DB5" w:rsidP="004F545A">
      <w:pPr>
        <w:spacing w:after="0" w:line="240" w:lineRule="auto"/>
        <w:jc w:val="center"/>
        <w:rPr>
          <w:rFonts w:cs="Arial"/>
          <w:color w:val="auto"/>
        </w:rPr>
      </w:pPr>
      <w:r w:rsidRPr="00C2021A">
        <w:rPr>
          <w:rFonts w:cs="Arial"/>
          <w:noProof/>
          <w:color w:val="auto"/>
          <w:lang w:eastAsia="ko-KR"/>
        </w:rPr>
        <w:lastRenderedPageBreak/>
        <w:drawing>
          <wp:inline distT="0" distB="0" distL="0" distR="0" wp14:anchorId="7296BE95" wp14:editId="1C1A3D1D">
            <wp:extent cx="5327960" cy="337099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14924" b="11351"/>
                    <a:stretch/>
                  </pic:blipFill>
                  <pic:spPr bwMode="auto">
                    <a:xfrm>
                      <a:off x="0" y="0"/>
                      <a:ext cx="5328285" cy="3371202"/>
                    </a:xfrm>
                    <a:prstGeom prst="rect">
                      <a:avLst/>
                    </a:prstGeom>
                    <a:noFill/>
                    <a:ln>
                      <a:noFill/>
                    </a:ln>
                    <a:extLst>
                      <a:ext uri="{53640926-AAD7-44D8-BBD7-CCE9431645EC}">
                        <a14:shadowObscured xmlns:a14="http://schemas.microsoft.com/office/drawing/2010/main"/>
                      </a:ext>
                    </a:extLst>
                  </pic:spPr>
                </pic:pic>
              </a:graphicData>
            </a:graphic>
          </wp:inline>
        </w:drawing>
      </w:r>
    </w:p>
    <w:p w14:paraId="68BFFCD2" w14:textId="166BB8D9" w:rsidR="00154DB5" w:rsidRPr="00C2021A" w:rsidRDefault="00154DB5" w:rsidP="006C6ECB">
      <w:pPr>
        <w:spacing w:after="0" w:line="240" w:lineRule="auto"/>
        <w:jc w:val="both"/>
        <w:rPr>
          <w:rFonts w:cs="Arial"/>
          <w:color w:val="auto"/>
        </w:rPr>
      </w:pPr>
      <w:r w:rsidRPr="00C2021A">
        <w:rPr>
          <w:rFonts w:cs="Arial"/>
          <w:b/>
          <w:bCs/>
          <w:color w:val="auto"/>
        </w:rPr>
        <w:t xml:space="preserve">Figure </w:t>
      </w:r>
      <w:r w:rsidR="00822FA8" w:rsidRPr="00C2021A">
        <w:rPr>
          <w:rFonts w:cs="Arial"/>
          <w:b/>
          <w:bCs/>
          <w:color w:val="auto"/>
        </w:rPr>
        <w:t>4</w:t>
      </w:r>
      <w:r w:rsidRPr="00C2021A">
        <w:rPr>
          <w:rFonts w:cs="Arial"/>
          <w:b/>
          <w:bCs/>
          <w:color w:val="auto"/>
        </w:rPr>
        <w:t>.</w:t>
      </w:r>
      <w:r w:rsidRPr="00C2021A">
        <w:rPr>
          <w:rFonts w:cs="Arial"/>
          <w:color w:val="auto"/>
        </w:rPr>
        <w:t xml:space="preserve"> </w:t>
      </w:r>
      <w:r w:rsidRPr="00C2021A">
        <w:rPr>
          <w:rFonts w:cs="Arial"/>
          <w:b/>
          <w:color w:val="auto"/>
        </w:rPr>
        <w:t>Overview of the human oral cavity.</w:t>
      </w:r>
      <w:r w:rsidRPr="00C2021A">
        <w:rPr>
          <w:rFonts w:cs="Arial"/>
          <w:color w:val="auto"/>
        </w:rPr>
        <w:t xml:space="preserve"> Saliva is produced by the salivary glands contained in the oral cavity, one of the connecting points between our organism and the outside environment. The oral cavity is also a location where many human systems converge, and many types of biomarkers exist.</w:t>
      </w:r>
    </w:p>
    <w:p w14:paraId="2852F090" w14:textId="77777777" w:rsidR="00154DB5" w:rsidRPr="00C2021A" w:rsidRDefault="00154DB5" w:rsidP="00041DBE">
      <w:pPr>
        <w:spacing w:after="0" w:line="240" w:lineRule="auto"/>
        <w:jc w:val="both"/>
        <w:rPr>
          <w:rFonts w:cs="Arial"/>
          <w:color w:val="auto"/>
        </w:rPr>
      </w:pPr>
    </w:p>
    <w:p w14:paraId="10E389D9" w14:textId="77777777" w:rsidR="00154DB5" w:rsidRPr="00C2021A" w:rsidRDefault="00154DB5" w:rsidP="00041DBE">
      <w:pPr>
        <w:spacing w:after="0" w:line="240" w:lineRule="auto"/>
        <w:jc w:val="both"/>
        <w:rPr>
          <w:rFonts w:cs="Arial"/>
          <w:color w:val="auto"/>
        </w:rPr>
      </w:pPr>
    </w:p>
    <w:p w14:paraId="042C12E4" w14:textId="77777777" w:rsidR="00154DB5" w:rsidRPr="00C2021A" w:rsidRDefault="00154DB5" w:rsidP="00041DBE">
      <w:pPr>
        <w:spacing w:after="0" w:line="240" w:lineRule="auto"/>
        <w:jc w:val="both"/>
        <w:rPr>
          <w:rFonts w:cs="Arial"/>
          <w:color w:val="auto"/>
        </w:rPr>
      </w:pPr>
    </w:p>
    <w:p w14:paraId="29DD6C20" w14:textId="77777777" w:rsidR="00154DB5" w:rsidRPr="00C2021A" w:rsidRDefault="00154DB5" w:rsidP="00041DBE">
      <w:pPr>
        <w:spacing w:after="0" w:line="240" w:lineRule="auto"/>
        <w:jc w:val="both"/>
        <w:rPr>
          <w:rFonts w:cs="Arial"/>
          <w:color w:val="auto"/>
        </w:rPr>
      </w:pPr>
    </w:p>
    <w:p w14:paraId="2E89E36A" w14:textId="77777777" w:rsidR="00154DB5" w:rsidRPr="00C2021A" w:rsidRDefault="00154DB5" w:rsidP="00041DBE">
      <w:pPr>
        <w:spacing w:after="0" w:line="240" w:lineRule="auto"/>
        <w:jc w:val="both"/>
        <w:rPr>
          <w:rFonts w:cs="Arial"/>
          <w:color w:val="auto"/>
        </w:rPr>
      </w:pPr>
    </w:p>
    <w:p w14:paraId="7AE62089" w14:textId="77777777" w:rsidR="00154DB5" w:rsidRPr="00C2021A" w:rsidRDefault="00154DB5" w:rsidP="00041DBE">
      <w:pPr>
        <w:spacing w:after="0" w:line="240" w:lineRule="auto"/>
        <w:jc w:val="both"/>
        <w:rPr>
          <w:rFonts w:cs="Arial"/>
          <w:color w:val="auto"/>
        </w:rPr>
      </w:pPr>
    </w:p>
    <w:p w14:paraId="697B2F76" w14:textId="77777777" w:rsidR="00154DB5" w:rsidRPr="00C2021A" w:rsidRDefault="00154DB5" w:rsidP="00041DBE">
      <w:pPr>
        <w:spacing w:after="0" w:line="240" w:lineRule="auto"/>
        <w:jc w:val="both"/>
        <w:rPr>
          <w:rFonts w:cs="Arial"/>
          <w:color w:val="auto"/>
        </w:rPr>
      </w:pPr>
    </w:p>
    <w:p w14:paraId="35D8C046" w14:textId="77777777" w:rsidR="00154DB5" w:rsidRPr="00C2021A" w:rsidRDefault="00154DB5" w:rsidP="00041DBE">
      <w:pPr>
        <w:spacing w:after="0" w:line="240" w:lineRule="auto"/>
        <w:jc w:val="both"/>
        <w:rPr>
          <w:rFonts w:cs="Arial"/>
          <w:color w:val="auto"/>
        </w:rPr>
      </w:pPr>
    </w:p>
    <w:p w14:paraId="57550150" w14:textId="77777777" w:rsidR="00154DB5" w:rsidRPr="00C2021A" w:rsidRDefault="00154DB5" w:rsidP="00041DBE">
      <w:pPr>
        <w:spacing w:after="0" w:line="240" w:lineRule="auto"/>
        <w:jc w:val="both"/>
        <w:rPr>
          <w:rFonts w:cs="Arial"/>
          <w:color w:val="auto"/>
        </w:rPr>
      </w:pPr>
    </w:p>
    <w:p w14:paraId="732049A1" w14:textId="77777777" w:rsidR="00154DB5" w:rsidRPr="00C2021A" w:rsidRDefault="00154DB5" w:rsidP="00041DBE">
      <w:pPr>
        <w:spacing w:after="0" w:line="240" w:lineRule="auto"/>
        <w:jc w:val="both"/>
        <w:rPr>
          <w:rFonts w:cs="Arial"/>
          <w:color w:val="auto"/>
        </w:rPr>
      </w:pPr>
    </w:p>
    <w:p w14:paraId="38B59116" w14:textId="77777777" w:rsidR="00154DB5" w:rsidRPr="00C2021A" w:rsidRDefault="00154DB5" w:rsidP="00041DBE">
      <w:pPr>
        <w:spacing w:after="0" w:line="240" w:lineRule="auto"/>
        <w:jc w:val="both"/>
        <w:rPr>
          <w:rFonts w:cs="Arial"/>
          <w:color w:val="auto"/>
        </w:rPr>
      </w:pPr>
    </w:p>
    <w:p w14:paraId="288BCC8A" w14:textId="77777777" w:rsidR="00154DB5" w:rsidRPr="00C2021A" w:rsidRDefault="00154DB5" w:rsidP="00041DBE">
      <w:pPr>
        <w:spacing w:after="0" w:line="240" w:lineRule="auto"/>
        <w:jc w:val="both"/>
        <w:rPr>
          <w:rFonts w:cs="Arial"/>
          <w:color w:val="auto"/>
        </w:rPr>
      </w:pPr>
    </w:p>
    <w:p w14:paraId="163291EB" w14:textId="77777777" w:rsidR="00154DB5" w:rsidRPr="00C2021A" w:rsidRDefault="00154DB5" w:rsidP="00041DBE">
      <w:pPr>
        <w:spacing w:after="0" w:line="240" w:lineRule="auto"/>
        <w:jc w:val="both"/>
        <w:rPr>
          <w:rFonts w:cs="Arial"/>
          <w:color w:val="auto"/>
        </w:rPr>
      </w:pPr>
    </w:p>
    <w:p w14:paraId="2D14984C" w14:textId="77777777" w:rsidR="00154DB5" w:rsidRPr="00C2021A" w:rsidRDefault="00154DB5" w:rsidP="00041DBE">
      <w:pPr>
        <w:spacing w:after="0" w:line="240" w:lineRule="auto"/>
        <w:jc w:val="both"/>
        <w:rPr>
          <w:rFonts w:cs="Arial"/>
          <w:color w:val="auto"/>
        </w:rPr>
      </w:pPr>
    </w:p>
    <w:p w14:paraId="0A2370BB" w14:textId="77777777" w:rsidR="00154DB5" w:rsidRPr="00C2021A" w:rsidRDefault="00154DB5" w:rsidP="00041DBE">
      <w:pPr>
        <w:spacing w:after="0" w:line="240" w:lineRule="auto"/>
        <w:jc w:val="both"/>
        <w:rPr>
          <w:rFonts w:cs="Arial"/>
          <w:color w:val="auto"/>
        </w:rPr>
      </w:pPr>
    </w:p>
    <w:p w14:paraId="0CA8769A" w14:textId="77777777" w:rsidR="00154DB5" w:rsidRPr="00C2021A" w:rsidRDefault="00154DB5" w:rsidP="00041DBE">
      <w:pPr>
        <w:spacing w:after="0" w:line="240" w:lineRule="auto"/>
        <w:jc w:val="both"/>
        <w:rPr>
          <w:rFonts w:cs="Arial"/>
          <w:color w:val="auto"/>
        </w:rPr>
      </w:pPr>
    </w:p>
    <w:p w14:paraId="35DA9C0E" w14:textId="77777777" w:rsidR="00154DB5" w:rsidRPr="00C2021A" w:rsidRDefault="00154DB5" w:rsidP="00041DBE">
      <w:pPr>
        <w:spacing w:after="0" w:line="240" w:lineRule="auto"/>
        <w:jc w:val="both"/>
        <w:rPr>
          <w:rFonts w:cs="Arial"/>
          <w:color w:val="auto"/>
        </w:rPr>
      </w:pPr>
    </w:p>
    <w:p w14:paraId="1EA1A213" w14:textId="77777777" w:rsidR="00154DB5" w:rsidRPr="00C2021A" w:rsidRDefault="00154DB5" w:rsidP="00041DBE">
      <w:pPr>
        <w:spacing w:after="0" w:line="240" w:lineRule="auto"/>
        <w:jc w:val="both"/>
        <w:rPr>
          <w:rFonts w:cs="Arial"/>
          <w:color w:val="auto"/>
        </w:rPr>
      </w:pPr>
    </w:p>
    <w:p w14:paraId="39D37657" w14:textId="77777777" w:rsidR="00154DB5" w:rsidRPr="00C2021A" w:rsidRDefault="00154DB5" w:rsidP="00041DBE">
      <w:pPr>
        <w:spacing w:after="0" w:line="240" w:lineRule="auto"/>
        <w:jc w:val="both"/>
        <w:rPr>
          <w:rFonts w:cs="Arial"/>
          <w:color w:val="auto"/>
        </w:rPr>
      </w:pPr>
    </w:p>
    <w:p w14:paraId="006FAD5E" w14:textId="77777777" w:rsidR="00154DB5" w:rsidRPr="00C2021A" w:rsidRDefault="00154DB5" w:rsidP="00041DBE">
      <w:pPr>
        <w:spacing w:after="0" w:line="240" w:lineRule="auto"/>
        <w:jc w:val="both"/>
        <w:rPr>
          <w:rFonts w:cs="Arial"/>
          <w:color w:val="auto"/>
        </w:rPr>
      </w:pPr>
    </w:p>
    <w:p w14:paraId="575AA6BE"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noProof/>
          <w:color w:val="auto"/>
          <w:lang w:eastAsia="ko-KR"/>
        </w:rPr>
      </w:pPr>
      <w:r w:rsidRPr="00C2021A">
        <w:rPr>
          <w:rFonts w:cs="Arial"/>
          <w:noProof/>
          <w:color w:val="auto"/>
          <w:lang w:eastAsia="ko-KR"/>
        </w:rPr>
        <w:br w:type="page"/>
      </w:r>
    </w:p>
    <w:p w14:paraId="246BDEE5" w14:textId="69172530" w:rsidR="00154DB5" w:rsidRPr="00C2021A" w:rsidRDefault="00154DB5" w:rsidP="0061356D">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w:color w:val="auto"/>
        </w:rPr>
      </w:pPr>
      <w:r w:rsidRPr="00C2021A">
        <w:rPr>
          <w:rFonts w:cs="Arial"/>
          <w:noProof/>
          <w:color w:val="auto"/>
          <w:lang w:eastAsia="ko-KR"/>
        </w:rPr>
        <w:lastRenderedPageBreak/>
        <w:drawing>
          <wp:inline distT="0" distB="0" distL="0" distR="0" wp14:anchorId="71B4EB8D" wp14:editId="44BD7137">
            <wp:extent cx="3516258" cy="6396597"/>
            <wp:effectExtent l="0" t="0" r="8255"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7.png"/>
                    <pic:cNvPicPr/>
                  </pic:nvPicPr>
                  <pic:blipFill>
                    <a:blip r:embed="rId12">
                      <a:extLst>
                        <a:ext uri="{28A0092B-C50C-407E-A947-70E740481C1C}">
                          <a14:useLocalDpi xmlns:a14="http://schemas.microsoft.com/office/drawing/2010/main" val="0"/>
                        </a:ext>
                      </a:extLst>
                    </a:blip>
                    <a:stretch>
                      <a:fillRect/>
                    </a:stretch>
                  </pic:blipFill>
                  <pic:spPr>
                    <a:xfrm>
                      <a:off x="0" y="0"/>
                      <a:ext cx="3520886" cy="6405017"/>
                    </a:xfrm>
                    <a:prstGeom prst="rect">
                      <a:avLst/>
                    </a:prstGeom>
                  </pic:spPr>
                </pic:pic>
              </a:graphicData>
            </a:graphic>
          </wp:inline>
        </w:drawing>
      </w:r>
    </w:p>
    <w:p w14:paraId="5952CB7C" w14:textId="77777777" w:rsidR="00154DB5" w:rsidRPr="00C2021A" w:rsidRDefault="00154DB5" w:rsidP="00041DBE">
      <w:pPr>
        <w:spacing w:after="0" w:line="240" w:lineRule="auto"/>
        <w:jc w:val="both"/>
        <w:rPr>
          <w:rFonts w:cs="Arial"/>
          <w:b/>
          <w:bCs/>
          <w:color w:val="auto"/>
        </w:rPr>
      </w:pPr>
    </w:p>
    <w:p w14:paraId="58553B26" w14:textId="41DA5379" w:rsidR="00154DB5" w:rsidRPr="00C2021A" w:rsidRDefault="00154DB5" w:rsidP="00041DBE">
      <w:pPr>
        <w:spacing w:after="0" w:line="240" w:lineRule="auto"/>
        <w:jc w:val="both"/>
        <w:rPr>
          <w:rFonts w:cs="Arial"/>
          <w:color w:val="auto"/>
        </w:rPr>
      </w:pPr>
      <w:r w:rsidRPr="00C2021A">
        <w:rPr>
          <w:rFonts w:cs="Arial"/>
          <w:b/>
          <w:bCs/>
          <w:color w:val="auto"/>
        </w:rPr>
        <w:t xml:space="preserve">Figure </w:t>
      </w:r>
      <w:r w:rsidR="0061356D">
        <w:rPr>
          <w:rFonts w:cs="Arial"/>
          <w:b/>
          <w:bCs/>
          <w:color w:val="auto"/>
        </w:rPr>
        <w:t>5</w:t>
      </w:r>
      <w:r w:rsidRPr="00C2021A">
        <w:rPr>
          <w:rFonts w:cs="Arial"/>
          <w:b/>
          <w:bCs/>
          <w:color w:val="auto"/>
        </w:rPr>
        <w:t xml:space="preserve">. </w:t>
      </w:r>
      <w:r w:rsidRPr="00C2021A">
        <w:rPr>
          <w:rFonts w:cs="Arial"/>
          <w:b/>
          <w:color w:val="auto"/>
        </w:rPr>
        <w:t>Wearable biosensors for salivary biomarker detection.</w:t>
      </w:r>
      <w:r w:rsidRPr="00C2021A">
        <w:rPr>
          <w:rFonts w:cs="Arial"/>
          <w:color w:val="auto"/>
        </w:rPr>
        <w:t xml:space="preserve"> A)</w:t>
      </w:r>
      <w:r w:rsidRPr="00C2021A">
        <w:rPr>
          <w:rFonts w:cs="Arial"/>
          <w:b/>
          <w:bCs/>
          <w:color w:val="auto"/>
        </w:rPr>
        <w:t xml:space="preserve"> </w:t>
      </w:r>
      <w:r w:rsidR="00566446" w:rsidRPr="00C2021A">
        <w:rPr>
          <w:rFonts w:cs="Arial"/>
          <w:bCs/>
          <w:color w:val="auto"/>
        </w:rPr>
        <w:t xml:space="preserve">Only example of </w:t>
      </w:r>
      <w:r w:rsidRPr="00C2021A">
        <w:rPr>
          <w:rFonts w:cs="Arial"/>
          <w:color w:val="auto"/>
        </w:rPr>
        <w:t>a graphene-based biosensor</w:t>
      </w:r>
      <w:r w:rsidR="00566446" w:rsidRPr="00C2021A">
        <w:rPr>
          <w:rFonts w:cs="Arial"/>
          <w:color w:val="auto"/>
        </w:rPr>
        <w:t xml:space="preserve"> for the wireless bacteria detection</w:t>
      </w:r>
      <w:r w:rsidRPr="00C2021A">
        <w:rPr>
          <w:rFonts w:cs="Arial"/>
          <w:color w:val="auto"/>
        </w:rPr>
        <w:t xml:space="preserve">. </w:t>
      </w:r>
      <w:proofErr w:type="spellStart"/>
      <w:r w:rsidRPr="00C2021A">
        <w:rPr>
          <w:rFonts w:cs="Arial"/>
          <w:color w:val="auto"/>
        </w:rPr>
        <w:t>Mannoor</w:t>
      </w:r>
      <w:proofErr w:type="spellEnd"/>
      <w:r w:rsidRPr="00C2021A">
        <w:rPr>
          <w:rFonts w:cs="Arial"/>
          <w:color w:val="auto"/>
        </w:rPr>
        <w:t xml:space="preserve"> et al. 2012. </w:t>
      </w:r>
      <w:r w:rsidRPr="00C2021A">
        <w:rPr>
          <w:rFonts w:cs="Arial"/>
          <w:color w:val="auto"/>
          <w:vertAlign w:val="superscript"/>
        </w:rPr>
        <w:t xml:space="preserve"> </w:t>
      </w:r>
      <w:r w:rsidRPr="00C2021A">
        <w:rPr>
          <w:rFonts w:cs="Arial"/>
          <w:color w:val="auto"/>
        </w:rPr>
        <w:t>B)</w:t>
      </w:r>
      <w:r w:rsidRPr="00C2021A">
        <w:rPr>
          <w:rFonts w:cs="Arial"/>
          <w:b/>
          <w:bCs/>
          <w:color w:val="auto"/>
        </w:rPr>
        <w:t xml:space="preserve"> </w:t>
      </w:r>
      <w:r w:rsidRPr="00C2021A">
        <w:rPr>
          <w:rFonts w:cs="Arial"/>
          <w:color w:val="auto"/>
        </w:rPr>
        <w:t>Mouthguard biosensor for monitoring of metabolites in saliva Kim et al. 2014. C)</w:t>
      </w:r>
      <w:r w:rsidRPr="00C2021A">
        <w:rPr>
          <w:rFonts w:cs="Arial"/>
          <w:b/>
          <w:bCs/>
          <w:color w:val="auto"/>
        </w:rPr>
        <w:t xml:space="preserve"> </w:t>
      </w:r>
      <w:r w:rsidRPr="00C2021A">
        <w:rPr>
          <w:rFonts w:cs="Arial"/>
          <w:color w:val="auto"/>
        </w:rPr>
        <w:t xml:space="preserve">Mouthguard biosensor with integrated wireless electronics for the detection of uric acid in saliva Kim et al. 2015. D) Mouthguard biosensor with integrated electronics for selective monitoring of glucose in saliva Arakawa et al. 2016, </w:t>
      </w:r>
      <w:proofErr w:type="spellStart"/>
      <w:r w:rsidRPr="00C2021A">
        <w:rPr>
          <w:rFonts w:cs="Arial"/>
          <w:color w:val="auto"/>
        </w:rPr>
        <w:t>Mitsubayashi</w:t>
      </w:r>
      <w:proofErr w:type="spellEnd"/>
      <w:r w:rsidRPr="00C2021A">
        <w:rPr>
          <w:rFonts w:cs="Arial"/>
          <w:color w:val="auto"/>
        </w:rPr>
        <w:t xml:space="preserve"> et al. 2016. E)</w:t>
      </w:r>
      <w:r w:rsidRPr="00C2021A">
        <w:rPr>
          <w:rFonts w:cs="Arial"/>
          <w:b/>
          <w:bCs/>
          <w:color w:val="auto"/>
        </w:rPr>
        <w:t xml:space="preserve"> </w:t>
      </w:r>
      <w:r w:rsidRPr="00C2021A">
        <w:rPr>
          <w:rFonts w:cs="Arial"/>
          <w:color w:val="auto"/>
        </w:rPr>
        <w:t>Wearable miniaturized RF sensor with wireless capability for monitoring of food consumption Tseng et al. 2018. F) Wireless intraoral biosensor for monitoring of sodium intake on a soft retainer Lee et al. 2018</w:t>
      </w:r>
    </w:p>
    <w:p w14:paraId="58CAF83F" w14:textId="77777777" w:rsidR="00154DB5" w:rsidRPr="00C2021A" w:rsidRDefault="00154DB5" w:rsidP="00041DBE">
      <w:pPr>
        <w:spacing w:after="0" w:line="240" w:lineRule="auto"/>
        <w:jc w:val="both"/>
        <w:rPr>
          <w:rFonts w:cs="Arial"/>
          <w:color w:val="auto"/>
        </w:rPr>
      </w:pPr>
    </w:p>
    <w:p w14:paraId="7DA261C0" w14:textId="77777777" w:rsidR="00154DB5" w:rsidRPr="00C2021A" w:rsidRDefault="00154DB5" w:rsidP="00041DBE">
      <w:pPr>
        <w:spacing w:after="0" w:line="240" w:lineRule="auto"/>
        <w:jc w:val="both"/>
        <w:rPr>
          <w:rFonts w:cs="Arial"/>
          <w:color w:val="auto"/>
        </w:rPr>
      </w:pPr>
    </w:p>
    <w:p w14:paraId="598CECEC" w14:textId="77777777" w:rsidR="00154DB5" w:rsidRPr="00C2021A" w:rsidRDefault="00154DB5" w:rsidP="009B46AE">
      <w:pPr>
        <w:spacing w:after="0" w:line="240" w:lineRule="auto"/>
        <w:jc w:val="center"/>
        <w:rPr>
          <w:rFonts w:cs="Arial"/>
          <w:color w:val="auto"/>
        </w:rPr>
      </w:pPr>
      <w:r w:rsidRPr="00C2021A">
        <w:rPr>
          <w:rFonts w:cs="Arial"/>
          <w:noProof/>
          <w:color w:val="auto"/>
          <w:lang w:eastAsia="ko-KR"/>
        </w:rPr>
        <w:drawing>
          <wp:inline distT="0" distB="0" distL="0" distR="0" wp14:anchorId="32AD2186" wp14:editId="36EBE3A7">
            <wp:extent cx="4036060" cy="324816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11639"/>
                    <a:stretch/>
                  </pic:blipFill>
                  <pic:spPr bwMode="auto">
                    <a:xfrm>
                      <a:off x="0" y="0"/>
                      <a:ext cx="4036060" cy="3248167"/>
                    </a:xfrm>
                    <a:prstGeom prst="rect">
                      <a:avLst/>
                    </a:prstGeom>
                    <a:noFill/>
                    <a:ln>
                      <a:noFill/>
                    </a:ln>
                    <a:extLst>
                      <a:ext uri="{53640926-AAD7-44D8-BBD7-CCE9431645EC}">
                        <a14:shadowObscured xmlns:a14="http://schemas.microsoft.com/office/drawing/2010/main"/>
                      </a:ext>
                    </a:extLst>
                  </pic:spPr>
                </pic:pic>
              </a:graphicData>
            </a:graphic>
          </wp:inline>
        </w:drawing>
      </w:r>
    </w:p>
    <w:p w14:paraId="0E6A026A" w14:textId="77777777" w:rsidR="00154DB5" w:rsidRPr="00C2021A" w:rsidRDefault="00154DB5" w:rsidP="00041DBE">
      <w:pPr>
        <w:spacing w:after="0" w:line="240" w:lineRule="auto"/>
        <w:jc w:val="both"/>
        <w:rPr>
          <w:rFonts w:cs="Arial"/>
          <w:color w:val="auto"/>
        </w:rPr>
      </w:pPr>
    </w:p>
    <w:p w14:paraId="13EB4678" w14:textId="62C26AAE" w:rsidR="00154DB5" w:rsidRPr="00C2021A" w:rsidRDefault="00154DB5" w:rsidP="00041DBE">
      <w:pPr>
        <w:spacing w:after="0" w:line="240" w:lineRule="auto"/>
        <w:jc w:val="both"/>
        <w:rPr>
          <w:rFonts w:cs="Arial"/>
          <w:color w:val="auto"/>
        </w:rPr>
      </w:pPr>
      <w:bookmarkStart w:id="11" w:name="_Hlk51230795"/>
      <w:r w:rsidRPr="00C2021A">
        <w:rPr>
          <w:rFonts w:cs="Arial"/>
          <w:b/>
          <w:bCs/>
          <w:color w:val="auto"/>
        </w:rPr>
        <w:t xml:space="preserve">Figure </w:t>
      </w:r>
      <w:r w:rsidR="0061356D">
        <w:rPr>
          <w:rFonts w:cs="Arial"/>
          <w:b/>
          <w:bCs/>
          <w:color w:val="auto"/>
        </w:rPr>
        <w:t>6</w:t>
      </w:r>
      <w:r w:rsidRPr="00C2021A">
        <w:rPr>
          <w:rFonts w:cs="Arial"/>
          <w:b/>
          <w:bCs/>
          <w:color w:val="auto"/>
        </w:rPr>
        <w:t>.</w:t>
      </w:r>
      <w:r w:rsidRPr="00C2021A">
        <w:rPr>
          <w:rFonts w:cs="Arial"/>
          <w:color w:val="auto"/>
        </w:rPr>
        <w:t xml:space="preserve"> </w:t>
      </w:r>
      <w:r w:rsidRPr="00C2021A">
        <w:rPr>
          <w:rFonts w:cs="Arial"/>
          <w:b/>
          <w:color w:val="auto"/>
        </w:rPr>
        <w:t>Wearable oral graphene biosensors for clinical applications.</w:t>
      </w:r>
      <w:r w:rsidRPr="00C2021A">
        <w:rPr>
          <w:rFonts w:cs="Arial"/>
          <w:color w:val="auto"/>
        </w:rPr>
        <w:t xml:space="preserve"> This schematic illustration includes a possible implementation of wearable oral graphene biosensors for future health monitoring and therapeutics: 1) Data from wearable oral biosensors are collected and wirelessly sent to the clinician for data analysis, 2) Data can be stored on </w:t>
      </w:r>
      <w:r w:rsidR="00153DFE" w:rsidRPr="00C2021A">
        <w:rPr>
          <w:rFonts w:cs="Arial"/>
          <w:color w:val="auto"/>
        </w:rPr>
        <w:t xml:space="preserve">the </w:t>
      </w:r>
      <w:r w:rsidRPr="00C2021A">
        <w:rPr>
          <w:rFonts w:cs="Arial"/>
          <w:color w:val="auto"/>
        </w:rPr>
        <w:t>cloud platform, upon permission, to build a customized database of information for each patient, and 3) Healthcare providers suggest a personalized treatment based on the condition and clinical history of the patient.</w:t>
      </w:r>
    </w:p>
    <w:bookmarkEnd w:id="11"/>
    <w:p w14:paraId="43FB38A5" w14:textId="613ACBAA" w:rsidR="00154DB5" w:rsidRPr="00C2021A" w:rsidRDefault="00154DB5" w:rsidP="00041DBE">
      <w:pPr>
        <w:spacing w:after="0" w:line="240" w:lineRule="auto"/>
        <w:jc w:val="both"/>
        <w:rPr>
          <w:rFonts w:cs="Arial"/>
          <w:color w:val="auto"/>
        </w:rPr>
      </w:pPr>
    </w:p>
    <w:p w14:paraId="27A41466" w14:textId="77777777" w:rsidR="00153DFE" w:rsidRPr="00C2021A" w:rsidRDefault="00153DFE" w:rsidP="00041DBE">
      <w:pPr>
        <w:spacing w:after="0" w:line="240" w:lineRule="auto"/>
        <w:jc w:val="both"/>
        <w:rPr>
          <w:rFonts w:cs="Arial"/>
          <w:color w:val="auto"/>
        </w:rPr>
      </w:pPr>
    </w:p>
    <w:p w14:paraId="17B8DD9F" w14:textId="77777777" w:rsidR="00154DB5" w:rsidRPr="00C2021A" w:rsidRDefault="00154DB5" w:rsidP="00041DBE">
      <w:pPr>
        <w:spacing w:after="0" w:line="240" w:lineRule="auto"/>
        <w:jc w:val="both"/>
        <w:rPr>
          <w:rFonts w:cs="Arial"/>
          <w:color w:val="auto"/>
        </w:rPr>
      </w:pPr>
    </w:p>
    <w:p w14:paraId="2A1AE1C6" w14:textId="77777777" w:rsidR="00154DB5" w:rsidRPr="00C2021A" w:rsidRDefault="00154DB5" w:rsidP="00041DBE">
      <w:pPr>
        <w:spacing w:after="0" w:line="240" w:lineRule="auto"/>
        <w:jc w:val="both"/>
        <w:rPr>
          <w:rFonts w:cs="Arial"/>
          <w:color w:val="auto"/>
        </w:rPr>
      </w:pPr>
    </w:p>
    <w:p w14:paraId="64542791" w14:textId="77777777" w:rsidR="00154DB5" w:rsidRPr="00C2021A" w:rsidRDefault="00154DB5" w:rsidP="00041DBE">
      <w:pPr>
        <w:spacing w:after="0" w:line="240" w:lineRule="auto"/>
        <w:jc w:val="both"/>
        <w:rPr>
          <w:rFonts w:cs="Arial"/>
          <w:color w:val="auto"/>
        </w:rPr>
      </w:pPr>
    </w:p>
    <w:p w14:paraId="0B7EE030" w14:textId="77777777" w:rsidR="00154DB5" w:rsidRPr="00C2021A" w:rsidRDefault="00154DB5" w:rsidP="00041DBE">
      <w:pPr>
        <w:spacing w:after="0" w:line="240" w:lineRule="auto"/>
        <w:jc w:val="both"/>
        <w:rPr>
          <w:rFonts w:cs="Arial"/>
          <w:color w:val="auto"/>
        </w:rPr>
      </w:pPr>
    </w:p>
    <w:p w14:paraId="1D6B443E" w14:textId="77777777" w:rsidR="00154DB5" w:rsidRPr="00C2021A" w:rsidRDefault="00154DB5" w:rsidP="00041DBE">
      <w:pPr>
        <w:spacing w:after="0" w:line="240" w:lineRule="auto"/>
        <w:jc w:val="both"/>
        <w:rPr>
          <w:rFonts w:cs="Arial"/>
          <w:color w:val="auto"/>
        </w:rPr>
      </w:pPr>
    </w:p>
    <w:p w14:paraId="3725B7D8" w14:textId="77777777" w:rsidR="00154DB5" w:rsidRPr="00C2021A" w:rsidRDefault="00154DB5" w:rsidP="00041DBE">
      <w:pPr>
        <w:spacing w:after="0" w:line="240" w:lineRule="auto"/>
        <w:jc w:val="both"/>
        <w:rPr>
          <w:rFonts w:cs="Arial"/>
          <w:color w:val="auto"/>
        </w:rPr>
      </w:pPr>
    </w:p>
    <w:p w14:paraId="3D0AB196" w14:textId="77777777" w:rsidR="00154DB5" w:rsidRPr="00C2021A" w:rsidRDefault="00154DB5" w:rsidP="00041DBE">
      <w:pPr>
        <w:spacing w:after="0" w:line="240" w:lineRule="auto"/>
        <w:jc w:val="both"/>
        <w:rPr>
          <w:rFonts w:cs="Arial"/>
          <w:color w:val="auto"/>
        </w:rPr>
      </w:pPr>
    </w:p>
    <w:p w14:paraId="5E4B9258" w14:textId="77777777" w:rsidR="00154DB5" w:rsidRPr="00C2021A" w:rsidRDefault="00154DB5" w:rsidP="00041DBE">
      <w:pPr>
        <w:spacing w:after="0" w:line="240" w:lineRule="auto"/>
        <w:jc w:val="both"/>
        <w:rPr>
          <w:rFonts w:cs="Arial"/>
          <w:color w:val="auto"/>
        </w:rPr>
      </w:pPr>
    </w:p>
    <w:p w14:paraId="143A256B" w14:textId="77777777" w:rsidR="00154DB5" w:rsidRPr="00C2021A" w:rsidRDefault="00154DB5" w:rsidP="00041DBE">
      <w:pPr>
        <w:spacing w:after="0" w:line="240" w:lineRule="auto"/>
        <w:jc w:val="both"/>
        <w:rPr>
          <w:rFonts w:cs="Arial"/>
          <w:color w:val="auto"/>
        </w:rPr>
      </w:pPr>
    </w:p>
    <w:p w14:paraId="15BA3F7B" w14:textId="77777777" w:rsidR="00154DB5" w:rsidRPr="00C2021A" w:rsidRDefault="00154DB5" w:rsidP="00041DBE">
      <w:pPr>
        <w:spacing w:after="0" w:line="240" w:lineRule="auto"/>
        <w:jc w:val="both"/>
        <w:rPr>
          <w:rFonts w:cs="Arial"/>
          <w:color w:val="auto"/>
        </w:rPr>
      </w:pPr>
    </w:p>
    <w:p w14:paraId="252221B5" w14:textId="77777777" w:rsidR="00154DB5" w:rsidRPr="00C2021A" w:rsidRDefault="00154DB5" w:rsidP="00041DBE">
      <w:pPr>
        <w:spacing w:after="0" w:line="240" w:lineRule="auto"/>
        <w:jc w:val="both"/>
        <w:rPr>
          <w:rFonts w:cs="Arial"/>
          <w:color w:val="auto"/>
        </w:rPr>
      </w:pPr>
    </w:p>
    <w:p w14:paraId="2973F64B" w14:textId="77777777" w:rsidR="00154DB5" w:rsidRPr="00C2021A" w:rsidRDefault="00154DB5" w:rsidP="00041DBE">
      <w:pPr>
        <w:spacing w:after="0" w:line="240" w:lineRule="auto"/>
        <w:jc w:val="both"/>
        <w:rPr>
          <w:rFonts w:cs="Arial"/>
          <w:color w:val="auto"/>
        </w:rPr>
      </w:pPr>
    </w:p>
    <w:p w14:paraId="60BC7768" w14:textId="77777777" w:rsidR="00154DB5" w:rsidRPr="00C2021A" w:rsidRDefault="00154DB5" w:rsidP="00041DBE">
      <w:pPr>
        <w:spacing w:after="0" w:line="240" w:lineRule="auto"/>
        <w:jc w:val="both"/>
        <w:rPr>
          <w:rFonts w:cs="Arial"/>
          <w:color w:val="auto"/>
        </w:rPr>
      </w:pPr>
    </w:p>
    <w:p w14:paraId="393DBAA8" w14:textId="77777777" w:rsidR="00154DB5" w:rsidRPr="00C2021A" w:rsidRDefault="00154DB5" w:rsidP="00041DBE">
      <w:pPr>
        <w:spacing w:after="0" w:line="240" w:lineRule="auto"/>
        <w:jc w:val="both"/>
        <w:rPr>
          <w:rFonts w:cs="Arial"/>
          <w:color w:val="auto"/>
        </w:rPr>
      </w:pPr>
    </w:p>
    <w:p w14:paraId="102E8BC3" w14:textId="77777777" w:rsidR="00154DB5" w:rsidRPr="00C2021A" w:rsidRDefault="00154DB5" w:rsidP="00041DBE">
      <w:pPr>
        <w:spacing w:after="0" w:line="240" w:lineRule="auto"/>
        <w:jc w:val="both"/>
        <w:rPr>
          <w:rFonts w:cs="Arial"/>
          <w:color w:val="auto"/>
        </w:rPr>
      </w:pPr>
    </w:p>
    <w:p w14:paraId="64B46B50" w14:textId="77777777" w:rsidR="00154DB5" w:rsidRPr="00C2021A" w:rsidRDefault="00154DB5" w:rsidP="00041DBE">
      <w:pPr>
        <w:spacing w:after="0" w:line="240" w:lineRule="auto"/>
        <w:jc w:val="both"/>
        <w:rPr>
          <w:rFonts w:cs="Arial"/>
          <w:color w:val="auto"/>
        </w:rPr>
      </w:pPr>
    </w:p>
    <w:p w14:paraId="7885D418"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b/>
          <w:bCs/>
          <w:color w:val="auto"/>
        </w:rPr>
      </w:pPr>
      <w:r w:rsidRPr="00C2021A">
        <w:rPr>
          <w:rFonts w:cs="Arial"/>
          <w:b/>
          <w:bCs/>
          <w:color w:val="auto"/>
        </w:rPr>
        <w:br w:type="page"/>
      </w:r>
    </w:p>
    <w:p w14:paraId="41269C79" w14:textId="77777777" w:rsidR="00154DB5" w:rsidRPr="00C2021A" w:rsidRDefault="00154DB5" w:rsidP="00041DBE">
      <w:pPr>
        <w:spacing w:after="0" w:line="240" w:lineRule="auto"/>
        <w:jc w:val="both"/>
        <w:rPr>
          <w:rFonts w:cs="Arial"/>
          <w:color w:val="auto"/>
        </w:rPr>
      </w:pPr>
      <w:r w:rsidRPr="00C2021A">
        <w:rPr>
          <w:rFonts w:cs="Arial"/>
          <w:b/>
          <w:bCs/>
          <w:color w:val="auto"/>
        </w:rPr>
        <w:lastRenderedPageBreak/>
        <w:t xml:space="preserve">Table 1. </w:t>
      </w:r>
      <w:r w:rsidRPr="00C2021A">
        <w:rPr>
          <w:rFonts w:cs="Arial"/>
          <w:bCs/>
          <w:color w:val="auto"/>
        </w:rPr>
        <w:t>Key</w:t>
      </w:r>
      <w:r w:rsidRPr="00C2021A">
        <w:rPr>
          <w:rFonts w:cs="Arial"/>
          <w:color w:val="auto"/>
        </w:rPr>
        <w:t xml:space="preserve"> properties of graphene and graphene derivatives</w:t>
      </w:r>
    </w:p>
    <w:p w14:paraId="014D9C43" w14:textId="77777777" w:rsidR="00154DB5" w:rsidRPr="00C2021A" w:rsidRDefault="00154DB5" w:rsidP="00041DBE">
      <w:pPr>
        <w:spacing w:after="0" w:line="240" w:lineRule="auto"/>
        <w:jc w:val="both"/>
        <w:rPr>
          <w:rFonts w:cs="Arial"/>
          <w:color w:val="auto"/>
        </w:rPr>
      </w:pPr>
    </w:p>
    <w:tbl>
      <w:tblPr>
        <w:tblW w:w="9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DD4E9"/>
        <w:tblLayout w:type="fixed"/>
        <w:tblLook w:val="04A0" w:firstRow="1" w:lastRow="0" w:firstColumn="1" w:lastColumn="0" w:noHBand="0" w:noVBand="1"/>
      </w:tblPr>
      <w:tblGrid>
        <w:gridCol w:w="1885"/>
        <w:gridCol w:w="2521"/>
        <w:gridCol w:w="2522"/>
        <w:gridCol w:w="2522"/>
      </w:tblGrid>
      <w:tr w:rsidR="00C2021A" w:rsidRPr="00C2021A" w14:paraId="0742F6D0" w14:textId="77777777" w:rsidTr="003F1E29">
        <w:trPr>
          <w:trHeight w:val="36"/>
          <w:jc w:val="center"/>
        </w:trPr>
        <w:tc>
          <w:tcPr>
            <w:tcW w:w="1885" w:type="dxa"/>
            <w:shd w:val="clear" w:color="auto" w:fill="auto"/>
            <w:tcMar>
              <w:top w:w="80" w:type="dxa"/>
              <w:left w:w="80" w:type="dxa"/>
              <w:bottom w:w="80" w:type="dxa"/>
              <w:right w:w="80" w:type="dxa"/>
            </w:tcMar>
            <w:vAlign w:val="center"/>
          </w:tcPr>
          <w:p w14:paraId="197062B3" w14:textId="77777777" w:rsidR="00154DB5" w:rsidRPr="00C2021A" w:rsidRDefault="00154DB5" w:rsidP="00D31A36">
            <w:pPr>
              <w:spacing w:after="0" w:line="240" w:lineRule="auto"/>
              <w:jc w:val="center"/>
              <w:rPr>
                <w:rFonts w:cs="Arial"/>
                <w:color w:val="auto"/>
              </w:rPr>
            </w:pPr>
            <w:r w:rsidRPr="00C2021A">
              <w:rPr>
                <w:rFonts w:cs="Arial"/>
                <w:b/>
                <w:bCs/>
                <w:color w:val="auto"/>
              </w:rPr>
              <w:t>Property</w:t>
            </w:r>
          </w:p>
        </w:tc>
        <w:tc>
          <w:tcPr>
            <w:tcW w:w="2521" w:type="dxa"/>
            <w:shd w:val="clear" w:color="auto" w:fill="auto"/>
            <w:tcMar>
              <w:top w:w="80" w:type="dxa"/>
              <w:left w:w="80" w:type="dxa"/>
              <w:bottom w:w="80" w:type="dxa"/>
              <w:right w:w="80" w:type="dxa"/>
            </w:tcMar>
            <w:vAlign w:val="center"/>
          </w:tcPr>
          <w:p w14:paraId="078734E3" w14:textId="77777777" w:rsidR="00154DB5" w:rsidRPr="00C2021A" w:rsidRDefault="00154DB5" w:rsidP="00D31A36">
            <w:pPr>
              <w:spacing w:after="0" w:line="240" w:lineRule="auto"/>
              <w:jc w:val="center"/>
              <w:rPr>
                <w:rFonts w:cs="Arial"/>
                <w:b/>
                <w:bCs/>
                <w:color w:val="auto"/>
              </w:rPr>
            </w:pPr>
            <w:r w:rsidRPr="00C2021A">
              <w:rPr>
                <w:rFonts w:cs="Arial"/>
                <w:b/>
                <w:bCs/>
                <w:color w:val="auto"/>
              </w:rPr>
              <w:t xml:space="preserve">Graphene </w:t>
            </w:r>
          </w:p>
          <w:p w14:paraId="6904AEDC" w14:textId="77777777" w:rsidR="00154DB5" w:rsidRPr="00C2021A" w:rsidRDefault="00154DB5" w:rsidP="00D31A36">
            <w:pPr>
              <w:spacing w:after="0" w:line="240" w:lineRule="auto"/>
              <w:jc w:val="center"/>
              <w:rPr>
                <w:rFonts w:cs="Arial"/>
                <w:color w:val="auto"/>
              </w:rPr>
            </w:pPr>
            <w:r w:rsidRPr="00C2021A">
              <w:rPr>
                <w:rFonts w:cs="Arial"/>
                <w:b/>
                <w:bCs/>
                <w:color w:val="auto"/>
              </w:rPr>
              <w:t>(GR)</w:t>
            </w:r>
          </w:p>
        </w:tc>
        <w:tc>
          <w:tcPr>
            <w:tcW w:w="2522" w:type="dxa"/>
            <w:shd w:val="clear" w:color="auto" w:fill="auto"/>
            <w:tcMar>
              <w:top w:w="80" w:type="dxa"/>
              <w:left w:w="80" w:type="dxa"/>
              <w:bottom w:w="80" w:type="dxa"/>
              <w:right w:w="80" w:type="dxa"/>
            </w:tcMar>
            <w:vAlign w:val="center"/>
          </w:tcPr>
          <w:p w14:paraId="73B50D91" w14:textId="77777777" w:rsidR="00154DB5" w:rsidRPr="00C2021A" w:rsidRDefault="00154DB5" w:rsidP="00D31A36">
            <w:pPr>
              <w:spacing w:after="0" w:line="240" w:lineRule="auto"/>
              <w:jc w:val="center"/>
              <w:rPr>
                <w:rFonts w:cs="Arial"/>
                <w:b/>
                <w:bCs/>
                <w:color w:val="auto"/>
              </w:rPr>
            </w:pPr>
            <w:r w:rsidRPr="00C2021A">
              <w:rPr>
                <w:rFonts w:cs="Arial"/>
                <w:b/>
                <w:bCs/>
                <w:color w:val="auto"/>
              </w:rPr>
              <w:t>Graphene Oxide</w:t>
            </w:r>
          </w:p>
          <w:p w14:paraId="03D65B88" w14:textId="77777777" w:rsidR="00154DB5" w:rsidRPr="00C2021A" w:rsidRDefault="00154DB5" w:rsidP="00D31A36">
            <w:pPr>
              <w:spacing w:after="0" w:line="240" w:lineRule="auto"/>
              <w:jc w:val="center"/>
              <w:rPr>
                <w:rFonts w:cs="Arial"/>
                <w:color w:val="auto"/>
              </w:rPr>
            </w:pPr>
            <w:r w:rsidRPr="00C2021A">
              <w:rPr>
                <w:rFonts w:cs="Arial"/>
                <w:b/>
                <w:bCs/>
                <w:color w:val="auto"/>
              </w:rPr>
              <w:t>(GO)</w:t>
            </w:r>
          </w:p>
        </w:tc>
        <w:tc>
          <w:tcPr>
            <w:tcW w:w="2522" w:type="dxa"/>
            <w:shd w:val="clear" w:color="auto" w:fill="auto"/>
            <w:tcMar>
              <w:top w:w="80" w:type="dxa"/>
              <w:left w:w="80" w:type="dxa"/>
              <w:bottom w:w="80" w:type="dxa"/>
              <w:right w:w="80" w:type="dxa"/>
            </w:tcMar>
            <w:vAlign w:val="center"/>
          </w:tcPr>
          <w:p w14:paraId="51821A97" w14:textId="77777777" w:rsidR="00154DB5" w:rsidRPr="00C2021A" w:rsidRDefault="00154DB5" w:rsidP="00D31A36">
            <w:pPr>
              <w:spacing w:after="0" w:line="240" w:lineRule="auto"/>
              <w:jc w:val="center"/>
              <w:rPr>
                <w:rFonts w:cs="Arial"/>
                <w:color w:val="auto"/>
              </w:rPr>
            </w:pPr>
            <w:r w:rsidRPr="00C2021A">
              <w:rPr>
                <w:rFonts w:cs="Arial"/>
                <w:b/>
                <w:bCs/>
                <w:color w:val="auto"/>
              </w:rPr>
              <w:t>Reduced Graphene Oxide (</w:t>
            </w:r>
            <w:proofErr w:type="spellStart"/>
            <w:r w:rsidRPr="00C2021A">
              <w:rPr>
                <w:rFonts w:cs="Arial"/>
                <w:b/>
                <w:bCs/>
                <w:color w:val="auto"/>
              </w:rPr>
              <w:t>rGO</w:t>
            </w:r>
            <w:proofErr w:type="spellEnd"/>
            <w:r w:rsidRPr="00C2021A">
              <w:rPr>
                <w:rFonts w:cs="Arial"/>
                <w:b/>
                <w:bCs/>
                <w:color w:val="auto"/>
              </w:rPr>
              <w:t>)</w:t>
            </w:r>
          </w:p>
        </w:tc>
      </w:tr>
      <w:tr w:rsidR="00C2021A" w:rsidRPr="00C2021A" w14:paraId="66498A8E" w14:textId="77777777" w:rsidTr="003F1E29">
        <w:trPr>
          <w:trHeight w:val="759"/>
          <w:jc w:val="center"/>
        </w:trPr>
        <w:tc>
          <w:tcPr>
            <w:tcW w:w="1885" w:type="dxa"/>
            <w:shd w:val="clear" w:color="auto" w:fill="auto"/>
            <w:tcMar>
              <w:top w:w="80" w:type="dxa"/>
              <w:left w:w="80" w:type="dxa"/>
              <w:bottom w:w="80" w:type="dxa"/>
              <w:right w:w="80" w:type="dxa"/>
            </w:tcMar>
            <w:vAlign w:val="center"/>
          </w:tcPr>
          <w:p w14:paraId="2F0348E1" w14:textId="77777777" w:rsidR="00154DB5" w:rsidRPr="00C2021A" w:rsidRDefault="00154DB5" w:rsidP="003F1E29">
            <w:pPr>
              <w:spacing w:after="0" w:line="240" w:lineRule="auto"/>
              <w:jc w:val="center"/>
              <w:rPr>
                <w:rFonts w:cs="Arial"/>
                <w:bCs/>
                <w:color w:val="auto"/>
              </w:rPr>
            </w:pPr>
            <w:r w:rsidRPr="00C2021A">
              <w:rPr>
                <w:rFonts w:cs="Arial"/>
                <w:bCs/>
                <w:color w:val="auto"/>
              </w:rPr>
              <w:t>Electrical</w:t>
            </w:r>
          </w:p>
          <w:p w14:paraId="2C0FA5DF" w14:textId="77777777" w:rsidR="00154DB5" w:rsidRPr="00C2021A" w:rsidRDefault="00154DB5" w:rsidP="003F1E29">
            <w:pPr>
              <w:spacing w:after="0" w:line="240" w:lineRule="auto"/>
              <w:jc w:val="center"/>
              <w:rPr>
                <w:rFonts w:cs="Arial"/>
                <w:color w:val="auto"/>
              </w:rPr>
            </w:pPr>
            <w:r w:rsidRPr="00C2021A">
              <w:rPr>
                <w:rFonts w:cs="Arial"/>
                <w:color w:val="auto"/>
              </w:rPr>
              <w:t>(carrier mobility)</w:t>
            </w:r>
          </w:p>
        </w:tc>
        <w:tc>
          <w:tcPr>
            <w:tcW w:w="2521" w:type="dxa"/>
            <w:shd w:val="clear" w:color="auto" w:fill="auto"/>
            <w:tcMar>
              <w:top w:w="80" w:type="dxa"/>
              <w:left w:w="80" w:type="dxa"/>
              <w:bottom w:w="80" w:type="dxa"/>
              <w:right w:w="80" w:type="dxa"/>
            </w:tcMar>
            <w:vAlign w:val="center"/>
          </w:tcPr>
          <w:p w14:paraId="6F5B3673" w14:textId="77777777" w:rsidR="00154DB5" w:rsidRPr="00C2021A" w:rsidRDefault="00154DB5" w:rsidP="003F1E29">
            <w:pPr>
              <w:spacing w:after="0" w:line="240" w:lineRule="auto"/>
              <w:jc w:val="center"/>
              <w:rPr>
                <w:rFonts w:cs="Arial"/>
                <w:color w:val="auto"/>
              </w:rPr>
            </w:pPr>
            <w:r w:rsidRPr="00C2021A">
              <w:rPr>
                <w:rFonts w:cs="Arial"/>
                <w:color w:val="auto"/>
              </w:rPr>
              <w:t>200,000 cm</w:t>
            </w:r>
            <w:r w:rsidRPr="00C2021A">
              <w:rPr>
                <w:rFonts w:cs="Arial"/>
                <w:color w:val="auto"/>
                <w:vertAlign w:val="superscript"/>
              </w:rPr>
              <w:t>2</w:t>
            </w:r>
            <w:r w:rsidRPr="00C2021A">
              <w:rPr>
                <w:rFonts w:cs="Arial"/>
                <w:color w:val="auto"/>
              </w:rPr>
              <w:t xml:space="preserve"> V</w:t>
            </w:r>
            <w:r w:rsidRPr="00C2021A">
              <w:rPr>
                <w:rFonts w:cs="Arial"/>
                <w:color w:val="auto"/>
                <w:vertAlign w:val="superscript"/>
              </w:rPr>
              <w:t xml:space="preserve">-1 </w:t>
            </w:r>
            <w:r w:rsidRPr="00C2021A">
              <w:rPr>
                <w:rFonts w:cs="Arial"/>
                <w:color w:val="auto"/>
              </w:rPr>
              <w:t>s</w:t>
            </w:r>
            <w:r w:rsidRPr="00C2021A">
              <w:rPr>
                <w:rFonts w:cs="Arial"/>
                <w:color w:val="auto"/>
                <w:vertAlign w:val="superscript"/>
              </w:rPr>
              <w:t xml:space="preserve">-1 </w:t>
            </w:r>
            <w:r w:rsidRPr="00C2021A">
              <w:rPr>
                <w:rFonts w:cs="Arial"/>
                <w:noProof/>
                <w:color w:val="auto"/>
              </w:rPr>
              <w:t>(Bolotin et al. 2008)</w:t>
            </w:r>
          </w:p>
        </w:tc>
        <w:tc>
          <w:tcPr>
            <w:tcW w:w="2522" w:type="dxa"/>
            <w:shd w:val="clear" w:color="auto" w:fill="auto"/>
            <w:tcMar>
              <w:top w:w="80" w:type="dxa"/>
              <w:left w:w="80" w:type="dxa"/>
              <w:bottom w:w="80" w:type="dxa"/>
              <w:right w:w="80" w:type="dxa"/>
            </w:tcMar>
            <w:vAlign w:val="center"/>
          </w:tcPr>
          <w:p w14:paraId="1944BCD6" w14:textId="77777777" w:rsidR="00154DB5" w:rsidRPr="00C2021A" w:rsidRDefault="00154DB5" w:rsidP="003F1E29">
            <w:pPr>
              <w:spacing w:after="0" w:line="240" w:lineRule="auto"/>
              <w:jc w:val="center"/>
              <w:rPr>
                <w:rFonts w:cs="Arial"/>
                <w:color w:val="auto"/>
                <w:vertAlign w:val="superscript"/>
              </w:rPr>
            </w:pPr>
            <w:r w:rsidRPr="00C2021A">
              <w:rPr>
                <w:rFonts w:cs="Arial"/>
                <w:color w:val="auto"/>
              </w:rPr>
              <w:t>0.1 ~ 10 cm</w:t>
            </w:r>
            <w:r w:rsidRPr="00C2021A">
              <w:rPr>
                <w:rFonts w:cs="Arial"/>
                <w:color w:val="auto"/>
                <w:vertAlign w:val="superscript"/>
              </w:rPr>
              <w:t>2</w:t>
            </w:r>
            <w:r w:rsidRPr="00C2021A">
              <w:rPr>
                <w:rFonts w:cs="Arial"/>
                <w:color w:val="auto"/>
              </w:rPr>
              <w:t xml:space="preserve"> V</w:t>
            </w:r>
            <w:r w:rsidRPr="00C2021A">
              <w:rPr>
                <w:rFonts w:cs="Arial"/>
                <w:color w:val="auto"/>
                <w:vertAlign w:val="superscript"/>
              </w:rPr>
              <w:t>-1</w:t>
            </w:r>
            <w:r w:rsidRPr="00C2021A">
              <w:rPr>
                <w:rFonts w:cs="Arial"/>
                <w:color w:val="auto"/>
              </w:rPr>
              <w:t xml:space="preserve"> s</w:t>
            </w:r>
            <w:r w:rsidRPr="00C2021A">
              <w:rPr>
                <w:rFonts w:cs="Arial"/>
                <w:color w:val="auto"/>
                <w:vertAlign w:val="superscript"/>
              </w:rPr>
              <w:t>-1</w:t>
            </w:r>
          </w:p>
          <w:p w14:paraId="7D0D164F" w14:textId="77777777" w:rsidR="00154DB5" w:rsidRPr="00C2021A" w:rsidRDefault="00154DB5" w:rsidP="003F1E29">
            <w:pPr>
              <w:spacing w:after="0" w:line="240" w:lineRule="auto"/>
              <w:jc w:val="center"/>
              <w:rPr>
                <w:rFonts w:cs="Arial"/>
                <w:color w:val="auto"/>
              </w:rPr>
            </w:pPr>
            <w:r w:rsidRPr="00C2021A">
              <w:rPr>
                <w:rFonts w:cs="Arial"/>
                <w:noProof/>
                <w:color w:val="auto"/>
              </w:rPr>
              <w:t>(Eda et al. 2011)</w:t>
            </w:r>
          </w:p>
        </w:tc>
        <w:tc>
          <w:tcPr>
            <w:tcW w:w="2522" w:type="dxa"/>
            <w:shd w:val="clear" w:color="auto" w:fill="auto"/>
            <w:tcMar>
              <w:top w:w="80" w:type="dxa"/>
              <w:left w:w="80" w:type="dxa"/>
              <w:bottom w:w="80" w:type="dxa"/>
              <w:right w:w="80" w:type="dxa"/>
            </w:tcMar>
            <w:vAlign w:val="center"/>
          </w:tcPr>
          <w:p w14:paraId="7A1DDA38" w14:textId="77777777" w:rsidR="00154DB5" w:rsidRPr="00C2021A" w:rsidRDefault="00154DB5" w:rsidP="003F1E29">
            <w:pPr>
              <w:spacing w:after="0" w:line="240" w:lineRule="auto"/>
              <w:jc w:val="center"/>
              <w:rPr>
                <w:rFonts w:cs="Arial"/>
                <w:color w:val="auto"/>
              </w:rPr>
            </w:pPr>
            <w:r w:rsidRPr="00C2021A">
              <w:rPr>
                <w:rFonts w:cs="Arial"/>
                <w:color w:val="auto"/>
                <w:u w:color="111111"/>
                <w:shd w:val="clear" w:color="auto" w:fill="FFFFFF"/>
              </w:rPr>
              <w:t>372 cm</w:t>
            </w:r>
            <w:r w:rsidRPr="00C2021A">
              <w:rPr>
                <w:rFonts w:cs="Arial"/>
                <w:color w:val="auto"/>
                <w:u w:color="111111"/>
                <w:shd w:val="clear" w:color="auto" w:fill="FFFFFF"/>
                <w:vertAlign w:val="superscript"/>
              </w:rPr>
              <w:t>2</w:t>
            </w:r>
            <w:r w:rsidRPr="00C2021A">
              <w:rPr>
                <w:rFonts w:cs="Arial"/>
                <w:color w:val="auto"/>
                <w:u w:color="111111"/>
                <w:shd w:val="clear" w:color="auto" w:fill="FFFFFF"/>
              </w:rPr>
              <w:t xml:space="preserve"> V</w:t>
            </w:r>
            <w:r w:rsidRPr="00C2021A">
              <w:rPr>
                <w:rFonts w:cs="Arial"/>
                <w:color w:val="auto"/>
                <w:u w:color="111111"/>
                <w:shd w:val="clear" w:color="auto" w:fill="FFFFFF"/>
                <w:vertAlign w:val="superscript"/>
              </w:rPr>
              <w:t>-1</w:t>
            </w:r>
            <w:r w:rsidRPr="00C2021A">
              <w:rPr>
                <w:rFonts w:cs="Arial"/>
                <w:color w:val="auto"/>
                <w:u w:color="111111"/>
                <w:shd w:val="clear" w:color="auto" w:fill="FFFFFF"/>
              </w:rPr>
              <w:t xml:space="preserve"> s</w:t>
            </w:r>
            <w:r w:rsidRPr="00C2021A">
              <w:rPr>
                <w:rFonts w:cs="Arial"/>
                <w:color w:val="auto"/>
                <w:u w:color="111111"/>
                <w:shd w:val="clear" w:color="auto" w:fill="FFFFFF"/>
                <w:vertAlign w:val="superscript"/>
              </w:rPr>
              <w:t xml:space="preserve">-1 </w:t>
            </w:r>
            <w:r w:rsidRPr="00C2021A">
              <w:rPr>
                <w:rFonts w:cs="Arial"/>
                <w:noProof/>
                <w:color w:val="auto"/>
              </w:rPr>
              <w:t>(Taufique et al. 2017)</w:t>
            </w:r>
          </w:p>
        </w:tc>
      </w:tr>
      <w:tr w:rsidR="00C2021A" w:rsidRPr="00C2021A" w14:paraId="35049FBE" w14:textId="77777777" w:rsidTr="003F1E29">
        <w:trPr>
          <w:trHeight w:val="759"/>
          <w:jc w:val="center"/>
        </w:trPr>
        <w:tc>
          <w:tcPr>
            <w:tcW w:w="1885" w:type="dxa"/>
            <w:shd w:val="clear" w:color="auto" w:fill="auto"/>
            <w:tcMar>
              <w:top w:w="80" w:type="dxa"/>
              <w:left w:w="80" w:type="dxa"/>
              <w:bottom w:w="80" w:type="dxa"/>
              <w:right w:w="80" w:type="dxa"/>
            </w:tcMar>
            <w:vAlign w:val="center"/>
          </w:tcPr>
          <w:p w14:paraId="2E555F4D" w14:textId="77777777" w:rsidR="00154DB5" w:rsidRPr="00C2021A" w:rsidRDefault="00154DB5" w:rsidP="003F1E29">
            <w:pPr>
              <w:spacing w:after="0" w:line="240" w:lineRule="auto"/>
              <w:jc w:val="center"/>
              <w:rPr>
                <w:rFonts w:cs="Arial"/>
                <w:bCs/>
                <w:color w:val="auto"/>
              </w:rPr>
            </w:pPr>
            <w:r w:rsidRPr="00C2021A">
              <w:rPr>
                <w:rFonts w:cs="Arial"/>
                <w:bCs/>
                <w:color w:val="auto"/>
              </w:rPr>
              <w:t>Thermal</w:t>
            </w:r>
          </w:p>
          <w:p w14:paraId="1C35CE2A" w14:textId="77777777" w:rsidR="00154DB5" w:rsidRPr="00C2021A" w:rsidRDefault="00154DB5" w:rsidP="003F1E29">
            <w:pPr>
              <w:spacing w:after="0" w:line="240" w:lineRule="auto"/>
              <w:jc w:val="center"/>
              <w:rPr>
                <w:rFonts w:cs="Arial"/>
                <w:bCs/>
                <w:color w:val="auto"/>
              </w:rPr>
            </w:pPr>
            <w:r w:rsidRPr="00C2021A">
              <w:rPr>
                <w:rFonts w:cs="Arial"/>
                <w:color w:val="auto"/>
              </w:rPr>
              <w:t>(thermal conductivity)</w:t>
            </w:r>
          </w:p>
        </w:tc>
        <w:tc>
          <w:tcPr>
            <w:tcW w:w="2521" w:type="dxa"/>
            <w:shd w:val="clear" w:color="auto" w:fill="auto"/>
            <w:tcMar>
              <w:top w:w="80" w:type="dxa"/>
              <w:left w:w="80" w:type="dxa"/>
              <w:bottom w:w="80" w:type="dxa"/>
              <w:right w:w="80" w:type="dxa"/>
            </w:tcMar>
            <w:vAlign w:val="center"/>
          </w:tcPr>
          <w:p w14:paraId="5732D5C8" w14:textId="77777777" w:rsidR="00154DB5" w:rsidRPr="00C2021A" w:rsidRDefault="00154DB5" w:rsidP="003F1E29">
            <w:pPr>
              <w:spacing w:after="0" w:line="240" w:lineRule="auto"/>
              <w:jc w:val="center"/>
              <w:rPr>
                <w:rFonts w:cs="Arial"/>
                <w:color w:val="auto"/>
              </w:rPr>
            </w:pPr>
            <w:r w:rsidRPr="00C2021A">
              <w:rPr>
                <w:rFonts w:cs="Arial"/>
                <w:color w:val="auto"/>
              </w:rPr>
              <w:t>5 x 10</w:t>
            </w:r>
            <w:r w:rsidRPr="00C2021A">
              <w:rPr>
                <w:rFonts w:cs="Arial"/>
                <w:color w:val="auto"/>
                <w:vertAlign w:val="superscript"/>
              </w:rPr>
              <w:t>3</w:t>
            </w:r>
            <w:r w:rsidRPr="00C2021A">
              <w:rPr>
                <w:rFonts w:cs="Arial"/>
                <w:color w:val="auto"/>
              </w:rPr>
              <w:t xml:space="preserve"> W m</w:t>
            </w:r>
            <w:r w:rsidRPr="00C2021A">
              <w:rPr>
                <w:rFonts w:cs="Arial"/>
                <w:color w:val="auto"/>
                <w:vertAlign w:val="superscript"/>
              </w:rPr>
              <w:t>-1</w:t>
            </w:r>
            <w:r w:rsidRPr="00C2021A">
              <w:rPr>
                <w:rFonts w:cs="Arial"/>
                <w:color w:val="auto"/>
              </w:rPr>
              <w:t xml:space="preserve"> K</w:t>
            </w:r>
            <w:r w:rsidRPr="00C2021A">
              <w:rPr>
                <w:rFonts w:cs="Arial"/>
                <w:color w:val="auto"/>
                <w:vertAlign w:val="superscript"/>
              </w:rPr>
              <w:t xml:space="preserve">-1 </w:t>
            </w:r>
            <w:r w:rsidRPr="00C2021A">
              <w:rPr>
                <w:rFonts w:cs="Arial"/>
                <w:noProof/>
                <w:color w:val="auto"/>
              </w:rPr>
              <w:t>(Balandin et al. 2008)</w:t>
            </w:r>
          </w:p>
        </w:tc>
        <w:tc>
          <w:tcPr>
            <w:tcW w:w="2522" w:type="dxa"/>
            <w:shd w:val="clear" w:color="auto" w:fill="auto"/>
            <w:tcMar>
              <w:top w:w="80" w:type="dxa"/>
              <w:left w:w="80" w:type="dxa"/>
              <w:bottom w:w="80" w:type="dxa"/>
              <w:right w:w="80" w:type="dxa"/>
            </w:tcMar>
            <w:vAlign w:val="center"/>
          </w:tcPr>
          <w:p w14:paraId="54404028" w14:textId="77777777" w:rsidR="00154DB5" w:rsidRPr="00C2021A" w:rsidRDefault="00154DB5" w:rsidP="003F1E29">
            <w:pPr>
              <w:spacing w:after="0" w:line="240" w:lineRule="auto"/>
              <w:jc w:val="center"/>
              <w:rPr>
                <w:rFonts w:cs="Arial"/>
                <w:color w:val="auto"/>
                <w:vertAlign w:val="superscript"/>
              </w:rPr>
            </w:pPr>
            <w:r w:rsidRPr="00C2021A">
              <w:rPr>
                <w:rFonts w:cs="Arial"/>
                <w:color w:val="auto"/>
              </w:rPr>
              <w:t>18 W m</w:t>
            </w:r>
            <w:r w:rsidRPr="00C2021A">
              <w:rPr>
                <w:rFonts w:cs="Arial"/>
                <w:color w:val="auto"/>
                <w:vertAlign w:val="superscript"/>
              </w:rPr>
              <w:t>-1</w:t>
            </w:r>
            <w:r w:rsidRPr="00C2021A">
              <w:rPr>
                <w:rFonts w:cs="Arial"/>
                <w:color w:val="auto"/>
              </w:rPr>
              <w:t xml:space="preserve"> K</w:t>
            </w:r>
            <w:r w:rsidRPr="00C2021A">
              <w:rPr>
                <w:rFonts w:cs="Arial"/>
                <w:color w:val="auto"/>
                <w:vertAlign w:val="superscript"/>
              </w:rPr>
              <w:t>-1</w:t>
            </w:r>
          </w:p>
          <w:p w14:paraId="3FEA2AF4" w14:textId="77777777" w:rsidR="00154DB5" w:rsidRPr="00C2021A" w:rsidRDefault="00154DB5" w:rsidP="003F1E29">
            <w:pPr>
              <w:spacing w:after="0" w:line="240" w:lineRule="auto"/>
              <w:jc w:val="center"/>
              <w:rPr>
                <w:rFonts w:cs="Arial"/>
                <w:color w:val="auto"/>
              </w:rPr>
            </w:pPr>
            <w:r w:rsidRPr="00C2021A">
              <w:rPr>
                <w:rFonts w:cs="Arial"/>
                <w:noProof/>
                <w:color w:val="auto"/>
              </w:rPr>
              <w:t>(Mahanta and Abramson 2012)</w:t>
            </w:r>
          </w:p>
        </w:tc>
        <w:tc>
          <w:tcPr>
            <w:tcW w:w="2522" w:type="dxa"/>
            <w:shd w:val="clear" w:color="auto" w:fill="auto"/>
            <w:tcMar>
              <w:top w:w="80" w:type="dxa"/>
              <w:left w:w="80" w:type="dxa"/>
              <w:bottom w:w="80" w:type="dxa"/>
              <w:right w:w="80" w:type="dxa"/>
            </w:tcMar>
            <w:vAlign w:val="center"/>
          </w:tcPr>
          <w:p w14:paraId="157EA61D" w14:textId="77777777" w:rsidR="00154DB5" w:rsidRPr="00C2021A" w:rsidRDefault="00154DB5" w:rsidP="003F1E29">
            <w:pPr>
              <w:spacing w:after="0" w:line="240" w:lineRule="auto"/>
              <w:jc w:val="center"/>
              <w:rPr>
                <w:rFonts w:cs="Arial"/>
                <w:color w:val="auto"/>
                <w:vertAlign w:val="superscript"/>
              </w:rPr>
            </w:pPr>
            <w:r w:rsidRPr="00C2021A">
              <w:rPr>
                <w:rFonts w:cs="Arial"/>
                <w:color w:val="auto"/>
              </w:rPr>
              <w:t>1,390 W m</w:t>
            </w:r>
            <w:r w:rsidRPr="00C2021A">
              <w:rPr>
                <w:rFonts w:cs="Arial"/>
                <w:color w:val="auto"/>
                <w:vertAlign w:val="superscript"/>
              </w:rPr>
              <w:t>-1</w:t>
            </w:r>
            <w:r w:rsidRPr="00C2021A">
              <w:rPr>
                <w:rFonts w:cs="Arial"/>
                <w:color w:val="auto"/>
              </w:rPr>
              <w:t xml:space="preserve"> K</w:t>
            </w:r>
            <w:r w:rsidRPr="00C2021A">
              <w:rPr>
                <w:rFonts w:cs="Arial"/>
                <w:color w:val="auto"/>
                <w:vertAlign w:val="superscript"/>
              </w:rPr>
              <w:t>-1</w:t>
            </w:r>
          </w:p>
          <w:p w14:paraId="36B76759" w14:textId="77777777" w:rsidR="00154DB5" w:rsidRPr="00C2021A" w:rsidRDefault="00154DB5" w:rsidP="003F1E29">
            <w:pPr>
              <w:spacing w:after="0" w:line="240" w:lineRule="auto"/>
              <w:jc w:val="center"/>
              <w:rPr>
                <w:rFonts w:cs="Arial"/>
                <w:color w:val="auto"/>
                <w:u w:color="111111"/>
                <w:shd w:val="clear" w:color="auto" w:fill="FFFFFF"/>
              </w:rPr>
            </w:pPr>
            <w:r w:rsidRPr="00C2021A">
              <w:rPr>
                <w:rFonts w:cs="Arial"/>
                <w:noProof/>
                <w:color w:val="auto"/>
              </w:rPr>
              <w:t>(Kumar et al. 2015a)</w:t>
            </w:r>
          </w:p>
        </w:tc>
      </w:tr>
      <w:tr w:rsidR="00C2021A" w:rsidRPr="00C2021A" w14:paraId="3410425D" w14:textId="77777777" w:rsidTr="003F1E29">
        <w:trPr>
          <w:trHeight w:val="759"/>
          <w:jc w:val="center"/>
        </w:trPr>
        <w:tc>
          <w:tcPr>
            <w:tcW w:w="1885" w:type="dxa"/>
            <w:shd w:val="clear" w:color="auto" w:fill="auto"/>
            <w:tcMar>
              <w:top w:w="80" w:type="dxa"/>
              <w:left w:w="80" w:type="dxa"/>
              <w:bottom w:w="80" w:type="dxa"/>
              <w:right w:w="80" w:type="dxa"/>
            </w:tcMar>
            <w:vAlign w:val="center"/>
          </w:tcPr>
          <w:p w14:paraId="0D7110C5" w14:textId="77777777" w:rsidR="00154DB5" w:rsidRPr="00C2021A" w:rsidRDefault="00154DB5" w:rsidP="003F1E29">
            <w:pPr>
              <w:spacing w:after="0" w:line="240" w:lineRule="auto"/>
              <w:jc w:val="center"/>
              <w:rPr>
                <w:rFonts w:cs="Arial"/>
                <w:bCs/>
                <w:color w:val="auto"/>
              </w:rPr>
            </w:pPr>
            <w:r w:rsidRPr="00C2021A">
              <w:rPr>
                <w:rFonts w:cs="Arial"/>
                <w:bCs/>
                <w:color w:val="auto"/>
              </w:rPr>
              <w:t>Structural</w:t>
            </w:r>
          </w:p>
          <w:p w14:paraId="459D19C0" w14:textId="77777777" w:rsidR="00154DB5" w:rsidRPr="00C2021A" w:rsidRDefault="00154DB5" w:rsidP="003F1E29">
            <w:pPr>
              <w:spacing w:after="0" w:line="240" w:lineRule="auto"/>
              <w:jc w:val="center"/>
              <w:rPr>
                <w:rFonts w:cs="Arial"/>
                <w:bCs/>
                <w:color w:val="auto"/>
              </w:rPr>
            </w:pPr>
            <w:r w:rsidRPr="00C2021A">
              <w:rPr>
                <w:rFonts w:cs="Arial"/>
                <w:color w:val="auto"/>
              </w:rPr>
              <w:t>(specific surface area)</w:t>
            </w:r>
          </w:p>
        </w:tc>
        <w:tc>
          <w:tcPr>
            <w:tcW w:w="2521" w:type="dxa"/>
            <w:shd w:val="clear" w:color="auto" w:fill="auto"/>
            <w:tcMar>
              <w:top w:w="80" w:type="dxa"/>
              <w:left w:w="80" w:type="dxa"/>
              <w:bottom w:w="80" w:type="dxa"/>
              <w:right w:w="80" w:type="dxa"/>
            </w:tcMar>
            <w:vAlign w:val="center"/>
          </w:tcPr>
          <w:p w14:paraId="36F1BFD4" w14:textId="77777777" w:rsidR="00154DB5" w:rsidRPr="00C2021A" w:rsidRDefault="00154DB5" w:rsidP="003F1E29">
            <w:pPr>
              <w:spacing w:after="0" w:line="240" w:lineRule="auto"/>
              <w:jc w:val="center"/>
              <w:rPr>
                <w:rFonts w:cs="Arial"/>
                <w:color w:val="auto"/>
                <w:vertAlign w:val="superscript"/>
              </w:rPr>
            </w:pPr>
            <w:r w:rsidRPr="00C2021A">
              <w:rPr>
                <w:rFonts w:cs="Arial"/>
                <w:color w:val="auto"/>
              </w:rPr>
              <w:t>2,630 m</w:t>
            </w:r>
            <w:r w:rsidRPr="00C2021A">
              <w:rPr>
                <w:rFonts w:cs="Arial"/>
                <w:color w:val="auto"/>
                <w:vertAlign w:val="superscript"/>
              </w:rPr>
              <w:t>2</w:t>
            </w:r>
            <w:r w:rsidRPr="00C2021A">
              <w:rPr>
                <w:rFonts w:cs="Arial"/>
                <w:color w:val="auto"/>
              </w:rPr>
              <w:t xml:space="preserve"> g</w:t>
            </w:r>
            <w:r w:rsidRPr="00C2021A">
              <w:rPr>
                <w:rFonts w:cs="Arial"/>
                <w:color w:val="auto"/>
                <w:vertAlign w:val="superscript"/>
              </w:rPr>
              <w:t>-1</w:t>
            </w:r>
          </w:p>
          <w:p w14:paraId="73590320" w14:textId="77777777" w:rsidR="00154DB5" w:rsidRPr="00C2021A" w:rsidRDefault="00154DB5" w:rsidP="003F1E29">
            <w:pPr>
              <w:spacing w:after="0" w:line="240" w:lineRule="auto"/>
              <w:jc w:val="center"/>
              <w:rPr>
                <w:rFonts w:cs="Arial"/>
                <w:color w:val="auto"/>
              </w:rPr>
            </w:pPr>
            <w:r w:rsidRPr="00C2021A">
              <w:rPr>
                <w:rFonts w:cs="Arial"/>
                <w:noProof/>
                <w:color w:val="auto"/>
              </w:rPr>
              <w:t>(Stoller et al. 2008)</w:t>
            </w:r>
          </w:p>
        </w:tc>
        <w:tc>
          <w:tcPr>
            <w:tcW w:w="2522" w:type="dxa"/>
            <w:shd w:val="clear" w:color="auto" w:fill="auto"/>
            <w:tcMar>
              <w:top w:w="80" w:type="dxa"/>
              <w:left w:w="80" w:type="dxa"/>
              <w:bottom w:w="80" w:type="dxa"/>
              <w:right w:w="80" w:type="dxa"/>
            </w:tcMar>
            <w:vAlign w:val="center"/>
          </w:tcPr>
          <w:p w14:paraId="38D9DE08" w14:textId="77777777" w:rsidR="00154DB5" w:rsidRPr="00C2021A" w:rsidRDefault="00154DB5" w:rsidP="003F1E29">
            <w:pPr>
              <w:spacing w:after="0" w:line="240" w:lineRule="auto"/>
              <w:jc w:val="center"/>
              <w:rPr>
                <w:rFonts w:cs="Arial"/>
                <w:color w:val="auto"/>
                <w:vertAlign w:val="superscript"/>
              </w:rPr>
            </w:pPr>
            <w:r w:rsidRPr="00C2021A">
              <w:rPr>
                <w:rFonts w:cs="Arial"/>
                <w:color w:val="auto"/>
              </w:rPr>
              <w:t>736.6 m</w:t>
            </w:r>
            <w:r w:rsidRPr="00C2021A">
              <w:rPr>
                <w:rFonts w:cs="Arial"/>
                <w:color w:val="auto"/>
                <w:vertAlign w:val="superscript"/>
              </w:rPr>
              <w:t>2</w:t>
            </w:r>
            <w:r w:rsidRPr="00C2021A">
              <w:rPr>
                <w:rFonts w:cs="Arial"/>
                <w:color w:val="auto"/>
              </w:rPr>
              <w:t xml:space="preserve"> g</w:t>
            </w:r>
            <w:r w:rsidRPr="00C2021A">
              <w:rPr>
                <w:rFonts w:cs="Arial"/>
                <w:color w:val="auto"/>
                <w:vertAlign w:val="superscript"/>
              </w:rPr>
              <w:t>-1</w:t>
            </w:r>
          </w:p>
          <w:p w14:paraId="1927B90B" w14:textId="77777777" w:rsidR="00154DB5" w:rsidRPr="00C2021A" w:rsidRDefault="00154DB5" w:rsidP="003F1E29">
            <w:pPr>
              <w:spacing w:after="0" w:line="240" w:lineRule="auto"/>
              <w:jc w:val="center"/>
              <w:rPr>
                <w:rFonts w:cs="Arial"/>
                <w:color w:val="auto"/>
              </w:rPr>
            </w:pPr>
            <w:r w:rsidRPr="00C2021A">
              <w:rPr>
                <w:rFonts w:cs="Arial"/>
                <w:noProof/>
                <w:color w:val="auto"/>
              </w:rPr>
              <w:t>(Montes-Navajas et al. 2013)</w:t>
            </w:r>
          </w:p>
        </w:tc>
        <w:tc>
          <w:tcPr>
            <w:tcW w:w="2522" w:type="dxa"/>
            <w:shd w:val="clear" w:color="auto" w:fill="auto"/>
            <w:tcMar>
              <w:top w:w="80" w:type="dxa"/>
              <w:left w:w="80" w:type="dxa"/>
              <w:bottom w:w="80" w:type="dxa"/>
              <w:right w:w="80" w:type="dxa"/>
            </w:tcMar>
            <w:vAlign w:val="center"/>
          </w:tcPr>
          <w:p w14:paraId="23F29032" w14:textId="77777777" w:rsidR="00154DB5" w:rsidRPr="00C2021A" w:rsidRDefault="00154DB5" w:rsidP="003F1E29">
            <w:pPr>
              <w:spacing w:after="0" w:line="240" w:lineRule="auto"/>
              <w:jc w:val="center"/>
              <w:rPr>
                <w:rFonts w:cs="Arial"/>
                <w:color w:val="auto"/>
                <w:vertAlign w:val="superscript"/>
              </w:rPr>
            </w:pPr>
            <w:r w:rsidRPr="00C2021A">
              <w:rPr>
                <w:rFonts w:cs="Arial"/>
                <w:color w:val="auto"/>
              </w:rPr>
              <w:t>758 m</w:t>
            </w:r>
            <w:r w:rsidRPr="00C2021A">
              <w:rPr>
                <w:rFonts w:cs="Arial"/>
                <w:color w:val="auto"/>
                <w:vertAlign w:val="superscript"/>
              </w:rPr>
              <w:t>2</w:t>
            </w:r>
            <w:r w:rsidRPr="00C2021A">
              <w:rPr>
                <w:rFonts w:cs="Arial"/>
                <w:color w:val="auto"/>
              </w:rPr>
              <w:t xml:space="preserve"> g</w:t>
            </w:r>
            <w:r w:rsidRPr="00C2021A">
              <w:rPr>
                <w:rFonts w:cs="Arial"/>
                <w:color w:val="auto"/>
                <w:vertAlign w:val="superscript"/>
              </w:rPr>
              <w:t>-1</w:t>
            </w:r>
          </w:p>
          <w:p w14:paraId="2B92A6A8" w14:textId="77777777" w:rsidR="00154DB5" w:rsidRPr="00C2021A" w:rsidRDefault="00154DB5" w:rsidP="003F1E29">
            <w:pPr>
              <w:spacing w:after="0" w:line="240" w:lineRule="auto"/>
              <w:jc w:val="center"/>
              <w:rPr>
                <w:rFonts w:cs="Arial"/>
                <w:color w:val="auto"/>
                <w:u w:color="111111"/>
                <w:shd w:val="clear" w:color="auto" w:fill="FFFFFF"/>
              </w:rPr>
            </w:pPr>
            <w:r w:rsidRPr="00C2021A">
              <w:rPr>
                <w:rFonts w:cs="Arial"/>
                <w:noProof/>
                <w:color w:val="auto"/>
              </w:rPr>
              <w:t>(Zhang et al. 2011)</w:t>
            </w:r>
          </w:p>
        </w:tc>
      </w:tr>
      <w:tr w:rsidR="00C2021A" w:rsidRPr="00C2021A" w14:paraId="1D686499" w14:textId="77777777" w:rsidTr="003F1E29">
        <w:trPr>
          <w:trHeight w:val="759"/>
          <w:jc w:val="center"/>
        </w:trPr>
        <w:tc>
          <w:tcPr>
            <w:tcW w:w="1885" w:type="dxa"/>
            <w:shd w:val="clear" w:color="auto" w:fill="auto"/>
            <w:tcMar>
              <w:top w:w="80" w:type="dxa"/>
              <w:left w:w="80" w:type="dxa"/>
              <w:bottom w:w="80" w:type="dxa"/>
              <w:right w:w="80" w:type="dxa"/>
            </w:tcMar>
            <w:vAlign w:val="center"/>
          </w:tcPr>
          <w:p w14:paraId="6ECEC0A0" w14:textId="77777777" w:rsidR="00154DB5" w:rsidRPr="00C2021A" w:rsidRDefault="00154DB5" w:rsidP="003F1E29">
            <w:pPr>
              <w:spacing w:after="0" w:line="240" w:lineRule="auto"/>
              <w:jc w:val="center"/>
              <w:rPr>
                <w:rFonts w:cs="Arial"/>
                <w:bCs/>
                <w:color w:val="auto"/>
              </w:rPr>
            </w:pPr>
            <w:r w:rsidRPr="00C2021A">
              <w:rPr>
                <w:rFonts w:cs="Arial"/>
                <w:bCs/>
                <w:color w:val="auto"/>
              </w:rPr>
              <w:t>Structural</w:t>
            </w:r>
          </w:p>
          <w:p w14:paraId="0CC0A7F9" w14:textId="77777777" w:rsidR="00154DB5" w:rsidRPr="00C2021A" w:rsidRDefault="00154DB5" w:rsidP="003F1E29">
            <w:pPr>
              <w:spacing w:after="0" w:line="240" w:lineRule="auto"/>
              <w:jc w:val="center"/>
              <w:rPr>
                <w:rFonts w:cs="Arial"/>
                <w:bCs/>
                <w:color w:val="auto"/>
              </w:rPr>
            </w:pPr>
            <w:r w:rsidRPr="00C2021A">
              <w:rPr>
                <w:rFonts w:cs="Arial"/>
                <w:color w:val="auto"/>
              </w:rPr>
              <w:t>(Young modulus)</w:t>
            </w:r>
          </w:p>
        </w:tc>
        <w:tc>
          <w:tcPr>
            <w:tcW w:w="2521" w:type="dxa"/>
            <w:shd w:val="clear" w:color="auto" w:fill="auto"/>
            <w:tcMar>
              <w:top w:w="80" w:type="dxa"/>
              <w:left w:w="80" w:type="dxa"/>
              <w:bottom w:w="80" w:type="dxa"/>
              <w:right w:w="80" w:type="dxa"/>
            </w:tcMar>
            <w:vAlign w:val="center"/>
          </w:tcPr>
          <w:p w14:paraId="55F8BA05" w14:textId="77777777" w:rsidR="00154DB5" w:rsidRPr="00C2021A" w:rsidRDefault="00154DB5" w:rsidP="003F1E29">
            <w:pPr>
              <w:spacing w:after="0" w:line="240" w:lineRule="auto"/>
              <w:jc w:val="center"/>
              <w:rPr>
                <w:rFonts w:cs="Arial"/>
                <w:color w:val="auto"/>
                <w:lang w:val="it-IT"/>
              </w:rPr>
            </w:pPr>
            <w:r w:rsidRPr="00C2021A">
              <w:rPr>
                <w:rFonts w:cs="Arial"/>
                <w:color w:val="auto"/>
                <w:lang w:val="it-IT"/>
              </w:rPr>
              <w:t>1 x 10</w:t>
            </w:r>
            <w:r w:rsidRPr="00C2021A">
              <w:rPr>
                <w:rFonts w:cs="Arial"/>
                <w:color w:val="auto"/>
                <w:vertAlign w:val="superscript"/>
                <w:lang w:val="it-IT"/>
              </w:rPr>
              <w:t xml:space="preserve">12 </w:t>
            </w:r>
            <w:r w:rsidRPr="00C2021A">
              <w:rPr>
                <w:rFonts w:cs="Arial"/>
                <w:color w:val="auto"/>
                <w:lang w:val="it-IT"/>
              </w:rPr>
              <w:t>Pa</w:t>
            </w:r>
          </w:p>
          <w:p w14:paraId="4205455B" w14:textId="77777777" w:rsidR="00154DB5" w:rsidRPr="00C2021A" w:rsidRDefault="00154DB5" w:rsidP="003F1E29">
            <w:pPr>
              <w:spacing w:after="0" w:line="240" w:lineRule="auto"/>
              <w:jc w:val="center"/>
              <w:rPr>
                <w:rFonts w:cs="Arial"/>
                <w:color w:val="auto"/>
                <w:lang w:val="it-IT"/>
              </w:rPr>
            </w:pPr>
            <w:r w:rsidRPr="00C2021A">
              <w:rPr>
                <w:rFonts w:cs="Arial"/>
                <w:noProof/>
                <w:color w:val="auto"/>
                <w:lang w:val="it-IT"/>
              </w:rPr>
              <w:t>(Lee et al. 2008)</w:t>
            </w:r>
          </w:p>
        </w:tc>
        <w:tc>
          <w:tcPr>
            <w:tcW w:w="2522" w:type="dxa"/>
            <w:shd w:val="clear" w:color="auto" w:fill="auto"/>
            <w:tcMar>
              <w:top w:w="80" w:type="dxa"/>
              <w:left w:w="80" w:type="dxa"/>
              <w:bottom w:w="80" w:type="dxa"/>
              <w:right w:w="80" w:type="dxa"/>
            </w:tcMar>
            <w:vAlign w:val="center"/>
          </w:tcPr>
          <w:p w14:paraId="5F429158" w14:textId="77777777" w:rsidR="00154DB5" w:rsidRPr="00C2021A" w:rsidRDefault="00154DB5" w:rsidP="003F1E29">
            <w:pPr>
              <w:spacing w:after="0" w:line="240" w:lineRule="auto"/>
              <w:jc w:val="center"/>
              <w:rPr>
                <w:rFonts w:cs="Arial"/>
                <w:color w:val="auto"/>
                <w:lang w:val="it-IT"/>
              </w:rPr>
            </w:pPr>
            <w:r w:rsidRPr="00C2021A">
              <w:rPr>
                <w:rFonts w:cs="Arial"/>
                <w:color w:val="auto"/>
                <w:lang w:val="it-IT"/>
              </w:rPr>
              <w:t>207.6 x 10</w:t>
            </w:r>
            <w:r w:rsidRPr="00C2021A">
              <w:rPr>
                <w:rFonts w:cs="Arial"/>
                <w:color w:val="auto"/>
                <w:vertAlign w:val="superscript"/>
                <w:lang w:val="it-IT"/>
              </w:rPr>
              <w:t>3</w:t>
            </w:r>
            <w:r w:rsidRPr="00C2021A">
              <w:rPr>
                <w:rFonts w:cs="Arial"/>
                <w:color w:val="auto"/>
                <w:lang w:val="it-IT"/>
              </w:rPr>
              <w:t xml:space="preserve"> Pa</w:t>
            </w:r>
          </w:p>
          <w:p w14:paraId="17CEBC48" w14:textId="77777777" w:rsidR="00154DB5" w:rsidRPr="00C2021A" w:rsidRDefault="00154DB5" w:rsidP="003F1E29">
            <w:pPr>
              <w:spacing w:after="0" w:line="240" w:lineRule="auto"/>
              <w:jc w:val="center"/>
              <w:rPr>
                <w:rFonts w:cs="Arial"/>
                <w:color w:val="auto"/>
              </w:rPr>
            </w:pPr>
            <w:r w:rsidRPr="00C2021A">
              <w:rPr>
                <w:rFonts w:cs="Arial"/>
                <w:noProof/>
                <w:color w:val="auto"/>
              </w:rPr>
              <w:t>(Benchirouf et al. 2016)</w:t>
            </w:r>
          </w:p>
        </w:tc>
        <w:tc>
          <w:tcPr>
            <w:tcW w:w="2522" w:type="dxa"/>
            <w:shd w:val="clear" w:color="auto" w:fill="auto"/>
            <w:tcMar>
              <w:top w:w="80" w:type="dxa"/>
              <w:left w:w="80" w:type="dxa"/>
              <w:bottom w:w="80" w:type="dxa"/>
              <w:right w:w="80" w:type="dxa"/>
            </w:tcMar>
            <w:vAlign w:val="center"/>
          </w:tcPr>
          <w:p w14:paraId="7119CB6D" w14:textId="77777777" w:rsidR="00154DB5" w:rsidRPr="00C2021A" w:rsidRDefault="00154DB5" w:rsidP="003F1E29">
            <w:pPr>
              <w:spacing w:after="0" w:line="240" w:lineRule="auto"/>
              <w:jc w:val="center"/>
              <w:rPr>
                <w:rFonts w:cs="Arial"/>
                <w:color w:val="auto"/>
                <w:lang w:val="it-IT"/>
              </w:rPr>
            </w:pPr>
            <w:r w:rsidRPr="00C2021A">
              <w:rPr>
                <w:rFonts w:cs="Arial"/>
                <w:color w:val="auto"/>
                <w:lang w:val="it-IT"/>
              </w:rPr>
              <w:t>6.3 x 10</w:t>
            </w:r>
            <w:r w:rsidRPr="00C2021A">
              <w:rPr>
                <w:rFonts w:cs="Arial"/>
                <w:color w:val="auto"/>
                <w:vertAlign w:val="superscript"/>
                <w:lang w:val="it-IT"/>
              </w:rPr>
              <w:t>9</w:t>
            </w:r>
            <w:r w:rsidRPr="00C2021A">
              <w:rPr>
                <w:rFonts w:cs="Arial"/>
                <w:color w:val="auto"/>
                <w:lang w:val="it-IT"/>
              </w:rPr>
              <w:t xml:space="preserve"> Pa</w:t>
            </w:r>
          </w:p>
          <w:p w14:paraId="059E1A6C" w14:textId="77777777" w:rsidR="00154DB5" w:rsidRPr="00C2021A" w:rsidRDefault="00154DB5" w:rsidP="003F1E29">
            <w:pPr>
              <w:spacing w:after="0" w:line="240" w:lineRule="auto"/>
              <w:jc w:val="center"/>
              <w:rPr>
                <w:rFonts w:cs="Arial"/>
                <w:color w:val="auto"/>
              </w:rPr>
            </w:pPr>
            <w:r w:rsidRPr="00C2021A">
              <w:rPr>
                <w:rFonts w:cs="Arial"/>
                <w:noProof/>
                <w:color w:val="auto"/>
              </w:rPr>
              <w:t>(Kumar et al. 2015a)</w:t>
            </w:r>
          </w:p>
        </w:tc>
      </w:tr>
      <w:tr w:rsidR="00C2021A" w:rsidRPr="00C2021A" w14:paraId="405ECC4A" w14:textId="77777777" w:rsidTr="003F1E29">
        <w:trPr>
          <w:trHeight w:val="759"/>
          <w:jc w:val="center"/>
        </w:trPr>
        <w:tc>
          <w:tcPr>
            <w:tcW w:w="1885" w:type="dxa"/>
            <w:shd w:val="clear" w:color="auto" w:fill="auto"/>
            <w:tcMar>
              <w:top w:w="80" w:type="dxa"/>
              <w:left w:w="80" w:type="dxa"/>
              <w:bottom w:w="80" w:type="dxa"/>
              <w:right w:w="80" w:type="dxa"/>
            </w:tcMar>
            <w:vAlign w:val="center"/>
          </w:tcPr>
          <w:p w14:paraId="48E8005F" w14:textId="77777777" w:rsidR="00154DB5" w:rsidRPr="00C2021A" w:rsidRDefault="00154DB5" w:rsidP="003F1E29">
            <w:pPr>
              <w:spacing w:after="0" w:line="240" w:lineRule="auto"/>
              <w:jc w:val="center"/>
              <w:rPr>
                <w:rFonts w:cs="Arial"/>
                <w:bCs/>
                <w:color w:val="auto"/>
              </w:rPr>
            </w:pPr>
            <w:r w:rsidRPr="00C2021A">
              <w:rPr>
                <w:rFonts w:cs="Arial"/>
                <w:bCs/>
                <w:color w:val="auto"/>
              </w:rPr>
              <w:t>Optical</w:t>
            </w:r>
          </w:p>
          <w:p w14:paraId="07631E99" w14:textId="77777777" w:rsidR="00154DB5" w:rsidRPr="00C2021A" w:rsidRDefault="00154DB5" w:rsidP="003F1E29">
            <w:pPr>
              <w:spacing w:after="0" w:line="240" w:lineRule="auto"/>
              <w:jc w:val="center"/>
              <w:rPr>
                <w:rFonts w:cs="Arial"/>
                <w:bCs/>
                <w:color w:val="auto"/>
              </w:rPr>
            </w:pPr>
            <w:r w:rsidRPr="00C2021A">
              <w:rPr>
                <w:rFonts w:cs="Arial"/>
                <w:color w:val="auto"/>
              </w:rPr>
              <w:t>(light adsorption)</w:t>
            </w:r>
          </w:p>
        </w:tc>
        <w:tc>
          <w:tcPr>
            <w:tcW w:w="2521" w:type="dxa"/>
            <w:shd w:val="clear" w:color="auto" w:fill="auto"/>
            <w:tcMar>
              <w:top w:w="80" w:type="dxa"/>
              <w:left w:w="80" w:type="dxa"/>
              <w:bottom w:w="80" w:type="dxa"/>
              <w:right w:w="80" w:type="dxa"/>
            </w:tcMar>
            <w:vAlign w:val="center"/>
          </w:tcPr>
          <w:p w14:paraId="00997E25" w14:textId="77777777" w:rsidR="00154DB5" w:rsidRPr="00C2021A" w:rsidRDefault="00154DB5" w:rsidP="003F1E29">
            <w:pPr>
              <w:spacing w:after="0" w:line="240" w:lineRule="auto"/>
              <w:jc w:val="center"/>
              <w:rPr>
                <w:rFonts w:cs="Arial"/>
                <w:color w:val="auto"/>
              </w:rPr>
            </w:pPr>
            <w:r w:rsidRPr="00C2021A">
              <w:rPr>
                <w:rFonts w:cs="Arial"/>
                <w:color w:val="auto"/>
              </w:rPr>
              <w:t>2.3 %</w:t>
            </w:r>
          </w:p>
          <w:p w14:paraId="1B890B83" w14:textId="77777777" w:rsidR="00154DB5" w:rsidRPr="00C2021A" w:rsidRDefault="00154DB5" w:rsidP="003F1E29">
            <w:pPr>
              <w:spacing w:after="0" w:line="240" w:lineRule="auto"/>
              <w:jc w:val="center"/>
              <w:rPr>
                <w:rFonts w:cs="Arial"/>
                <w:color w:val="auto"/>
              </w:rPr>
            </w:pPr>
            <w:r w:rsidRPr="00C2021A">
              <w:rPr>
                <w:rFonts w:cs="Arial"/>
                <w:noProof/>
                <w:color w:val="auto"/>
              </w:rPr>
              <w:t>(Nair et al. 2008)</w:t>
            </w:r>
          </w:p>
        </w:tc>
        <w:tc>
          <w:tcPr>
            <w:tcW w:w="2522" w:type="dxa"/>
            <w:shd w:val="clear" w:color="auto" w:fill="auto"/>
            <w:tcMar>
              <w:top w:w="80" w:type="dxa"/>
              <w:left w:w="80" w:type="dxa"/>
              <w:bottom w:w="80" w:type="dxa"/>
              <w:right w:w="80" w:type="dxa"/>
            </w:tcMar>
            <w:vAlign w:val="center"/>
          </w:tcPr>
          <w:p w14:paraId="738B71A9" w14:textId="77777777" w:rsidR="00154DB5" w:rsidRPr="00C2021A" w:rsidRDefault="00154DB5" w:rsidP="003F1E29">
            <w:pPr>
              <w:spacing w:after="0" w:line="240" w:lineRule="auto"/>
              <w:jc w:val="center"/>
              <w:rPr>
                <w:rFonts w:cs="Arial"/>
                <w:color w:val="auto"/>
                <w:lang w:val="it-IT"/>
              </w:rPr>
            </w:pPr>
            <w:r w:rsidRPr="00C2021A">
              <w:rPr>
                <w:rFonts w:cs="Arial"/>
                <w:color w:val="auto"/>
                <w:lang w:val="it-IT"/>
              </w:rPr>
              <w:t>25 %</w:t>
            </w:r>
          </w:p>
          <w:p w14:paraId="47945A44" w14:textId="77777777" w:rsidR="00154DB5" w:rsidRPr="00C2021A" w:rsidRDefault="00154DB5" w:rsidP="003F1E29">
            <w:pPr>
              <w:spacing w:after="0" w:line="240" w:lineRule="auto"/>
              <w:jc w:val="center"/>
              <w:rPr>
                <w:rFonts w:cs="Arial"/>
                <w:color w:val="auto"/>
              </w:rPr>
            </w:pPr>
            <w:r w:rsidRPr="00C2021A">
              <w:rPr>
                <w:rFonts w:cs="Arial"/>
                <w:noProof/>
                <w:color w:val="auto"/>
              </w:rPr>
              <w:t>(Goumri et al. 2016)</w:t>
            </w:r>
          </w:p>
        </w:tc>
        <w:tc>
          <w:tcPr>
            <w:tcW w:w="2522" w:type="dxa"/>
            <w:shd w:val="clear" w:color="auto" w:fill="auto"/>
            <w:tcMar>
              <w:top w:w="80" w:type="dxa"/>
              <w:left w:w="80" w:type="dxa"/>
              <w:bottom w:w="80" w:type="dxa"/>
              <w:right w:w="80" w:type="dxa"/>
            </w:tcMar>
            <w:vAlign w:val="center"/>
          </w:tcPr>
          <w:p w14:paraId="2157BA4C" w14:textId="77777777" w:rsidR="00154DB5" w:rsidRPr="00C2021A" w:rsidRDefault="00154DB5" w:rsidP="003F1E29">
            <w:pPr>
              <w:spacing w:after="0" w:line="240" w:lineRule="auto"/>
              <w:jc w:val="center"/>
              <w:rPr>
                <w:rFonts w:cs="Arial"/>
                <w:color w:val="auto"/>
                <w:lang w:val="it-IT"/>
              </w:rPr>
            </w:pPr>
            <w:r w:rsidRPr="00C2021A">
              <w:rPr>
                <w:rFonts w:cs="Arial"/>
                <w:color w:val="auto"/>
                <w:lang w:val="it-IT"/>
              </w:rPr>
              <w:t>20%</w:t>
            </w:r>
          </w:p>
          <w:p w14:paraId="3D92B60C" w14:textId="77777777" w:rsidR="00154DB5" w:rsidRPr="00C2021A" w:rsidRDefault="00154DB5" w:rsidP="003F1E29">
            <w:pPr>
              <w:spacing w:after="0" w:line="240" w:lineRule="auto"/>
              <w:jc w:val="center"/>
              <w:rPr>
                <w:rFonts w:cs="Arial"/>
                <w:color w:val="auto"/>
                <w:u w:color="111111"/>
                <w:shd w:val="clear" w:color="auto" w:fill="FFFFFF"/>
              </w:rPr>
            </w:pPr>
            <w:r w:rsidRPr="00C2021A">
              <w:rPr>
                <w:rFonts w:cs="Arial"/>
                <w:noProof/>
                <w:color w:val="auto"/>
              </w:rPr>
              <w:t>(Goumri et al. 2016)</w:t>
            </w:r>
          </w:p>
        </w:tc>
      </w:tr>
      <w:tr w:rsidR="00154DB5" w:rsidRPr="00C2021A" w14:paraId="2F81893A" w14:textId="77777777" w:rsidTr="003F1E29">
        <w:trPr>
          <w:trHeight w:val="759"/>
          <w:jc w:val="center"/>
        </w:trPr>
        <w:tc>
          <w:tcPr>
            <w:tcW w:w="1885" w:type="dxa"/>
            <w:shd w:val="clear" w:color="auto" w:fill="auto"/>
            <w:tcMar>
              <w:top w:w="80" w:type="dxa"/>
              <w:left w:w="80" w:type="dxa"/>
              <w:bottom w:w="80" w:type="dxa"/>
              <w:right w:w="80" w:type="dxa"/>
            </w:tcMar>
            <w:vAlign w:val="center"/>
          </w:tcPr>
          <w:p w14:paraId="0FD01C3C" w14:textId="77777777" w:rsidR="00154DB5" w:rsidRPr="00C2021A" w:rsidRDefault="00154DB5" w:rsidP="003F1E29">
            <w:pPr>
              <w:spacing w:after="0" w:line="240" w:lineRule="auto"/>
              <w:jc w:val="center"/>
              <w:rPr>
                <w:rFonts w:cs="Arial"/>
                <w:bCs/>
                <w:color w:val="auto"/>
              </w:rPr>
            </w:pPr>
            <w:r w:rsidRPr="00C2021A">
              <w:rPr>
                <w:rFonts w:cs="Arial"/>
                <w:bCs/>
                <w:color w:val="auto"/>
              </w:rPr>
              <w:t>Biological</w:t>
            </w:r>
          </w:p>
          <w:p w14:paraId="3DD7EC1C" w14:textId="77777777" w:rsidR="00154DB5" w:rsidRPr="00C2021A" w:rsidRDefault="00154DB5" w:rsidP="003F1E29">
            <w:pPr>
              <w:spacing w:after="0" w:line="240" w:lineRule="auto"/>
              <w:jc w:val="center"/>
              <w:rPr>
                <w:rFonts w:cs="Arial"/>
                <w:bCs/>
                <w:color w:val="auto"/>
              </w:rPr>
            </w:pPr>
            <w:r w:rsidRPr="00C2021A">
              <w:rPr>
                <w:rFonts w:cs="Arial"/>
                <w:color w:val="auto"/>
              </w:rPr>
              <w:t>(dispersibility in water)</w:t>
            </w:r>
          </w:p>
        </w:tc>
        <w:tc>
          <w:tcPr>
            <w:tcW w:w="2521" w:type="dxa"/>
            <w:shd w:val="clear" w:color="auto" w:fill="auto"/>
            <w:tcMar>
              <w:top w:w="80" w:type="dxa"/>
              <w:left w:w="80" w:type="dxa"/>
              <w:bottom w:w="80" w:type="dxa"/>
              <w:right w:w="80" w:type="dxa"/>
            </w:tcMar>
            <w:vAlign w:val="center"/>
          </w:tcPr>
          <w:p w14:paraId="1F89BE7F" w14:textId="77777777" w:rsidR="00154DB5" w:rsidRPr="00C2021A" w:rsidRDefault="00154DB5" w:rsidP="003F1E29">
            <w:pPr>
              <w:spacing w:after="0" w:line="240" w:lineRule="auto"/>
              <w:jc w:val="center"/>
              <w:rPr>
                <w:rFonts w:cs="Arial"/>
                <w:color w:val="auto"/>
              </w:rPr>
            </w:pPr>
            <w:r w:rsidRPr="00C2021A">
              <w:rPr>
                <w:rFonts w:cs="Arial"/>
                <w:color w:val="auto"/>
              </w:rPr>
              <w:t>Not dispersible</w:t>
            </w:r>
          </w:p>
          <w:p w14:paraId="025DDD31" w14:textId="77777777" w:rsidR="00154DB5" w:rsidRPr="00C2021A" w:rsidRDefault="00154DB5" w:rsidP="003F1E29">
            <w:pPr>
              <w:spacing w:after="0" w:line="240" w:lineRule="auto"/>
              <w:jc w:val="center"/>
              <w:rPr>
                <w:rFonts w:cs="Arial"/>
                <w:color w:val="auto"/>
              </w:rPr>
            </w:pPr>
            <w:r w:rsidRPr="00C2021A">
              <w:rPr>
                <w:rFonts w:cs="Arial"/>
                <w:noProof/>
                <w:color w:val="auto"/>
              </w:rPr>
              <w:t>(Liu et al. 2011b)</w:t>
            </w:r>
          </w:p>
        </w:tc>
        <w:tc>
          <w:tcPr>
            <w:tcW w:w="2522" w:type="dxa"/>
            <w:shd w:val="clear" w:color="auto" w:fill="auto"/>
            <w:tcMar>
              <w:top w:w="80" w:type="dxa"/>
              <w:left w:w="80" w:type="dxa"/>
              <w:bottom w:w="80" w:type="dxa"/>
              <w:right w:w="80" w:type="dxa"/>
            </w:tcMar>
            <w:vAlign w:val="center"/>
          </w:tcPr>
          <w:p w14:paraId="65FB461D" w14:textId="77777777" w:rsidR="00154DB5" w:rsidRPr="00C2021A" w:rsidRDefault="00154DB5" w:rsidP="003F1E29">
            <w:pPr>
              <w:spacing w:after="0" w:line="240" w:lineRule="auto"/>
              <w:jc w:val="center"/>
              <w:rPr>
                <w:rFonts w:cs="Arial"/>
                <w:color w:val="auto"/>
              </w:rPr>
            </w:pPr>
            <w:r w:rsidRPr="00C2021A">
              <w:rPr>
                <w:rFonts w:cs="Arial"/>
                <w:color w:val="auto"/>
              </w:rPr>
              <w:t>High</w:t>
            </w:r>
          </w:p>
          <w:p w14:paraId="73BDB1E8" w14:textId="77777777" w:rsidR="00154DB5" w:rsidRPr="00C2021A" w:rsidRDefault="00154DB5" w:rsidP="003F1E29">
            <w:pPr>
              <w:spacing w:after="0" w:line="240" w:lineRule="auto"/>
              <w:jc w:val="center"/>
              <w:rPr>
                <w:rFonts w:cs="Arial"/>
                <w:color w:val="auto"/>
              </w:rPr>
            </w:pPr>
            <w:r w:rsidRPr="00C2021A">
              <w:rPr>
                <w:rFonts w:cs="Arial"/>
                <w:noProof/>
                <w:color w:val="auto"/>
              </w:rPr>
              <w:t>(Konkena and Vasudevan 2012)</w:t>
            </w:r>
          </w:p>
        </w:tc>
        <w:tc>
          <w:tcPr>
            <w:tcW w:w="2522" w:type="dxa"/>
            <w:shd w:val="clear" w:color="auto" w:fill="auto"/>
            <w:tcMar>
              <w:top w:w="80" w:type="dxa"/>
              <w:left w:w="80" w:type="dxa"/>
              <w:bottom w:w="80" w:type="dxa"/>
              <w:right w:w="80" w:type="dxa"/>
            </w:tcMar>
            <w:vAlign w:val="center"/>
          </w:tcPr>
          <w:p w14:paraId="4F5F0D49" w14:textId="77777777" w:rsidR="00154DB5" w:rsidRPr="00C2021A" w:rsidRDefault="00154DB5" w:rsidP="003F1E29">
            <w:pPr>
              <w:spacing w:after="0" w:line="240" w:lineRule="auto"/>
              <w:jc w:val="center"/>
              <w:rPr>
                <w:rFonts w:cs="Arial"/>
                <w:color w:val="auto"/>
              </w:rPr>
            </w:pPr>
            <w:r w:rsidRPr="00C2021A">
              <w:rPr>
                <w:rFonts w:cs="Arial"/>
                <w:color w:val="auto"/>
              </w:rPr>
              <w:t>Low</w:t>
            </w:r>
          </w:p>
          <w:p w14:paraId="0C8D9B0A" w14:textId="77777777" w:rsidR="00154DB5" w:rsidRPr="00C2021A" w:rsidRDefault="00154DB5" w:rsidP="003F1E29">
            <w:pPr>
              <w:spacing w:after="0" w:line="240" w:lineRule="auto"/>
              <w:jc w:val="center"/>
              <w:rPr>
                <w:rFonts w:cs="Arial"/>
                <w:color w:val="auto"/>
                <w:u w:color="111111"/>
                <w:shd w:val="clear" w:color="auto" w:fill="FFFFFF"/>
              </w:rPr>
            </w:pPr>
            <w:r w:rsidRPr="00C2021A">
              <w:rPr>
                <w:rFonts w:cs="Arial"/>
                <w:noProof/>
                <w:color w:val="auto"/>
              </w:rPr>
              <w:t>(Konkena and Vasudevan 2012)</w:t>
            </w:r>
          </w:p>
        </w:tc>
      </w:tr>
    </w:tbl>
    <w:p w14:paraId="177A5190" w14:textId="77777777" w:rsidR="00154DB5" w:rsidRPr="00C2021A" w:rsidRDefault="00154DB5" w:rsidP="00D31A36">
      <w:pPr>
        <w:spacing w:after="0" w:line="240" w:lineRule="auto"/>
        <w:jc w:val="both"/>
        <w:rPr>
          <w:rFonts w:cs="Arial"/>
          <w:color w:val="auto"/>
        </w:rPr>
      </w:pPr>
    </w:p>
    <w:p w14:paraId="4A97AC79" w14:textId="77777777" w:rsidR="00154DB5" w:rsidRPr="00C2021A" w:rsidRDefault="00154DB5" w:rsidP="00D31A36">
      <w:pPr>
        <w:spacing w:after="0" w:line="240" w:lineRule="auto"/>
        <w:jc w:val="both"/>
        <w:rPr>
          <w:rFonts w:cs="Arial"/>
          <w:color w:val="auto"/>
        </w:rPr>
      </w:pPr>
    </w:p>
    <w:p w14:paraId="37C06969" w14:textId="77777777" w:rsidR="00154DB5" w:rsidRPr="00C2021A" w:rsidRDefault="00154DB5" w:rsidP="00041DBE">
      <w:pPr>
        <w:spacing w:after="0" w:line="240" w:lineRule="auto"/>
        <w:jc w:val="both"/>
        <w:rPr>
          <w:rFonts w:cs="Arial"/>
          <w:color w:val="auto"/>
        </w:rPr>
      </w:pPr>
    </w:p>
    <w:p w14:paraId="6B98B79C" w14:textId="77777777" w:rsidR="00154DB5" w:rsidRPr="00C2021A" w:rsidRDefault="00154DB5" w:rsidP="00041DBE">
      <w:pPr>
        <w:spacing w:after="0" w:line="240" w:lineRule="auto"/>
        <w:jc w:val="both"/>
        <w:rPr>
          <w:rFonts w:cs="Arial"/>
          <w:color w:val="auto"/>
        </w:rPr>
      </w:pPr>
    </w:p>
    <w:p w14:paraId="5CC8CD09" w14:textId="77777777" w:rsidR="00154DB5" w:rsidRPr="00C2021A" w:rsidRDefault="00154DB5" w:rsidP="00041DBE">
      <w:pPr>
        <w:spacing w:after="0" w:line="240" w:lineRule="auto"/>
        <w:jc w:val="both"/>
        <w:rPr>
          <w:rFonts w:cs="Arial"/>
          <w:color w:val="auto"/>
        </w:rPr>
      </w:pPr>
    </w:p>
    <w:p w14:paraId="1E6ECBBB" w14:textId="77777777" w:rsidR="00154DB5" w:rsidRPr="00C2021A" w:rsidRDefault="00154DB5" w:rsidP="00041DBE">
      <w:pPr>
        <w:spacing w:after="0" w:line="240" w:lineRule="auto"/>
        <w:jc w:val="both"/>
        <w:rPr>
          <w:rFonts w:cs="Arial"/>
          <w:color w:val="auto"/>
        </w:rPr>
      </w:pPr>
    </w:p>
    <w:p w14:paraId="1B8A8945" w14:textId="77777777" w:rsidR="00154DB5" w:rsidRPr="00C2021A" w:rsidRDefault="00154DB5" w:rsidP="00041DBE">
      <w:pPr>
        <w:spacing w:after="0" w:line="240" w:lineRule="auto"/>
        <w:jc w:val="both"/>
        <w:rPr>
          <w:rFonts w:cs="Arial"/>
          <w:color w:val="auto"/>
        </w:rPr>
      </w:pPr>
    </w:p>
    <w:p w14:paraId="2CC0E8B8" w14:textId="77777777" w:rsidR="00154DB5" w:rsidRPr="00C2021A" w:rsidRDefault="00154DB5" w:rsidP="00041DBE">
      <w:pPr>
        <w:spacing w:after="0" w:line="240" w:lineRule="auto"/>
        <w:jc w:val="both"/>
        <w:rPr>
          <w:rFonts w:cs="Arial"/>
          <w:color w:val="auto"/>
        </w:rPr>
      </w:pPr>
    </w:p>
    <w:p w14:paraId="7FACADB6" w14:textId="77777777" w:rsidR="00154DB5" w:rsidRPr="00C2021A" w:rsidRDefault="00154DB5" w:rsidP="00041DBE">
      <w:pPr>
        <w:spacing w:after="0" w:line="240" w:lineRule="auto"/>
        <w:jc w:val="both"/>
        <w:rPr>
          <w:rFonts w:cs="Arial"/>
          <w:color w:val="auto"/>
        </w:rPr>
      </w:pPr>
    </w:p>
    <w:p w14:paraId="1E911B47" w14:textId="77777777" w:rsidR="00154DB5" w:rsidRPr="00C2021A" w:rsidRDefault="00154DB5" w:rsidP="00041DBE">
      <w:pPr>
        <w:spacing w:after="0" w:line="240" w:lineRule="auto"/>
        <w:jc w:val="both"/>
        <w:rPr>
          <w:rFonts w:cs="Arial"/>
          <w:color w:val="auto"/>
        </w:rPr>
      </w:pPr>
    </w:p>
    <w:p w14:paraId="3FD02585" w14:textId="77777777" w:rsidR="00154DB5" w:rsidRPr="00C2021A" w:rsidRDefault="00154DB5" w:rsidP="00041DBE">
      <w:pPr>
        <w:spacing w:after="0" w:line="240" w:lineRule="auto"/>
        <w:jc w:val="both"/>
        <w:rPr>
          <w:rFonts w:cs="Arial"/>
          <w:color w:val="auto"/>
        </w:rPr>
      </w:pPr>
    </w:p>
    <w:p w14:paraId="2F3C3808" w14:textId="77777777" w:rsidR="00154DB5" w:rsidRPr="00C2021A" w:rsidRDefault="00154DB5" w:rsidP="00041DBE">
      <w:pPr>
        <w:spacing w:after="0" w:line="240" w:lineRule="auto"/>
        <w:jc w:val="both"/>
        <w:rPr>
          <w:rFonts w:cs="Arial"/>
          <w:color w:val="auto"/>
        </w:rPr>
      </w:pPr>
    </w:p>
    <w:p w14:paraId="343E6725" w14:textId="77777777" w:rsidR="00154DB5" w:rsidRPr="00C2021A" w:rsidRDefault="00154DB5" w:rsidP="00041DBE">
      <w:pPr>
        <w:spacing w:after="0" w:line="240" w:lineRule="auto"/>
        <w:jc w:val="both"/>
        <w:rPr>
          <w:rFonts w:cs="Arial"/>
          <w:color w:val="auto"/>
        </w:rPr>
      </w:pPr>
    </w:p>
    <w:p w14:paraId="5907C0EB" w14:textId="77777777" w:rsidR="00154DB5" w:rsidRPr="00C2021A" w:rsidRDefault="00154DB5" w:rsidP="00041DBE">
      <w:pPr>
        <w:spacing w:after="0" w:line="240" w:lineRule="auto"/>
        <w:jc w:val="both"/>
        <w:rPr>
          <w:rFonts w:cs="Arial"/>
          <w:color w:val="auto"/>
        </w:rPr>
      </w:pPr>
    </w:p>
    <w:p w14:paraId="1980E658" w14:textId="77777777" w:rsidR="00154DB5" w:rsidRPr="00C2021A" w:rsidRDefault="00154DB5" w:rsidP="00041DBE">
      <w:pPr>
        <w:spacing w:after="0" w:line="240" w:lineRule="auto"/>
        <w:jc w:val="both"/>
        <w:rPr>
          <w:rFonts w:cs="Arial"/>
          <w:color w:val="auto"/>
        </w:rPr>
      </w:pPr>
    </w:p>
    <w:p w14:paraId="011171D3" w14:textId="77777777" w:rsidR="00154DB5" w:rsidRPr="00C2021A" w:rsidRDefault="00154DB5" w:rsidP="00041DBE">
      <w:pPr>
        <w:spacing w:after="0" w:line="240" w:lineRule="auto"/>
        <w:jc w:val="both"/>
        <w:rPr>
          <w:rFonts w:cs="Arial"/>
          <w:color w:val="auto"/>
        </w:rPr>
      </w:pPr>
    </w:p>
    <w:p w14:paraId="15485371" w14:textId="77777777" w:rsidR="00154DB5" w:rsidRPr="00C2021A" w:rsidRDefault="00154DB5" w:rsidP="00041DBE">
      <w:pPr>
        <w:spacing w:after="0" w:line="240" w:lineRule="auto"/>
        <w:jc w:val="both"/>
        <w:rPr>
          <w:rFonts w:cs="Arial"/>
          <w:color w:val="auto"/>
        </w:rPr>
      </w:pPr>
    </w:p>
    <w:p w14:paraId="12B5DAD7" w14:textId="77777777" w:rsidR="00154DB5" w:rsidRPr="00C2021A" w:rsidRDefault="00154DB5" w:rsidP="00041DBE">
      <w:pPr>
        <w:spacing w:after="0" w:line="240" w:lineRule="auto"/>
        <w:jc w:val="both"/>
        <w:rPr>
          <w:rFonts w:cs="Arial"/>
          <w:color w:val="auto"/>
        </w:rPr>
      </w:pPr>
    </w:p>
    <w:p w14:paraId="65991F57" w14:textId="77777777" w:rsidR="00154DB5" w:rsidRPr="00C2021A" w:rsidRDefault="00154DB5" w:rsidP="00041DBE">
      <w:pPr>
        <w:spacing w:after="0" w:line="240" w:lineRule="auto"/>
        <w:jc w:val="both"/>
        <w:rPr>
          <w:rFonts w:cs="Arial"/>
          <w:color w:val="auto"/>
        </w:rPr>
      </w:pPr>
    </w:p>
    <w:p w14:paraId="3E543BC3" w14:textId="77777777" w:rsidR="00154DB5" w:rsidRPr="00C2021A" w:rsidRDefault="00154DB5" w:rsidP="00041DBE">
      <w:pPr>
        <w:spacing w:after="0" w:line="240" w:lineRule="auto"/>
        <w:jc w:val="both"/>
        <w:rPr>
          <w:rFonts w:cs="Arial"/>
          <w:color w:val="auto"/>
        </w:rPr>
      </w:pPr>
    </w:p>
    <w:p w14:paraId="40858041" w14:textId="77777777" w:rsidR="00154DB5" w:rsidRPr="00C2021A" w:rsidRDefault="00154DB5">
      <w:pPr>
        <w:pBdr>
          <w:top w:val="none" w:sz="0" w:space="0" w:color="auto"/>
          <w:left w:val="none" w:sz="0" w:space="0" w:color="auto"/>
          <w:bottom w:val="none" w:sz="0" w:space="0" w:color="auto"/>
          <w:right w:val="none" w:sz="0" w:space="0" w:color="auto"/>
          <w:between w:val="none" w:sz="0" w:space="0" w:color="auto"/>
          <w:bar w:val="none" w:sz="0" w:color="auto"/>
        </w:pBdr>
        <w:rPr>
          <w:rFonts w:cs="Arial"/>
          <w:color w:val="auto"/>
        </w:rPr>
      </w:pPr>
      <w:r w:rsidRPr="00C2021A">
        <w:rPr>
          <w:rFonts w:cs="Arial"/>
          <w:color w:val="auto"/>
        </w:rPr>
        <w:br w:type="page"/>
      </w:r>
    </w:p>
    <w:p w14:paraId="5C962457" w14:textId="77777777" w:rsidR="00154DB5" w:rsidRPr="00C2021A" w:rsidRDefault="00154DB5" w:rsidP="00BC6609">
      <w:pPr>
        <w:spacing w:after="0" w:line="240" w:lineRule="auto"/>
        <w:jc w:val="both"/>
        <w:rPr>
          <w:rFonts w:cs="Arial"/>
          <w:color w:val="auto"/>
        </w:rPr>
      </w:pPr>
      <w:r w:rsidRPr="00C2021A">
        <w:rPr>
          <w:rFonts w:cs="Arial"/>
          <w:b/>
          <w:bCs/>
          <w:color w:val="auto"/>
        </w:rPr>
        <w:lastRenderedPageBreak/>
        <w:t>Table 2.</w:t>
      </w:r>
      <w:r w:rsidRPr="00C2021A">
        <w:rPr>
          <w:rFonts w:cs="Arial"/>
          <w:color w:val="auto"/>
        </w:rPr>
        <w:t xml:space="preserve"> List of biomarkers in human saliva samples </w:t>
      </w:r>
      <w:r w:rsidRPr="00C2021A">
        <w:rPr>
          <w:rFonts w:cs="Arial"/>
          <w:noProof/>
          <w:color w:val="auto"/>
        </w:rPr>
        <w:t>(Gug et al. 2019)</w:t>
      </w:r>
    </w:p>
    <w:p w14:paraId="06FCF892" w14:textId="77777777" w:rsidR="00154DB5" w:rsidRPr="00C2021A" w:rsidRDefault="00154DB5" w:rsidP="00041DBE">
      <w:pPr>
        <w:spacing w:after="0" w:line="240" w:lineRule="auto"/>
        <w:jc w:val="both"/>
        <w:rPr>
          <w:rFonts w:cs="Arial"/>
          <w:color w:val="auto"/>
        </w:rPr>
      </w:pP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DD4E9"/>
        <w:tblLayout w:type="fixed"/>
        <w:tblLook w:val="04A0" w:firstRow="1" w:lastRow="0" w:firstColumn="1" w:lastColumn="0" w:noHBand="0" w:noVBand="1"/>
      </w:tblPr>
      <w:tblGrid>
        <w:gridCol w:w="2880"/>
        <w:gridCol w:w="3060"/>
        <w:gridCol w:w="3330"/>
      </w:tblGrid>
      <w:tr w:rsidR="00C2021A" w:rsidRPr="00C2021A" w14:paraId="5715CF4D" w14:textId="77777777" w:rsidTr="008120D4">
        <w:trPr>
          <w:trHeight w:val="17"/>
        </w:trPr>
        <w:tc>
          <w:tcPr>
            <w:tcW w:w="2880" w:type="dxa"/>
            <w:shd w:val="clear" w:color="auto" w:fill="auto"/>
            <w:tcMar>
              <w:top w:w="80" w:type="dxa"/>
              <w:left w:w="80" w:type="dxa"/>
              <w:bottom w:w="80" w:type="dxa"/>
              <w:right w:w="80" w:type="dxa"/>
            </w:tcMar>
            <w:vAlign w:val="center"/>
          </w:tcPr>
          <w:p w14:paraId="31D8C026" w14:textId="77777777" w:rsidR="00154DB5" w:rsidRPr="00C2021A" w:rsidRDefault="00154DB5" w:rsidP="00B43159">
            <w:pPr>
              <w:spacing w:after="0" w:line="240" w:lineRule="auto"/>
              <w:jc w:val="center"/>
              <w:rPr>
                <w:rFonts w:cs="Arial"/>
                <w:color w:val="auto"/>
              </w:rPr>
            </w:pPr>
            <w:r w:rsidRPr="00C2021A">
              <w:rPr>
                <w:rFonts w:cs="Arial"/>
                <w:b/>
                <w:bCs/>
                <w:color w:val="auto"/>
              </w:rPr>
              <w:t>Pathology</w:t>
            </w:r>
          </w:p>
        </w:tc>
        <w:tc>
          <w:tcPr>
            <w:tcW w:w="3060" w:type="dxa"/>
            <w:shd w:val="clear" w:color="auto" w:fill="auto"/>
            <w:tcMar>
              <w:top w:w="80" w:type="dxa"/>
              <w:left w:w="80" w:type="dxa"/>
              <w:bottom w:w="80" w:type="dxa"/>
              <w:right w:w="80" w:type="dxa"/>
            </w:tcMar>
            <w:vAlign w:val="center"/>
          </w:tcPr>
          <w:p w14:paraId="635033BD" w14:textId="77777777" w:rsidR="00154DB5" w:rsidRPr="00C2021A" w:rsidRDefault="00154DB5" w:rsidP="00B43159">
            <w:pPr>
              <w:spacing w:after="0" w:line="240" w:lineRule="auto"/>
              <w:jc w:val="center"/>
              <w:rPr>
                <w:rFonts w:cs="Arial"/>
                <w:color w:val="auto"/>
              </w:rPr>
            </w:pPr>
            <w:r w:rsidRPr="00C2021A">
              <w:rPr>
                <w:rFonts w:cs="Arial"/>
                <w:b/>
                <w:bCs/>
                <w:color w:val="auto"/>
              </w:rPr>
              <w:t>Biomarker</w:t>
            </w:r>
          </w:p>
        </w:tc>
        <w:tc>
          <w:tcPr>
            <w:tcW w:w="3330" w:type="dxa"/>
            <w:shd w:val="clear" w:color="auto" w:fill="auto"/>
            <w:tcMar>
              <w:top w:w="80" w:type="dxa"/>
              <w:left w:w="80" w:type="dxa"/>
              <w:bottom w:w="80" w:type="dxa"/>
              <w:right w:w="80" w:type="dxa"/>
            </w:tcMar>
            <w:vAlign w:val="center"/>
          </w:tcPr>
          <w:p w14:paraId="16DDD3DF" w14:textId="77777777" w:rsidR="00154DB5" w:rsidRPr="00C2021A" w:rsidRDefault="00154DB5" w:rsidP="00B43159">
            <w:pPr>
              <w:spacing w:after="0" w:line="240" w:lineRule="auto"/>
              <w:jc w:val="center"/>
              <w:rPr>
                <w:rFonts w:cs="Arial"/>
                <w:color w:val="auto"/>
              </w:rPr>
            </w:pPr>
            <w:r w:rsidRPr="00C2021A">
              <w:rPr>
                <w:rFonts w:cs="Arial"/>
                <w:b/>
                <w:bCs/>
                <w:color w:val="auto"/>
              </w:rPr>
              <w:t>Reference</w:t>
            </w:r>
          </w:p>
        </w:tc>
      </w:tr>
      <w:tr w:rsidR="00C2021A" w:rsidRPr="00C2021A" w14:paraId="702EC9DF" w14:textId="77777777" w:rsidTr="008120D4">
        <w:trPr>
          <w:trHeight w:val="1323"/>
        </w:trPr>
        <w:tc>
          <w:tcPr>
            <w:tcW w:w="2880" w:type="dxa"/>
            <w:shd w:val="clear" w:color="auto" w:fill="auto"/>
            <w:tcMar>
              <w:top w:w="80" w:type="dxa"/>
              <w:left w:w="80" w:type="dxa"/>
              <w:bottom w:w="80" w:type="dxa"/>
              <w:right w:w="80" w:type="dxa"/>
            </w:tcMar>
            <w:vAlign w:val="center"/>
          </w:tcPr>
          <w:p w14:paraId="7ABEAD23" w14:textId="77777777" w:rsidR="00154DB5" w:rsidRPr="00C2021A" w:rsidRDefault="00154DB5" w:rsidP="008120D4">
            <w:pPr>
              <w:spacing w:after="0" w:line="240" w:lineRule="auto"/>
              <w:rPr>
                <w:rFonts w:cs="Arial"/>
                <w:color w:val="auto"/>
              </w:rPr>
            </w:pPr>
            <w:r w:rsidRPr="00C2021A">
              <w:rPr>
                <w:rFonts w:cs="Arial"/>
                <w:color w:val="auto"/>
              </w:rPr>
              <w:t>Oral cancer</w:t>
            </w:r>
          </w:p>
        </w:tc>
        <w:tc>
          <w:tcPr>
            <w:tcW w:w="3060" w:type="dxa"/>
            <w:shd w:val="clear" w:color="auto" w:fill="auto"/>
            <w:tcMar>
              <w:top w:w="80" w:type="dxa"/>
              <w:left w:w="80" w:type="dxa"/>
              <w:bottom w:w="80" w:type="dxa"/>
              <w:right w:w="80" w:type="dxa"/>
            </w:tcMar>
            <w:vAlign w:val="center"/>
          </w:tcPr>
          <w:p w14:paraId="000514B3" w14:textId="77777777" w:rsidR="00154DB5" w:rsidRPr="00C2021A" w:rsidRDefault="00154DB5" w:rsidP="008120D4">
            <w:pPr>
              <w:spacing w:after="0" w:line="240" w:lineRule="auto"/>
              <w:rPr>
                <w:rFonts w:cs="Arial"/>
                <w:color w:val="auto"/>
                <w:lang w:val="it-IT"/>
              </w:rPr>
            </w:pPr>
            <w:r w:rsidRPr="00C2021A">
              <w:rPr>
                <w:rFonts w:cs="Arial"/>
                <w:color w:val="auto"/>
                <w:lang w:val="it-IT"/>
              </w:rPr>
              <w:t>IL-8</w:t>
            </w:r>
          </w:p>
          <w:p w14:paraId="5DF7C99A" w14:textId="77777777" w:rsidR="00154DB5" w:rsidRPr="00C2021A" w:rsidRDefault="00154DB5" w:rsidP="008120D4">
            <w:pPr>
              <w:spacing w:after="0" w:line="240" w:lineRule="auto"/>
              <w:rPr>
                <w:rFonts w:cs="Arial"/>
                <w:color w:val="auto"/>
                <w:lang w:val="it-IT"/>
              </w:rPr>
            </w:pPr>
            <w:r w:rsidRPr="00C2021A">
              <w:rPr>
                <w:rFonts w:cs="Arial"/>
                <w:color w:val="auto"/>
                <w:lang w:val="it-IT"/>
              </w:rPr>
              <w:t>IL-6</w:t>
            </w:r>
          </w:p>
          <w:p w14:paraId="05FE0A18" w14:textId="77777777" w:rsidR="00154DB5" w:rsidRPr="00C2021A" w:rsidRDefault="00154DB5" w:rsidP="008120D4">
            <w:pPr>
              <w:spacing w:after="0" w:line="240" w:lineRule="auto"/>
              <w:rPr>
                <w:rFonts w:cs="Arial"/>
                <w:color w:val="auto"/>
                <w:lang w:val="it-IT"/>
              </w:rPr>
            </w:pPr>
            <w:r w:rsidRPr="00C2021A">
              <w:rPr>
                <w:rFonts w:cs="Arial"/>
                <w:color w:val="auto"/>
                <w:lang w:val="it-IT"/>
              </w:rPr>
              <w:t>IL-1</w:t>
            </w:r>
            <w:r w:rsidRPr="00C2021A">
              <w:rPr>
                <w:rFonts w:cs="Arial"/>
                <w:color w:val="auto"/>
              </w:rPr>
              <w:t>β</w:t>
            </w:r>
          </w:p>
          <w:p w14:paraId="7DD5E054" w14:textId="77777777" w:rsidR="00154DB5" w:rsidRPr="00C2021A" w:rsidRDefault="00154DB5" w:rsidP="008120D4">
            <w:pPr>
              <w:spacing w:after="0" w:line="240" w:lineRule="auto"/>
              <w:rPr>
                <w:rFonts w:cs="Arial"/>
                <w:color w:val="auto"/>
                <w:lang w:val="it-IT"/>
              </w:rPr>
            </w:pPr>
            <w:r w:rsidRPr="00C2021A">
              <w:rPr>
                <w:rFonts w:cs="Arial"/>
                <w:color w:val="auto"/>
                <w:lang w:val="it-IT"/>
              </w:rPr>
              <w:t>CEA</w:t>
            </w:r>
          </w:p>
          <w:p w14:paraId="110BFDC4" w14:textId="77777777" w:rsidR="00154DB5" w:rsidRPr="00C2021A" w:rsidRDefault="00154DB5" w:rsidP="008120D4">
            <w:pPr>
              <w:spacing w:after="0" w:line="240" w:lineRule="auto"/>
              <w:rPr>
                <w:rFonts w:cs="Arial"/>
                <w:color w:val="auto"/>
                <w:lang w:val="it-IT"/>
              </w:rPr>
            </w:pPr>
            <w:r w:rsidRPr="00C2021A">
              <w:rPr>
                <w:rFonts w:cs="Arial"/>
                <w:color w:val="auto"/>
                <w:lang w:val="it-IT"/>
              </w:rPr>
              <w:t>bFGF</w:t>
            </w:r>
          </w:p>
          <w:p w14:paraId="1412F670" w14:textId="77777777" w:rsidR="00154DB5" w:rsidRPr="00C2021A" w:rsidRDefault="00154DB5" w:rsidP="008120D4">
            <w:pPr>
              <w:spacing w:after="0" w:line="240" w:lineRule="auto"/>
              <w:rPr>
                <w:rFonts w:cs="Arial"/>
                <w:color w:val="auto"/>
              </w:rPr>
            </w:pPr>
            <w:r w:rsidRPr="00C2021A">
              <w:rPr>
                <w:rFonts w:cs="Arial"/>
                <w:color w:val="auto"/>
              </w:rPr>
              <w:t>s100A8</w:t>
            </w:r>
          </w:p>
          <w:p w14:paraId="3684DCF0" w14:textId="77777777" w:rsidR="00154DB5" w:rsidRPr="00C2021A" w:rsidRDefault="00154DB5" w:rsidP="008120D4">
            <w:pPr>
              <w:spacing w:after="0" w:line="240" w:lineRule="auto"/>
              <w:rPr>
                <w:rFonts w:cs="Arial"/>
                <w:color w:val="auto"/>
              </w:rPr>
            </w:pPr>
            <w:r w:rsidRPr="00C2021A">
              <w:rPr>
                <w:rFonts w:cs="Arial"/>
                <w:color w:val="auto"/>
              </w:rPr>
              <w:t>CYFRA-21-1</w:t>
            </w:r>
          </w:p>
          <w:p w14:paraId="221CAA26" w14:textId="77777777" w:rsidR="00154DB5" w:rsidRPr="00C2021A" w:rsidRDefault="00154DB5" w:rsidP="008120D4">
            <w:pPr>
              <w:spacing w:after="0" w:line="240" w:lineRule="auto"/>
              <w:rPr>
                <w:rFonts w:cs="Arial"/>
                <w:color w:val="auto"/>
              </w:rPr>
            </w:pPr>
            <w:r w:rsidRPr="00C2021A">
              <w:rPr>
                <w:rFonts w:cs="Arial"/>
                <w:color w:val="auto"/>
              </w:rPr>
              <w:t>L-phenylalanine</w:t>
            </w:r>
          </w:p>
          <w:p w14:paraId="40B827CE" w14:textId="77777777" w:rsidR="00154DB5" w:rsidRPr="00C2021A" w:rsidRDefault="00154DB5" w:rsidP="008120D4">
            <w:pPr>
              <w:spacing w:after="0" w:line="240" w:lineRule="auto"/>
              <w:rPr>
                <w:rFonts w:cs="Arial"/>
                <w:color w:val="auto"/>
              </w:rPr>
            </w:pPr>
            <w:r w:rsidRPr="00C2021A">
              <w:rPr>
                <w:rFonts w:cs="Arial"/>
                <w:color w:val="auto"/>
              </w:rPr>
              <w:t>L-leucine</w:t>
            </w:r>
          </w:p>
          <w:p w14:paraId="73DBE5EC" w14:textId="77777777" w:rsidR="00154DB5" w:rsidRPr="00C2021A" w:rsidRDefault="00154DB5" w:rsidP="008120D4">
            <w:pPr>
              <w:spacing w:after="0" w:line="240" w:lineRule="auto"/>
              <w:rPr>
                <w:rFonts w:cs="Arial"/>
                <w:color w:val="auto"/>
              </w:rPr>
            </w:pPr>
            <w:r w:rsidRPr="00C2021A">
              <w:rPr>
                <w:rFonts w:cs="Arial"/>
                <w:color w:val="auto"/>
              </w:rPr>
              <w:t>LDH</w:t>
            </w:r>
          </w:p>
        </w:tc>
        <w:tc>
          <w:tcPr>
            <w:tcW w:w="3330" w:type="dxa"/>
            <w:shd w:val="clear" w:color="auto" w:fill="auto"/>
            <w:tcMar>
              <w:top w:w="80" w:type="dxa"/>
              <w:left w:w="80" w:type="dxa"/>
              <w:bottom w:w="80" w:type="dxa"/>
              <w:right w:w="80" w:type="dxa"/>
            </w:tcMar>
            <w:vAlign w:val="center"/>
          </w:tcPr>
          <w:p w14:paraId="561071A4"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(Torrente-Rodríguez et al. 2016)</w:t>
            </w:r>
          </w:p>
          <w:p w14:paraId="4FE4716D"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(Hamad et al. 2011)</w:t>
            </w:r>
          </w:p>
          <w:p w14:paraId="09E03C11"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(Arellano-Garcia et al. 2008)</w:t>
            </w:r>
          </w:p>
          <w:p w14:paraId="7A6D0701"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(Zheng et al. 2018)</w:t>
            </w:r>
          </w:p>
          <w:p w14:paraId="43B29F5C"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(Gupta et al. 2019)</w:t>
            </w:r>
          </w:p>
          <w:p w14:paraId="369858C6"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(Jou et al. 2014)</w:t>
            </w:r>
          </w:p>
          <w:p w14:paraId="0D92814B" w14:textId="77777777" w:rsidR="00154DB5" w:rsidRPr="00C2021A" w:rsidRDefault="00154DB5" w:rsidP="008120D4">
            <w:pPr>
              <w:spacing w:after="0" w:line="240" w:lineRule="auto"/>
              <w:rPr>
                <w:rFonts w:cs="Arial"/>
                <w:color w:val="auto"/>
              </w:rPr>
            </w:pPr>
            <w:r w:rsidRPr="00C2021A">
              <w:rPr>
                <w:rFonts w:cs="Arial"/>
                <w:noProof/>
                <w:color w:val="auto"/>
              </w:rPr>
              <w:t>(Kumar et al. 2015b)</w:t>
            </w:r>
          </w:p>
          <w:p w14:paraId="4876DA29" w14:textId="77777777" w:rsidR="00154DB5" w:rsidRPr="00C2021A" w:rsidRDefault="00154DB5" w:rsidP="008120D4">
            <w:pPr>
              <w:spacing w:after="0" w:line="240" w:lineRule="auto"/>
              <w:rPr>
                <w:rFonts w:cs="Arial"/>
                <w:color w:val="auto"/>
              </w:rPr>
            </w:pPr>
            <w:r w:rsidRPr="00C2021A">
              <w:rPr>
                <w:rFonts w:cs="Arial"/>
                <w:noProof/>
                <w:color w:val="auto"/>
              </w:rPr>
              <w:t>(Wang et al. 2014)</w:t>
            </w:r>
          </w:p>
          <w:p w14:paraId="129C2E6A" w14:textId="77777777" w:rsidR="00154DB5" w:rsidRPr="00C2021A" w:rsidRDefault="00154DB5" w:rsidP="008120D4">
            <w:pPr>
              <w:spacing w:after="0" w:line="240" w:lineRule="auto"/>
              <w:rPr>
                <w:rFonts w:cs="Arial"/>
                <w:color w:val="auto"/>
              </w:rPr>
            </w:pPr>
            <w:r w:rsidRPr="00C2021A">
              <w:rPr>
                <w:rFonts w:cs="Arial"/>
                <w:noProof/>
                <w:color w:val="auto"/>
              </w:rPr>
              <w:t>(Wang et al. 2014)</w:t>
            </w:r>
          </w:p>
          <w:p w14:paraId="0CAD51FB" w14:textId="77777777" w:rsidR="00154DB5" w:rsidRPr="00C2021A" w:rsidRDefault="00154DB5" w:rsidP="008120D4">
            <w:pPr>
              <w:spacing w:after="0" w:line="240" w:lineRule="auto"/>
              <w:rPr>
                <w:rFonts w:cs="Arial"/>
                <w:color w:val="auto"/>
              </w:rPr>
            </w:pPr>
            <w:r w:rsidRPr="00C2021A">
              <w:rPr>
                <w:rFonts w:cs="Arial"/>
                <w:noProof/>
                <w:color w:val="auto"/>
              </w:rPr>
              <w:t>(Patel and Metgud 2015)</w:t>
            </w:r>
          </w:p>
        </w:tc>
      </w:tr>
      <w:tr w:rsidR="00C2021A" w:rsidRPr="00C2021A" w14:paraId="3A896228" w14:textId="77777777" w:rsidTr="008120D4">
        <w:trPr>
          <w:trHeight w:val="17"/>
        </w:trPr>
        <w:tc>
          <w:tcPr>
            <w:tcW w:w="2880" w:type="dxa"/>
            <w:shd w:val="clear" w:color="auto" w:fill="auto"/>
            <w:tcMar>
              <w:top w:w="80" w:type="dxa"/>
              <w:left w:w="80" w:type="dxa"/>
              <w:bottom w:w="80" w:type="dxa"/>
              <w:right w:w="80" w:type="dxa"/>
            </w:tcMar>
            <w:vAlign w:val="center"/>
          </w:tcPr>
          <w:p w14:paraId="4E0358FC" w14:textId="77777777" w:rsidR="00154DB5" w:rsidRPr="00C2021A" w:rsidRDefault="00154DB5" w:rsidP="008120D4">
            <w:pPr>
              <w:spacing w:after="0" w:line="240" w:lineRule="auto"/>
              <w:rPr>
                <w:rFonts w:cs="Arial"/>
                <w:color w:val="auto"/>
              </w:rPr>
            </w:pPr>
            <w:r w:rsidRPr="00C2021A">
              <w:rPr>
                <w:rFonts w:cs="Arial"/>
                <w:color w:val="auto"/>
              </w:rPr>
              <w:t>Periodontal disease</w:t>
            </w:r>
          </w:p>
        </w:tc>
        <w:tc>
          <w:tcPr>
            <w:tcW w:w="3060" w:type="dxa"/>
            <w:shd w:val="clear" w:color="auto" w:fill="auto"/>
            <w:tcMar>
              <w:top w:w="80" w:type="dxa"/>
              <w:left w:w="80" w:type="dxa"/>
              <w:bottom w:w="80" w:type="dxa"/>
              <w:right w:w="80" w:type="dxa"/>
            </w:tcMar>
            <w:vAlign w:val="center"/>
          </w:tcPr>
          <w:p w14:paraId="7179A7D1" w14:textId="77777777" w:rsidR="00154DB5" w:rsidRPr="00C2021A" w:rsidRDefault="00154DB5" w:rsidP="008120D4">
            <w:pPr>
              <w:spacing w:after="0" w:line="240" w:lineRule="auto"/>
              <w:rPr>
                <w:rFonts w:cs="Arial"/>
                <w:color w:val="auto"/>
              </w:rPr>
            </w:pPr>
            <w:r w:rsidRPr="00C2021A">
              <w:rPr>
                <w:rFonts w:cs="Arial"/>
                <w:color w:val="auto"/>
              </w:rPr>
              <w:t>Neutrophils</w:t>
            </w:r>
          </w:p>
          <w:p w14:paraId="6327E8D2" w14:textId="77777777" w:rsidR="00154DB5" w:rsidRPr="00C2021A" w:rsidRDefault="00154DB5" w:rsidP="008120D4">
            <w:pPr>
              <w:spacing w:after="0" w:line="240" w:lineRule="auto"/>
              <w:rPr>
                <w:rFonts w:cs="Arial"/>
                <w:color w:val="auto"/>
              </w:rPr>
            </w:pPr>
            <w:r w:rsidRPr="00C2021A">
              <w:rPr>
                <w:rFonts w:cs="Arial"/>
                <w:color w:val="auto"/>
              </w:rPr>
              <w:t>Osteoclast biomarkers</w:t>
            </w:r>
          </w:p>
          <w:p w14:paraId="0D1BAFB6" w14:textId="77777777" w:rsidR="00154DB5" w:rsidRPr="00C2021A" w:rsidRDefault="00154DB5" w:rsidP="008120D4">
            <w:pPr>
              <w:spacing w:after="0" w:line="240" w:lineRule="auto"/>
              <w:rPr>
                <w:rFonts w:cs="Arial"/>
                <w:color w:val="auto"/>
              </w:rPr>
            </w:pPr>
            <w:r w:rsidRPr="00C2021A">
              <w:rPr>
                <w:rFonts w:cs="Arial"/>
                <w:color w:val="auto"/>
              </w:rPr>
              <w:t>HFA</w:t>
            </w:r>
          </w:p>
          <w:p w14:paraId="7A309069" w14:textId="77777777" w:rsidR="00154DB5" w:rsidRPr="00C2021A" w:rsidRDefault="00154DB5" w:rsidP="008120D4">
            <w:pPr>
              <w:spacing w:after="0" w:line="240" w:lineRule="auto"/>
              <w:rPr>
                <w:rFonts w:cs="Arial"/>
                <w:color w:val="auto"/>
              </w:rPr>
            </w:pPr>
            <w:proofErr w:type="spellStart"/>
            <w:r w:rsidRPr="00C2021A">
              <w:rPr>
                <w:rFonts w:cs="Arial"/>
                <w:color w:val="auto"/>
              </w:rPr>
              <w:t>sAA</w:t>
            </w:r>
            <w:proofErr w:type="spellEnd"/>
          </w:p>
        </w:tc>
        <w:tc>
          <w:tcPr>
            <w:tcW w:w="3330" w:type="dxa"/>
            <w:shd w:val="clear" w:color="auto" w:fill="auto"/>
            <w:tcMar>
              <w:top w:w="80" w:type="dxa"/>
              <w:left w:w="80" w:type="dxa"/>
              <w:bottom w:w="80" w:type="dxa"/>
              <w:right w:w="80" w:type="dxa"/>
            </w:tcMar>
            <w:vAlign w:val="center"/>
          </w:tcPr>
          <w:p w14:paraId="34210E4C"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(Taba et al. 2005)</w:t>
            </w:r>
          </w:p>
          <w:p w14:paraId="732E40B7"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(Taba et al. 2005)</w:t>
            </w:r>
          </w:p>
          <w:p w14:paraId="507594C8"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(Sánchez-Tirado et al. 2018)</w:t>
            </w:r>
          </w:p>
          <w:p w14:paraId="49D99080"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(Garcia et al. 2018)</w:t>
            </w:r>
          </w:p>
        </w:tc>
      </w:tr>
      <w:tr w:rsidR="00C2021A" w:rsidRPr="00C2021A" w14:paraId="78627EB1" w14:textId="77777777" w:rsidTr="008120D4">
        <w:trPr>
          <w:trHeight w:val="17"/>
        </w:trPr>
        <w:tc>
          <w:tcPr>
            <w:tcW w:w="2880" w:type="dxa"/>
            <w:shd w:val="clear" w:color="auto" w:fill="auto"/>
            <w:tcMar>
              <w:top w:w="80" w:type="dxa"/>
              <w:left w:w="80" w:type="dxa"/>
              <w:bottom w:w="80" w:type="dxa"/>
              <w:right w:w="80" w:type="dxa"/>
            </w:tcMar>
            <w:vAlign w:val="center"/>
          </w:tcPr>
          <w:p w14:paraId="43876256" w14:textId="77777777" w:rsidR="00154DB5" w:rsidRPr="00C2021A" w:rsidRDefault="00154DB5" w:rsidP="008120D4">
            <w:pPr>
              <w:spacing w:after="0" w:line="240" w:lineRule="auto"/>
              <w:rPr>
                <w:rFonts w:cs="Arial"/>
                <w:color w:val="auto"/>
              </w:rPr>
            </w:pPr>
            <w:r w:rsidRPr="00C2021A">
              <w:rPr>
                <w:rFonts w:cs="Arial"/>
                <w:color w:val="auto"/>
              </w:rPr>
              <w:t>Breast cancer</w:t>
            </w:r>
          </w:p>
        </w:tc>
        <w:tc>
          <w:tcPr>
            <w:tcW w:w="3060" w:type="dxa"/>
            <w:shd w:val="clear" w:color="auto" w:fill="auto"/>
            <w:tcMar>
              <w:top w:w="80" w:type="dxa"/>
              <w:left w:w="80" w:type="dxa"/>
              <w:bottom w:w="80" w:type="dxa"/>
              <w:right w:w="80" w:type="dxa"/>
            </w:tcMar>
            <w:vAlign w:val="center"/>
          </w:tcPr>
          <w:p w14:paraId="3BD453DC" w14:textId="77777777" w:rsidR="00154DB5" w:rsidRPr="00C2021A" w:rsidRDefault="00154DB5" w:rsidP="008120D4">
            <w:pPr>
              <w:spacing w:after="0" w:line="240" w:lineRule="auto"/>
              <w:rPr>
                <w:rFonts w:cs="Arial"/>
                <w:color w:val="auto"/>
                <w:lang w:val="it-IT"/>
              </w:rPr>
            </w:pPr>
            <w:r w:rsidRPr="00C2021A">
              <w:rPr>
                <w:rFonts w:cs="Arial"/>
                <w:color w:val="auto"/>
                <w:lang w:val="it-IT"/>
              </w:rPr>
              <w:t>LPO</w:t>
            </w:r>
          </w:p>
          <w:p w14:paraId="5BA1F7DC" w14:textId="77777777" w:rsidR="00154DB5" w:rsidRPr="00C2021A" w:rsidRDefault="00154DB5" w:rsidP="008120D4">
            <w:pPr>
              <w:spacing w:after="0" w:line="240" w:lineRule="auto"/>
              <w:rPr>
                <w:rFonts w:cs="Arial"/>
                <w:color w:val="auto"/>
                <w:lang w:val="it-IT"/>
              </w:rPr>
            </w:pPr>
            <w:r w:rsidRPr="00C2021A">
              <w:rPr>
                <w:rFonts w:cs="Arial"/>
                <w:color w:val="auto"/>
                <w:lang w:val="it-IT"/>
              </w:rPr>
              <w:t>MGO</w:t>
            </w:r>
          </w:p>
          <w:p w14:paraId="6FAEA410" w14:textId="77777777" w:rsidR="00154DB5" w:rsidRPr="00C2021A" w:rsidRDefault="00154DB5" w:rsidP="008120D4">
            <w:pPr>
              <w:spacing w:after="0" w:line="240" w:lineRule="auto"/>
              <w:rPr>
                <w:rFonts w:cs="Arial"/>
                <w:color w:val="auto"/>
                <w:lang w:val="it-IT"/>
              </w:rPr>
            </w:pPr>
            <w:r w:rsidRPr="00C2021A">
              <w:rPr>
                <w:rFonts w:cs="Arial"/>
                <w:color w:val="auto"/>
                <w:lang w:val="it-IT"/>
              </w:rPr>
              <w:t>IL-6</w:t>
            </w:r>
          </w:p>
          <w:p w14:paraId="19D8DE4B" w14:textId="77777777" w:rsidR="00154DB5" w:rsidRPr="00C2021A" w:rsidRDefault="00154DB5" w:rsidP="008120D4">
            <w:pPr>
              <w:spacing w:after="0" w:line="240" w:lineRule="auto"/>
              <w:rPr>
                <w:rFonts w:cs="Arial"/>
                <w:color w:val="auto"/>
              </w:rPr>
            </w:pPr>
            <w:r w:rsidRPr="00C2021A">
              <w:rPr>
                <w:rFonts w:cs="Arial"/>
                <w:color w:val="auto"/>
                <w:lang w:val="it-IT"/>
              </w:rPr>
              <w:t>CRP</w:t>
            </w:r>
          </w:p>
        </w:tc>
        <w:tc>
          <w:tcPr>
            <w:tcW w:w="3330" w:type="dxa"/>
            <w:shd w:val="clear" w:color="auto" w:fill="auto"/>
            <w:tcMar>
              <w:top w:w="80" w:type="dxa"/>
              <w:left w:w="80" w:type="dxa"/>
              <w:bottom w:w="80" w:type="dxa"/>
              <w:right w:w="80" w:type="dxa"/>
            </w:tcMar>
            <w:vAlign w:val="center"/>
          </w:tcPr>
          <w:p w14:paraId="2FD4AD0D"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(Zhong et al. 2016)</w:t>
            </w:r>
          </w:p>
          <w:p w14:paraId="0CFFA258"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(Zhong et al. 2016)</w:t>
            </w:r>
          </w:p>
          <w:p w14:paraId="4603BC8C"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(Izawa et al. 2013)</w:t>
            </w:r>
          </w:p>
          <w:p w14:paraId="186511A4"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(Izawa et al. 2013)</w:t>
            </w:r>
          </w:p>
        </w:tc>
      </w:tr>
      <w:tr w:rsidR="00C2021A" w:rsidRPr="00C2021A" w14:paraId="0C68F47F" w14:textId="77777777" w:rsidTr="008120D4">
        <w:trPr>
          <w:trHeight w:val="2025"/>
        </w:trPr>
        <w:tc>
          <w:tcPr>
            <w:tcW w:w="2880" w:type="dxa"/>
            <w:shd w:val="clear" w:color="auto" w:fill="auto"/>
            <w:tcMar>
              <w:top w:w="80" w:type="dxa"/>
              <w:left w:w="80" w:type="dxa"/>
              <w:bottom w:w="80" w:type="dxa"/>
              <w:right w:w="80" w:type="dxa"/>
            </w:tcMar>
            <w:vAlign w:val="center"/>
          </w:tcPr>
          <w:p w14:paraId="75A33C64" w14:textId="77777777" w:rsidR="00154DB5" w:rsidRPr="00C2021A" w:rsidRDefault="00154DB5" w:rsidP="008120D4">
            <w:pPr>
              <w:spacing w:after="0" w:line="240" w:lineRule="auto"/>
              <w:rPr>
                <w:rFonts w:cs="Arial"/>
                <w:color w:val="auto"/>
              </w:rPr>
            </w:pPr>
            <w:r w:rsidRPr="00C2021A">
              <w:rPr>
                <w:rFonts w:cs="Arial"/>
                <w:color w:val="auto"/>
              </w:rPr>
              <w:t>Cardiovascular diseases</w:t>
            </w:r>
          </w:p>
        </w:tc>
        <w:tc>
          <w:tcPr>
            <w:tcW w:w="3060" w:type="dxa"/>
            <w:shd w:val="clear" w:color="auto" w:fill="auto"/>
            <w:tcMar>
              <w:top w:w="80" w:type="dxa"/>
              <w:left w:w="80" w:type="dxa"/>
              <w:bottom w:w="80" w:type="dxa"/>
              <w:right w:w="80" w:type="dxa"/>
            </w:tcMar>
            <w:vAlign w:val="center"/>
          </w:tcPr>
          <w:p w14:paraId="1250BE58" w14:textId="77777777" w:rsidR="00154DB5" w:rsidRPr="00C2021A" w:rsidRDefault="00154DB5" w:rsidP="008120D4">
            <w:pPr>
              <w:spacing w:after="0" w:line="240" w:lineRule="auto"/>
              <w:rPr>
                <w:rFonts w:cs="Arial"/>
                <w:color w:val="auto"/>
                <w:lang w:val="it-IT"/>
              </w:rPr>
            </w:pPr>
            <w:r w:rsidRPr="00C2021A">
              <w:rPr>
                <w:rFonts w:cs="Arial"/>
                <w:color w:val="auto"/>
                <w:lang w:val="it-IT"/>
              </w:rPr>
              <w:t>Lysozyme</w:t>
            </w:r>
          </w:p>
          <w:p w14:paraId="3EA2ECBE" w14:textId="77777777" w:rsidR="00154DB5" w:rsidRPr="00C2021A" w:rsidRDefault="00154DB5" w:rsidP="008120D4">
            <w:pPr>
              <w:spacing w:after="0" w:line="240" w:lineRule="auto"/>
              <w:rPr>
                <w:rFonts w:cs="Arial"/>
                <w:color w:val="auto"/>
                <w:lang w:val="it-IT"/>
              </w:rPr>
            </w:pPr>
            <w:r w:rsidRPr="00C2021A">
              <w:rPr>
                <w:rFonts w:cs="Arial"/>
                <w:color w:val="auto"/>
                <w:lang w:val="it-IT"/>
              </w:rPr>
              <w:t>TIMP-1</w:t>
            </w:r>
          </w:p>
          <w:p w14:paraId="0B610666" w14:textId="77777777" w:rsidR="00154DB5" w:rsidRPr="00C2021A" w:rsidRDefault="00154DB5" w:rsidP="008120D4">
            <w:pPr>
              <w:spacing w:after="0" w:line="240" w:lineRule="auto"/>
              <w:rPr>
                <w:rFonts w:cs="Arial"/>
                <w:color w:val="auto"/>
                <w:lang w:val="it-IT"/>
              </w:rPr>
            </w:pPr>
            <w:r w:rsidRPr="00C2021A">
              <w:rPr>
                <w:rFonts w:cs="Arial"/>
                <w:color w:val="auto"/>
                <w:lang w:val="it-IT"/>
              </w:rPr>
              <w:t>TNF-</w:t>
            </w:r>
            <w:r w:rsidRPr="00C2021A">
              <w:rPr>
                <w:rFonts w:cs="Arial"/>
                <w:color w:val="auto"/>
              </w:rPr>
              <w:t>α</w:t>
            </w:r>
          </w:p>
          <w:p w14:paraId="243F3493" w14:textId="77777777" w:rsidR="00154DB5" w:rsidRPr="00C2021A" w:rsidRDefault="00154DB5" w:rsidP="008120D4">
            <w:pPr>
              <w:spacing w:after="0" w:line="240" w:lineRule="auto"/>
              <w:rPr>
                <w:rFonts w:cs="Arial"/>
                <w:color w:val="auto"/>
                <w:lang w:val="it-IT"/>
              </w:rPr>
            </w:pPr>
            <w:r w:rsidRPr="00C2021A">
              <w:rPr>
                <w:rFonts w:cs="Arial"/>
                <w:color w:val="auto"/>
                <w:lang w:val="it-IT"/>
              </w:rPr>
              <w:t>IL-1</w:t>
            </w:r>
            <w:r w:rsidRPr="00C2021A">
              <w:rPr>
                <w:rFonts w:cs="Arial"/>
                <w:color w:val="auto"/>
              </w:rPr>
              <w:t>β</w:t>
            </w:r>
          </w:p>
          <w:p w14:paraId="27D0A3C0" w14:textId="77777777" w:rsidR="00154DB5" w:rsidRPr="00C2021A" w:rsidRDefault="00154DB5" w:rsidP="008120D4">
            <w:pPr>
              <w:spacing w:after="0" w:line="240" w:lineRule="auto"/>
              <w:rPr>
                <w:rFonts w:cs="Arial"/>
                <w:color w:val="auto"/>
                <w:lang w:val="it-IT"/>
              </w:rPr>
            </w:pPr>
            <w:r w:rsidRPr="00C2021A">
              <w:rPr>
                <w:rFonts w:cs="Arial"/>
                <w:color w:val="auto"/>
                <w:lang w:val="it-IT"/>
              </w:rPr>
              <w:t>IL-6</w:t>
            </w:r>
          </w:p>
          <w:p w14:paraId="0A26C702" w14:textId="77777777" w:rsidR="00154DB5" w:rsidRPr="00C2021A" w:rsidRDefault="00154DB5" w:rsidP="008120D4">
            <w:pPr>
              <w:spacing w:after="0" w:line="240" w:lineRule="auto"/>
              <w:rPr>
                <w:rFonts w:cs="Arial"/>
                <w:color w:val="auto"/>
                <w:lang w:val="it-IT"/>
              </w:rPr>
            </w:pPr>
            <w:r w:rsidRPr="00C2021A">
              <w:rPr>
                <w:rFonts w:cs="Arial"/>
                <w:color w:val="auto"/>
                <w:lang w:val="it-IT"/>
              </w:rPr>
              <w:t>IL-8</w:t>
            </w:r>
          </w:p>
          <w:p w14:paraId="0CAD4B6E" w14:textId="77777777" w:rsidR="00154DB5" w:rsidRPr="00C2021A" w:rsidRDefault="00154DB5" w:rsidP="008120D4">
            <w:pPr>
              <w:spacing w:after="0" w:line="240" w:lineRule="auto"/>
              <w:rPr>
                <w:rFonts w:cs="Arial"/>
                <w:color w:val="auto"/>
                <w:lang w:val="it-IT"/>
              </w:rPr>
            </w:pPr>
            <w:r w:rsidRPr="00C2021A">
              <w:rPr>
                <w:rFonts w:cs="Arial"/>
                <w:color w:val="auto"/>
                <w:lang w:val="it-IT"/>
              </w:rPr>
              <w:t>MMP-8</w:t>
            </w:r>
          </w:p>
          <w:p w14:paraId="6F337B2C" w14:textId="77777777" w:rsidR="00154DB5" w:rsidRPr="00C2021A" w:rsidRDefault="00154DB5" w:rsidP="008120D4">
            <w:pPr>
              <w:spacing w:after="0" w:line="240" w:lineRule="auto"/>
              <w:rPr>
                <w:rFonts w:cs="Arial"/>
                <w:color w:val="auto"/>
                <w:lang w:val="it-IT"/>
              </w:rPr>
            </w:pPr>
            <w:r w:rsidRPr="00C2021A">
              <w:rPr>
                <w:rFonts w:cs="Arial"/>
                <w:color w:val="auto"/>
                <w:lang w:val="it-IT"/>
              </w:rPr>
              <w:t>CRP sICAM-1</w:t>
            </w:r>
          </w:p>
          <w:p w14:paraId="25093A60" w14:textId="77777777" w:rsidR="00154DB5" w:rsidRPr="00C2021A" w:rsidRDefault="00154DB5" w:rsidP="008120D4">
            <w:pPr>
              <w:spacing w:after="0" w:line="240" w:lineRule="auto"/>
              <w:rPr>
                <w:rFonts w:cs="Arial"/>
                <w:color w:val="auto"/>
              </w:rPr>
            </w:pPr>
            <w:r w:rsidRPr="00C2021A">
              <w:rPr>
                <w:rFonts w:cs="Arial"/>
                <w:color w:val="auto"/>
              </w:rPr>
              <w:t>ADIP</w:t>
            </w:r>
          </w:p>
          <w:p w14:paraId="6E114439" w14:textId="77777777" w:rsidR="00154DB5" w:rsidRPr="00C2021A" w:rsidRDefault="00154DB5" w:rsidP="008120D4">
            <w:pPr>
              <w:spacing w:after="0" w:line="240" w:lineRule="auto"/>
              <w:rPr>
                <w:rFonts w:cs="Arial"/>
                <w:color w:val="auto"/>
              </w:rPr>
            </w:pPr>
            <w:r w:rsidRPr="00C2021A">
              <w:rPr>
                <w:rFonts w:cs="Arial"/>
                <w:color w:val="auto"/>
              </w:rPr>
              <w:t>Cholesterol</w:t>
            </w:r>
          </w:p>
          <w:p w14:paraId="27732643" w14:textId="77777777" w:rsidR="00154DB5" w:rsidRPr="00C2021A" w:rsidRDefault="00154DB5" w:rsidP="008120D4">
            <w:pPr>
              <w:spacing w:after="0" w:line="240" w:lineRule="auto"/>
              <w:rPr>
                <w:rFonts w:cs="Arial"/>
                <w:color w:val="auto"/>
              </w:rPr>
            </w:pPr>
            <w:proofErr w:type="spellStart"/>
            <w:r w:rsidRPr="00C2021A">
              <w:rPr>
                <w:rFonts w:cs="Arial"/>
                <w:color w:val="auto"/>
              </w:rPr>
              <w:t>cTnI</w:t>
            </w:r>
            <w:proofErr w:type="spellEnd"/>
          </w:p>
          <w:p w14:paraId="078F8D05" w14:textId="77777777" w:rsidR="00154DB5" w:rsidRPr="00C2021A" w:rsidRDefault="00154DB5" w:rsidP="008120D4">
            <w:pPr>
              <w:spacing w:after="0" w:line="240" w:lineRule="auto"/>
              <w:rPr>
                <w:rFonts w:cs="Arial"/>
                <w:color w:val="auto"/>
              </w:rPr>
            </w:pPr>
            <w:r w:rsidRPr="00C2021A">
              <w:rPr>
                <w:rFonts w:cs="Arial"/>
                <w:color w:val="auto"/>
              </w:rPr>
              <w:t>Lactate</w:t>
            </w:r>
          </w:p>
          <w:p w14:paraId="2921A088" w14:textId="77777777" w:rsidR="00154DB5" w:rsidRPr="00C2021A" w:rsidRDefault="00154DB5" w:rsidP="008120D4">
            <w:pPr>
              <w:spacing w:after="0" w:line="240" w:lineRule="auto"/>
              <w:rPr>
                <w:rFonts w:cs="Arial"/>
                <w:color w:val="auto"/>
              </w:rPr>
            </w:pPr>
            <w:r w:rsidRPr="00C2021A">
              <w:rPr>
                <w:rFonts w:cs="Arial"/>
                <w:color w:val="auto"/>
              </w:rPr>
              <w:t>Uric acid</w:t>
            </w:r>
          </w:p>
        </w:tc>
        <w:tc>
          <w:tcPr>
            <w:tcW w:w="3330" w:type="dxa"/>
            <w:shd w:val="clear" w:color="auto" w:fill="auto"/>
            <w:tcMar>
              <w:top w:w="80" w:type="dxa"/>
              <w:left w:w="80" w:type="dxa"/>
              <w:bottom w:w="80" w:type="dxa"/>
              <w:right w:w="80" w:type="dxa"/>
            </w:tcMar>
            <w:vAlign w:val="center"/>
          </w:tcPr>
          <w:p w14:paraId="0A183F3A"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(Mishra et al. 2018)</w:t>
            </w:r>
          </w:p>
          <w:p w14:paraId="5F3E41ED"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(Mishra et al. 2018)</w:t>
            </w:r>
          </w:p>
          <w:p w14:paraId="7274013A"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(Rahim et al. 2015)</w:t>
            </w:r>
          </w:p>
          <w:p w14:paraId="67600FFE"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(Mishra et al. 2018)</w:t>
            </w:r>
          </w:p>
          <w:p w14:paraId="6B528246"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(Mishra et al. 2018)</w:t>
            </w:r>
          </w:p>
          <w:p w14:paraId="575CB30F"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(Mishra et al. 2018)</w:t>
            </w:r>
          </w:p>
          <w:p w14:paraId="1A4E3B91"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(Mishra et al. 2018)</w:t>
            </w:r>
          </w:p>
          <w:p w14:paraId="464FD97B"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(Lazzeri et al. 2015)</w:t>
            </w:r>
          </w:p>
          <w:p w14:paraId="0057192E"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(Lazzeri et al. 2015)</w:t>
            </w:r>
          </w:p>
          <w:p w14:paraId="286DB6DB"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(Lee et al. 2018b)</w:t>
            </w:r>
          </w:p>
          <w:p w14:paraId="140CAB6E"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(Mishra et al. 2018)</w:t>
            </w:r>
          </w:p>
          <w:p w14:paraId="451961D8"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(Segura et al. 1996)</w:t>
            </w:r>
          </w:p>
          <w:p w14:paraId="79CB6EDC"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(Ngamchuea et al. 2018)</w:t>
            </w:r>
          </w:p>
        </w:tc>
      </w:tr>
      <w:tr w:rsidR="00C2021A" w:rsidRPr="00C2021A" w14:paraId="1093A706" w14:textId="77777777" w:rsidTr="008120D4">
        <w:trPr>
          <w:trHeight w:val="17"/>
        </w:trPr>
        <w:tc>
          <w:tcPr>
            <w:tcW w:w="2880" w:type="dxa"/>
            <w:shd w:val="clear" w:color="auto" w:fill="auto"/>
            <w:tcMar>
              <w:top w:w="80" w:type="dxa"/>
              <w:left w:w="80" w:type="dxa"/>
              <w:bottom w:w="80" w:type="dxa"/>
              <w:right w:w="80" w:type="dxa"/>
            </w:tcMar>
            <w:vAlign w:val="center"/>
          </w:tcPr>
          <w:p w14:paraId="3178684E" w14:textId="77777777" w:rsidR="00154DB5" w:rsidRPr="00C2021A" w:rsidRDefault="00154DB5" w:rsidP="008120D4">
            <w:pPr>
              <w:spacing w:after="0" w:line="240" w:lineRule="auto"/>
              <w:rPr>
                <w:rFonts w:cs="Arial"/>
                <w:color w:val="auto"/>
              </w:rPr>
            </w:pPr>
            <w:r w:rsidRPr="00C2021A">
              <w:rPr>
                <w:rFonts w:cs="Arial"/>
                <w:color w:val="auto"/>
              </w:rPr>
              <w:t>Diabetes mellitus</w:t>
            </w:r>
          </w:p>
        </w:tc>
        <w:tc>
          <w:tcPr>
            <w:tcW w:w="3060" w:type="dxa"/>
            <w:shd w:val="clear" w:color="auto" w:fill="auto"/>
            <w:tcMar>
              <w:top w:w="80" w:type="dxa"/>
              <w:left w:w="80" w:type="dxa"/>
              <w:bottom w:w="80" w:type="dxa"/>
              <w:right w:w="80" w:type="dxa"/>
            </w:tcMar>
            <w:vAlign w:val="center"/>
          </w:tcPr>
          <w:p w14:paraId="73464CB4" w14:textId="77777777" w:rsidR="00154DB5" w:rsidRPr="00C2021A" w:rsidRDefault="00154DB5" w:rsidP="008120D4">
            <w:pPr>
              <w:spacing w:after="0" w:line="240" w:lineRule="auto"/>
              <w:rPr>
                <w:rFonts w:cs="Arial"/>
                <w:color w:val="auto"/>
              </w:rPr>
            </w:pPr>
            <w:r w:rsidRPr="00C2021A">
              <w:rPr>
                <w:rFonts w:cs="Arial"/>
                <w:color w:val="auto"/>
              </w:rPr>
              <w:t>Glucose</w:t>
            </w:r>
          </w:p>
          <w:p w14:paraId="6AF98375" w14:textId="77777777" w:rsidR="00154DB5" w:rsidRPr="00C2021A" w:rsidRDefault="00154DB5" w:rsidP="008120D4">
            <w:pPr>
              <w:spacing w:after="0" w:line="240" w:lineRule="auto"/>
              <w:rPr>
                <w:rFonts w:cs="Arial"/>
                <w:color w:val="auto"/>
              </w:rPr>
            </w:pPr>
            <w:r w:rsidRPr="00C2021A">
              <w:rPr>
                <w:rFonts w:cs="Arial"/>
                <w:color w:val="auto"/>
              </w:rPr>
              <w:t>Uric acid</w:t>
            </w:r>
          </w:p>
          <w:p w14:paraId="01351944" w14:textId="77777777" w:rsidR="00154DB5" w:rsidRPr="00C2021A" w:rsidRDefault="00154DB5" w:rsidP="008120D4">
            <w:pPr>
              <w:spacing w:after="0" w:line="240" w:lineRule="auto"/>
              <w:rPr>
                <w:rFonts w:cs="Arial"/>
                <w:color w:val="auto"/>
                <w:lang w:val="it-IT"/>
              </w:rPr>
            </w:pPr>
            <w:r w:rsidRPr="00C2021A">
              <w:rPr>
                <w:rFonts w:cs="Arial"/>
                <w:color w:val="auto"/>
              </w:rPr>
              <w:t>CML</w:t>
            </w:r>
          </w:p>
        </w:tc>
        <w:tc>
          <w:tcPr>
            <w:tcW w:w="3330" w:type="dxa"/>
            <w:shd w:val="clear" w:color="auto" w:fill="auto"/>
            <w:tcMar>
              <w:top w:w="80" w:type="dxa"/>
              <w:left w:w="80" w:type="dxa"/>
              <w:bottom w:w="80" w:type="dxa"/>
              <w:right w:w="80" w:type="dxa"/>
            </w:tcMar>
            <w:vAlign w:val="center"/>
          </w:tcPr>
          <w:p w14:paraId="6D16FF9F" w14:textId="77777777" w:rsidR="00154DB5" w:rsidRPr="00C2021A" w:rsidRDefault="00154DB5" w:rsidP="008120D4">
            <w:pPr>
              <w:spacing w:after="0" w:line="240" w:lineRule="auto"/>
              <w:rPr>
                <w:rFonts w:cs="Arial"/>
                <w:color w:val="auto"/>
              </w:rPr>
            </w:pPr>
            <w:r w:rsidRPr="00C2021A">
              <w:rPr>
                <w:rFonts w:cs="Arial"/>
                <w:noProof/>
                <w:color w:val="auto"/>
              </w:rPr>
              <w:t>(Zhang et al. 2015)</w:t>
            </w:r>
          </w:p>
          <w:p w14:paraId="26596044" w14:textId="77777777" w:rsidR="00154DB5" w:rsidRPr="00C2021A" w:rsidRDefault="00154DB5" w:rsidP="008120D4">
            <w:pPr>
              <w:spacing w:after="0" w:line="240" w:lineRule="auto"/>
              <w:rPr>
                <w:rFonts w:cs="Arial"/>
                <w:color w:val="auto"/>
              </w:rPr>
            </w:pPr>
            <w:r w:rsidRPr="00C2021A">
              <w:rPr>
                <w:rFonts w:cs="Arial"/>
                <w:noProof/>
                <w:color w:val="auto"/>
              </w:rPr>
              <w:t>(Kim et al. 2015)</w:t>
            </w:r>
          </w:p>
          <w:p w14:paraId="4DCEC620"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(Ciui et al. 2019)</w:t>
            </w:r>
          </w:p>
        </w:tc>
      </w:tr>
      <w:tr w:rsidR="00C2021A" w:rsidRPr="00C2021A" w14:paraId="1F08072F" w14:textId="77777777" w:rsidTr="008120D4">
        <w:trPr>
          <w:trHeight w:val="17"/>
        </w:trPr>
        <w:tc>
          <w:tcPr>
            <w:tcW w:w="2880" w:type="dxa"/>
            <w:shd w:val="clear" w:color="auto" w:fill="auto"/>
            <w:tcMar>
              <w:top w:w="80" w:type="dxa"/>
              <w:left w:w="80" w:type="dxa"/>
              <w:bottom w:w="80" w:type="dxa"/>
              <w:right w:w="80" w:type="dxa"/>
            </w:tcMar>
            <w:vAlign w:val="center"/>
          </w:tcPr>
          <w:p w14:paraId="0B7B4C27" w14:textId="77777777" w:rsidR="00154DB5" w:rsidRPr="00C2021A" w:rsidRDefault="00154DB5" w:rsidP="008120D4">
            <w:pPr>
              <w:spacing w:after="0" w:line="240" w:lineRule="auto"/>
              <w:rPr>
                <w:rFonts w:cs="Arial"/>
                <w:color w:val="auto"/>
              </w:rPr>
            </w:pPr>
            <w:r w:rsidRPr="00C2021A">
              <w:rPr>
                <w:rFonts w:cs="Arial"/>
                <w:color w:val="auto"/>
              </w:rPr>
              <w:t>Stress-related chronic diseases</w:t>
            </w:r>
          </w:p>
        </w:tc>
        <w:tc>
          <w:tcPr>
            <w:tcW w:w="3060" w:type="dxa"/>
            <w:shd w:val="clear" w:color="auto" w:fill="auto"/>
            <w:tcMar>
              <w:top w:w="80" w:type="dxa"/>
              <w:left w:w="80" w:type="dxa"/>
              <w:bottom w:w="80" w:type="dxa"/>
              <w:right w:w="80" w:type="dxa"/>
            </w:tcMar>
            <w:vAlign w:val="center"/>
          </w:tcPr>
          <w:p w14:paraId="142525C6" w14:textId="77777777" w:rsidR="00154DB5" w:rsidRPr="00C2021A" w:rsidRDefault="00154DB5" w:rsidP="008120D4">
            <w:pPr>
              <w:spacing w:after="0" w:line="240" w:lineRule="auto"/>
              <w:rPr>
                <w:rFonts w:cs="Arial"/>
                <w:color w:val="auto"/>
              </w:rPr>
            </w:pPr>
            <w:r w:rsidRPr="00C2021A">
              <w:rPr>
                <w:rFonts w:cs="Arial"/>
                <w:color w:val="auto"/>
              </w:rPr>
              <w:t>Cortisol</w:t>
            </w:r>
          </w:p>
          <w:p w14:paraId="7026D9D8" w14:textId="77777777" w:rsidR="00154DB5" w:rsidRPr="00C2021A" w:rsidRDefault="00154DB5" w:rsidP="008120D4">
            <w:pPr>
              <w:spacing w:after="0" w:line="240" w:lineRule="auto"/>
              <w:rPr>
                <w:rFonts w:cs="Arial"/>
                <w:color w:val="auto"/>
              </w:rPr>
            </w:pPr>
            <w:r w:rsidRPr="00C2021A">
              <w:rPr>
                <w:rFonts w:cs="Arial"/>
                <w:color w:val="auto"/>
              </w:rPr>
              <w:t>Lactoferrin</w:t>
            </w:r>
          </w:p>
        </w:tc>
        <w:tc>
          <w:tcPr>
            <w:tcW w:w="3330" w:type="dxa"/>
            <w:shd w:val="clear" w:color="auto" w:fill="auto"/>
            <w:tcMar>
              <w:top w:w="80" w:type="dxa"/>
              <w:left w:w="80" w:type="dxa"/>
              <w:bottom w:w="80" w:type="dxa"/>
              <w:right w:w="80" w:type="dxa"/>
            </w:tcMar>
            <w:vAlign w:val="center"/>
          </w:tcPr>
          <w:p w14:paraId="1D802729" w14:textId="77777777" w:rsidR="00154DB5" w:rsidRPr="00C2021A" w:rsidRDefault="00154DB5" w:rsidP="008120D4">
            <w:pPr>
              <w:spacing w:after="0" w:line="240" w:lineRule="auto"/>
              <w:rPr>
                <w:rFonts w:cs="Arial"/>
                <w:color w:val="auto"/>
              </w:rPr>
            </w:pPr>
            <w:r w:rsidRPr="00C2021A">
              <w:rPr>
                <w:rFonts w:cs="Arial"/>
                <w:noProof/>
                <w:color w:val="auto"/>
              </w:rPr>
              <w:t>(Kim et al. 2017c)</w:t>
            </w:r>
          </w:p>
          <w:p w14:paraId="586B14C1" w14:textId="77777777" w:rsidR="00154DB5" w:rsidRPr="00C2021A" w:rsidRDefault="00154DB5" w:rsidP="008120D4">
            <w:pPr>
              <w:spacing w:after="0" w:line="240" w:lineRule="auto"/>
              <w:rPr>
                <w:rFonts w:cs="Arial"/>
                <w:color w:val="auto"/>
              </w:rPr>
            </w:pPr>
            <w:r w:rsidRPr="00C2021A">
              <w:rPr>
                <w:rFonts w:cs="Arial"/>
                <w:noProof/>
                <w:color w:val="auto"/>
              </w:rPr>
              <w:t>(Napoleon Waszkiewicz 2012)</w:t>
            </w:r>
          </w:p>
        </w:tc>
      </w:tr>
      <w:tr w:rsidR="00C2021A" w:rsidRPr="00C2021A" w14:paraId="36E5B05C" w14:textId="77777777" w:rsidTr="008120D4">
        <w:trPr>
          <w:trHeight w:val="108"/>
        </w:trPr>
        <w:tc>
          <w:tcPr>
            <w:tcW w:w="2880" w:type="dxa"/>
            <w:shd w:val="clear" w:color="auto" w:fill="auto"/>
            <w:tcMar>
              <w:top w:w="80" w:type="dxa"/>
              <w:left w:w="80" w:type="dxa"/>
              <w:bottom w:w="80" w:type="dxa"/>
              <w:right w:w="80" w:type="dxa"/>
            </w:tcMar>
            <w:vAlign w:val="center"/>
          </w:tcPr>
          <w:p w14:paraId="12084C1A" w14:textId="77777777" w:rsidR="00154DB5" w:rsidRPr="00C2021A" w:rsidRDefault="00154DB5" w:rsidP="008120D4">
            <w:pPr>
              <w:spacing w:after="0" w:line="240" w:lineRule="auto"/>
              <w:rPr>
                <w:rFonts w:cs="Arial"/>
                <w:color w:val="auto"/>
              </w:rPr>
            </w:pPr>
            <w:r w:rsidRPr="00C2021A">
              <w:rPr>
                <w:rFonts w:cs="Arial"/>
                <w:color w:val="auto"/>
              </w:rPr>
              <w:t>Alzheimer’s disease</w:t>
            </w:r>
          </w:p>
        </w:tc>
        <w:tc>
          <w:tcPr>
            <w:tcW w:w="3060" w:type="dxa"/>
            <w:shd w:val="clear" w:color="auto" w:fill="auto"/>
            <w:tcMar>
              <w:top w:w="80" w:type="dxa"/>
              <w:left w:w="80" w:type="dxa"/>
              <w:bottom w:w="80" w:type="dxa"/>
              <w:right w:w="80" w:type="dxa"/>
            </w:tcMar>
            <w:vAlign w:val="center"/>
          </w:tcPr>
          <w:p w14:paraId="635C337F" w14:textId="77777777" w:rsidR="00154DB5" w:rsidRPr="00C2021A" w:rsidRDefault="00154DB5" w:rsidP="008120D4">
            <w:pPr>
              <w:spacing w:after="0" w:line="240" w:lineRule="auto"/>
              <w:rPr>
                <w:rFonts w:cs="Arial"/>
                <w:color w:val="auto"/>
              </w:rPr>
            </w:pPr>
            <w:r w:rsidRPr="00C2021A">
              <w:rPr>
                <w:rFonts w:cs="Arial"/>
                <w:color w:val="auto"/>
              </w:rPr>
              <w:t>SPG-1-P ornithine</w:t>
            </w:r>
          </w:p>
          <w:p w14:paraId="633075DD" w14:textId="77777777" w:rsidR="00154DB5" w:rsidRPr="00C2021A" w:rsidRDefault="00154DB5" w:rsidP="008120D4">
            <w:pPr>
              <w:spacing w:after="0" w:line="240" w:lineRule="auto"/>
              <w:rPr>
                <w:rFonts w:cs="Arial"/>
                <w:color w:val="auto"/>
              </w:rPr>
            </w:pPr>
            <w:proofErr w:type="spellStart"/>
            <w:r w:rsidRPr="00C2021A">
              <w:rPr>
                <w:rFonts w:cs="Arial"/>
                <w:color w:val="auto"/>
              </w:rPr>
              <w:t>Phenyllactic</w:t>
            </w:r>
            <w:proofErr w:type="spellEnd"/>
            <w:r w:rsidRPr="00C2021A">
              <w:rPr>
                <w:rFonts w:cs="Arial"/>
                <w:color w:val="auto"/>
              </w:rPr>
              <w:t xml:space="preserve"> acid</w:t>
            </w:r>
          </w:p>
          <w:p w14:paraId="55267A3F" w14:textId="77777777" w:rsidR="00154DB5" w:rsidRPr="00C2021A" w:rsidRDefault="00154DB5" w:rsidP="008120D4">
            <w:pPr>
              <w:spacing w:after="0" w:line="240" w:lineRule="auto"/>
              <w:rPr>
                <w:rFonts w:cs="Arial"/>
                <w:color w:val="auto"/>
              </w:rPr>
            </w:pPr>
            <w:r w:rsidRPr="00C2021A">
              <w:rPr>
                <w:rFonts w:cs="Arial"/>
                <w:color w:val="auto"/>
              </w:rPr>
              <w:t>Aβ42</w:t>
            </w:r>
          </w:p>
        </w:tc>
        <w:tc>
          <w:tcPr>
            <w:tcW w:w="3330" w:type="dxa"/>
            <w:shd w:val="clear" w:color="auto" w:fill="auto"/>
            <w:tcMar>
              <w:top w:w="80" w:type="dxa"/>
              <w:left w:w="80" w:type="dxa"/>
              <w:bottom w:w="80" w:type="dxa"/>
              <w:right w:w="80" w:type="dxa"/>
            </w:tcMar>
            <w:vAlign w:val="center"/>
          </w:tcPr>
          <w:p w14:paraId="402CB05B"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(Zhong et al. 2016)</w:t>
            </w:r>
          </w:p>
          <w:p w14:paraId="0D767B5D" w14:textId="77777777" w:rsidR="00154DB5" w:rsidRPr="00C2021A" w:rsidRDefault="00154DB5" w:rsidP="008120D4">
            <w:pPr>
              <w:spacing w:after="0" w:line="240" w:lineRule="auto"/>
              <w:rPr>
                <w:rFonts w:cs="Arial"/>
                <w:color w:val="auto"/>
                <w:lang w:val="it-IT"/>
              </w:rPr>
            </w:pPr>
            <w:r w:rsidRPr="00C2021A">
              <w:rPr>
                <w:rFonts w:cs="Arial"/>
                <w:noProof/>
                <w:color w:val="auto"/>
                <w:lang w:val="it-IT"/>
              </w:rPr>
              <w:t>(Zhong et al. 2016)</w:t>
            </w:r>
          </w:p>
          <w:p w14:paraId="15674C45" w14:textId="77777777" w:rsidR="00154DB5" w:rsidRPr="00C2021A" w:rsidRDefault="00154DB5" w:rsidP="008120D4">
            <w:pPr>
              <w:spacing w:after="0" w:line="240" w:lineRule="auto"/>
              <w:rPr>
                <w:rFonts w:cs="Arial"/>
                <w:color w:val="auto"/>
                <w:lang w:val="it-IT"/>
              </w:rPr>
            </w:pPr>
            <w:r w:rsidRPr="00C2021A">
              <w:rPr>
                <w:rFonts w:cs="Arial"/>
                <w:noProof/>
                <w:color w:val="auto"/>
              </w:rPr>
              <w:t>(Sabbagh et al. 2018)</w:t>
            </w:r>
          </w:p>
        </w:tc>
      </w:tr>
    </w:tbl>
    <w:p w14:paraId="24AB833A" w14:textId="77777777" w:rsidR="00154DB5" w:rsidRPr="00C2021A" w:rsidRDefault="00154DB5" w:rsidP="00041DBE">
      <w:pPr>
        <w:spacing w:after="0" w:line="240" w:lineRule="auto"/>
        <w:jc w:val="both"/>
        <w:rPr>
          <w:rFonts w:cs="Arial"/>
          <w:color w:val="auto"/>
        </w:rPr>
      </w:pPr>
    </w:p>
    <w:p w14:paraId="62D61EB0" w14:textId="77777777" w:rsidR="00154DB5" w:rsidRPr="00C2021A" w:rsidRDefault="00154DB5" w:rsidP="00041DBE">
      <w:pPr>
        <w:spacing w:after="0" w:line="240" w:lineRule="auto"/>
        <w:jc w:val="both"/>
        <w:rPr>
          <w:rFonts w:cs="Arial"/>
          <w:color w:val="auto"/>
        </w:rPr>
      </w:pPr>
    </w:p>
    <w:p w14:paraId="4B641EE1" w14:textId="7501998E" w:rsidR="008E41DB" w:rsidRPr="00C2021A" w:rsidRDefault="008E41DB">
      <w:pPr>
        <w:pBdr>
          <w:top w:val="none" w:sz="0" w:space="0" w:color="auto"/>
          <w:left w:val="none" w:sz="0" w:space="0" w:color="auto"/>
          <w:bottom w:val="none" w:sz="0" w:space="0" w:color="auto"/>
          <w:right w:val="none" w:sz="0" w:space="0" w:color="auto"/>
          <w:between w:val="none" w:sz="0" w:space="0" w:color="auto"/>
          <w:bar w:val="none" w:sz="0" w:color="auto"/>
        </w:pBdr>
        <w:rPr>
          <w:rFonts w:cs="Arial"/>
          <w:color w:val="auto"/>
        </w:rPr>
      </w:pPr>
      <w:r w:rsidRPr="00C2021A">
        <w:rPr>
          <w:rFonts w:cs="Arial"/>
          <w:color w:val="auto"/>
        </w:rPr>
        <w:br w:type="page"/>
      </w:r>
    </w:p>
    <w:p w14:paraId="7BC32411" w14:textId="77777777" w:rsidR="008E41DB" w:rsidRPr="00C2021A" w:rsidRDefault="008E41DB" w:rsidP="008E41DB">
      <w:pPr>
        <w:spacing w:after="0" w:line="240" w:lineRule="auto"/>
        <w:jc w:val="both"/>
        <w:rPr>
          <w:rFonts w:cs="Arial"/>
          <w:color w:val="auto"/>
        </w:rPr>
      </w:pPr>
      <w:r w:rsidRPr="00C2021A">
        <w:rPr>
          <w:rFonts w:cs="Arial"/>
          <w:b/>
          <w:bCs/>
          <w:color w:val="auto"/>
        </w:rPr>
        <w:lastRenderedPageBreak/>
        <w:t xml:space="preserve">Table 3. </w:t>
      </w:r>
      <w:r w:rsidRPr="00C2021A">
        <w:rPr>
          <w:rFonts w:cs="Arial"/>
          <w:color w:val="auto"/>
        </w:rPr>
        <w:t>Graphene biosensors for the detection of viral and bacterial markers in saliva</w:t>
      </w:r>
    </w:p>
    <w:p w14:paraId="084BA960" w14:textId="77777777" w:rsidR="008E41DB" w:rsidRPr="00C2021A" w:rsidRDefault="008E41DB" w:rsidP="008E41DB">
      <w:pPr>
        <w:spacing w:after="0" w:line="240" w:lineRule="auto"/>
        <w:jc w:val="both"/>
        <w:rPr>
          <w:rFonts w:cs="Arial"/>
          <w:color w:val="auto"/>
        </w:rPr>
      </w:pPr>
    </w:p>
    <w:tbl>
      <w:tblPr>
        <w:tblW w:w="11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DD4E9"/>
        <w:tblLayout w:type="fixed"/>
        <w:tblLook w:val="04A0" w:firstRow="1" w:lastRow="0" w:firstColumn="1" w:lastColumn="0" w:noHBand="0" w:noVBand="1"/>
      </w:tblPr>
      <w:tblGrid>
        <w:gridCol w:w="805"/>
        <w:gridCol w:w="1260"/>
        <w:gridCol w:w="1170"/>
        <w:gridCol w:w="1260"/>
        <w:gridCol w:w="1170"/>
        <w:gridCol w:w="810"/>
        <w:gridCol w:w="900"/>
        <w:gridCol w:w="1170"/>
        <w:gridCol w:w="1170"/>
        <w:gridCol w:w="1350"/>
      </w:tblGrid>
      <w:tr w:rsidR="00C2021A" w:rsidRPr="00C2021A" w14:paraId="3F73E8C7" w14:textId="77777777" w:rsidTr="00483642">
        <w:trPr>
          <w:trHeight w:val="20"/>
          <w:jc w:val="center"/>
        </w:trPr>
        <w:tc>
          <w:tcPr>
            <w:tcW w:w="805" w:type="dxa"/>
            <w:shd w:val="clear" w:color="auto" w:fill="auto"/>
            <w:tcMar>
              <w:top w:w="80" w:type="dxa"/>
              <w:left w:w="80" w:type="dxa"/>
              <w:bottom w:w="80" w:type="dxa"/>
              <w:right w:w="80" w:type="dxa"/>
            </w:tcMar>
            <w:vAlign w:val="center"/>
          </w:tcPr>
          <w:p w14:paraId="59AD6B77"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Biomarker</w:t>
            </w:r>
          </w:p>
        </w:tc>
        <w:tc>
          <w:tcPr>
            <w:tcW w:w="1260" w:type="dxa"/>
            <w:shd w:val="clear" w:color="auto" w:fill="auto"/>
            <w:tcMar>
              <w:top w:w="80" w:type="dxa"/>
              <w:left w:w="80" w:type="dxa"/>
              <w:bottom w:w="80" w:type="dxa"/>
              <w:right w:w="80" w:type="dxa"/>
            </w:tcMar>
            <w:vAlign w:val="center"/>
          </w:tcPr>
          <w:p w14:paraId="6D0098C8"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Sensing Platform</w:t>
            </w:r>
          </w:p>
        </w:tc>
        <w:tc>
          <w:tcPr>
            <w:tcW w:w="1170" w:type="dxa"/>
            <w:shd w:val="clear" w:color="auto" w:fill="auto"/>
            <w:tcMar>
              <w:top w:w="80" w:type="dxa"/>
              <w:left w:w="80" w:type="dxa"/>
              <w:bottom w:w="80" w:type="dxa"/>
              <w:right w:w="80" w:type="dxa"/>
            </w:tcMar>
            <w:vAlign w:val="center"/>
          </w:tcPr>
          <w:p w14:paraId="4AF227B8"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Detection Method</w:t>
            </w:r>
          </w:p>
        </w:tc>
        <w:tc>
          <w:tcPr>
            <w:tcW w:w="1260" w:type="dxa"/>
            <w:shd w:val="clear" w:color="auto" w:fill="auto"/>
            <w:tcMar>
              <w:top w:w="80" w:type="dxa"/>
              <w:left w:w="80" w:type="dxa"/>
              <w:bottom w:w="80" w:type="dxa"/>
              <w:right w:w="80" w:type="dxa"/>
            </w:tcMar>
            <w:vAlign w:val="center"/>
          </w:tcPr>
          <w:p w14:paraId="46EA8972"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LOD</w:t>
            </w:r>
            <w:r w:rsidRPr="00C2021A">
              <w:rPr>
                <w:rFonts w:cs="Arial"/>
                <w:color w:val="auto"/>
                <w:sz w:val="12"/>
                <w:szCs w:val="12"/>
                <w:u w:color="0070C0"/>
                <w:vertAlign w:val="superscript"/>
                <w:lang w:val="it-IT"/>
              </w:rPr>
              <w:t>a</w:t>
            </w:r>
          </w:p>
        </w:tc>
        <w:tc>
          <w:tcPr>
            <w:tcW w:w="1170" w:type="dxa"/>
            <w:shd w:val="clear" w:color="auto" w:fill="auto"/>
            <w:tcMar>
              <w:top w:w="80" w:type="dxa"/>
              <w:left w:w="80" w:type="dxa"/>
              <w:bottom w:w="80" w:type="dxa"/>
              <w:right w:w="80" w:type="dxa"/>
            </w:tcMar>
            <w:vAlign w:val="center"/>
          </w:tcPr>
          <w:p w14:paraId="2EA7BED2"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Detection Range</w:t>
            </w:r>
          </w:p>
        </w:tc>
        <w:tc>
          <w:tcPr>
            <w:tcW w:w="810" w:type="dxa"/>
            <w:shd w:val="clear" w:color="auto" w:fill="auto"/>
            <w:tcMar>
              <w:top w:w="80" w:type="dxa"/>
              <w:left w:w="80" w:type="dxa"/>
              <w:bottom w:w="80" w:type="dxa"/>
              <w:right w:w="80" w:type="dxa"/>
            </w:tcMar>
            <w:vAlign w:val="center"/>
          </w:tcPr>
          <w:p w14:paraId="7450410C" w14:textId="77777777" w:rsidR="008E41DB" w:rsidRPr="00C2021A" w:rsidRDefault="008E41DB" w:rsidP="00483642">
            <w:pPr>
              <w:spacing w:after="0" w:line="240" w:lineRule="auto"/>
              <w:jc w:val="center"/>
              <w:rPr>
                <w:rFonts w:cs="Arial"/>
                <w:color w:val="auto"/>
                <w:sz w:val="12"/>
                <w:szCs w:val="12"/>
              </w:rPr>
            </w:pPr>
            <w:proofErr w:type="spellStart"/>
            <w:r w:rsidRPr="00C2021A">
              <w:rPr>
                <w:rFonts w:cs="Arial"/>
                <w:b/>
                <w:bCs/>
                <w:color w:val="auto"/>
                <w:sz w:val="12"/>
                <w:szCs w:val="12"/>
              </w:rPr>
              <w:t>Recovery</w:t>
            </w:r>
            <w:r w:rsidRPr="00C2021A">
              <w:rPr>
                <w:rFonts w:cs="Arial"/>
                <w:color w:val="auto"/>
                <w:sz w:val="12"/>
                <w:szCs w:val="12"/>
                <w:u w:color="0070C0"/>
                <w:vertAlign w:val="superscript"/>
              </w:rPr>
              <w:t>b</w:t>
            </w:r>
            <w:proofErr w:type="spellEnd"/>
          </w:p>
        </w:tc>
        <w:tc>
          <w:tcPr>
            <w:tcW w:w="900" w:type="dxa"/>
          </w:tcPr>
          <w:p w14:paraId="45DC637E" w14:textId="77777777" w:rsidR="008E41DB" w:rsidRPr="00C2021A" w:rsidRDefault="008E41DB" w:rsidP="00483642">
            <w:pPr>
              <w:spacing w:after="0" w:line="240" w:lineRule="auto"/>
              <w:jc w:val="center"/>
              <w:rPr>
                <w:rFonts w:cs="Arial"/>
                <w:b/>
                <w:bCs/>
                <w:color w:val="auto"/>
                <w:sz w:val="12"/>
                <w:szCs w:val="12"/>
              </w:rPr>
            </w:pPr>
            <w:r w:rsidRPr="00C2021A">
              <w:rPr>
                <w:rFonts w:cs="Arial"/>
                <w:b/>
                <w:bCs/>
                <w:color w:val="auto"/>
                <w:sz w:val="12"/>
                <w:szCs w:val="12"/>
              </w:rPr>
              <w:t>Assay Time</w:t>
            </w:r>
          </w:p>
        </w:tc>
        <w:tc>
          <w:tcPr>
            <w:tcW w:w="1170" w:type="dxa"/>
          </w:tcPr>
          <w:p w14:paraId="32E1B59C" w14:textId="77777777" w:rsidR="008E41DB" w:rsidRPr="00C2021A" w:rsidRDefault="008E41DB" w:rsidP="00483642">
            <w:pPr>
              <w:spacing w:after="0" w:line="240" w:lineRule="auto"/>
              <w:jc w:val="center"/>
              <w:rPr>
                <w:rFonts w:cs="Arial"/>
                <w:b/>
                <w:bCs/>
                <w:color w:val="auto"/>
                <w:sz w:val="12"/>
                <w:szCs w:val="12"/>
              </w:rPr>
            </w:pPr>
            <w:r w:rsidRPr="00C2021A">
              <w:rPr>
                <w:rFonts w:cs="Arial"/>
                <w:b/>
                <w:bCs/>
                <w:color w:val="auto"/>
                <w:sz w:val="12"/>
                <w:szCs w:val="12"/>
              </w:rPr>
              <w:t>Sample Volume</w:t>
            </w:r>
          </w:p>
        </w:tc>
        <w:tc>
          <w:tcPr>
            <w:tcW w:w="1170" w:type="dxa"/>
          </w:tcPr>
          <w:p w14:paraId="1800FD89" w14:textId="77777777" w:rsidR="008E41DB" w:rsidRPr="00C2021A" w:rsidRDefault="008E41DB" w:rsidP="00483642">
            <w:pPr>
              <w:spacing w:after="0" w:line="240" w:lineRule="auto"/>
              <w:jc w:val="center"/>
              <w:rPr>
                <w:rFonts w:cs="Arial"/>
                <w:b/>
                <w:bCs/>
                <w:color w:val="auto"/>
                <w:sz w:val="12"/>
                <w:szCs w:val="12"/>
              </w:rPr>
            </w:pPr>
            <w:r w:rsidRPr="00C2021A">
              <w:rPr>
                <w:rFonts w:cs="Arial"/>
                <w:b/>
                <w:bCs/>
                <w:color w:val="auto"/>
                <w:sz w:val="12"/>
                <w:szCs w:val="12"/>
              </w:rPr>
              <w:t>Preparation</w:t>
            </w:r>
          </w:p>
        </w:tc>
        <w:tc>
          <w:tcPr>
            <w:tcW w:w="1350" w:type="dxa"/>
            <w:shd w:val="clear" w:color="auto" w:fill="auto"/>
            <w:tcMar>
              <w:top w:w="80" w:type="dxa"/>
              <w:left w:w="80" w:type="dxa"/>
              <w:bottom w:w="80" w:type="dxa"/>
              <w:right w:w="80" w:type="dxa"/>
            </w:tcMar>
            <w:vAlign w:val="center"/>
          </w:tcPr>
          <w:p w14:paraId="790B3EC4"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Reference</w:t>
            </w:r>
          </w:p>
        </w:tc>
      </w:tr>
      <w:tr w:rsidR="00C2021A" w:rsidRPr="00C2021A" w14:paraId="4C2DBEA9" w14:textId="77777777" w:rsidTr="00483642">
        <w:trPr>
          <w:trHeight w:val="126"/>
          <w:jc w:val="center"/>
        </w:trPr>
        <w:tc>
          <w:tcPr>
            <w:tcW w:w="805" w:type="dxa"/>
            <w:shd w:val="clear" w:color="auto" w:fill="auto"/>
            <w:tcMar>
              <w:top w:w="80" w:type="dxa"/>
              <w:left w:w="80" w:type="dxa"/>
              <w:bottom w:w="80" w:type="dxa"/>
              <w:right w:w="80" w:type="dxa"/>
            </w:tcMar>
          </w:tcPr>
          <w:p w14:paraId="5CB5F2A2"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H. Pylori</w:t>
            </w:r>
          </w:p>
        </w:tc>
        <w:tc>
          <w:tcPr>
            <w:tcW w:w="1260" w:type="dxa"/>
            <w:shd w:val="clear" w:color="auto" w:fill="auto"/>
            <w:tcMar>
              <w:top w:w="80" w:type="dxa"/>
              <w:left w:w="80" w:type="dxa"/>
              <w:bottom w:w="80" w:type="dxa"/>
              <w:right w:w="80" w:type="dxa"/>
            </w:tcMar>
          </w:tcPr>
          <w:p w14:paraId="4B2A109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Graphene on Au/Silk</w:t>
            </w:r>
          </w:p>
        </w:tc>
        <w:tc>
          <w:tcPr>
            <w:tcW w:w="1170" w:type="dxa"/>
            <w:shd w:val="clear" w:color="auto" w:fill="auto"/>
            <w:tcMar>
              <w:top w:w="80" w:type="dxa"/>
              <w:left w:w="80" w:type="dxa"/>
              <w:bottom w:w="80" w:type="dxa"/>
              <w:right w:w="80" w:type="dxa"/>
            </w:tcMar>
          </w:tcPr>
          <w:p w14:paraId="27CC0FC2"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Chemi</w:t>
            </w:r>
            <w:proofErr w:type="spellEnd"/>
            <w:r w:rsidRPr="00C2021A">
              <w:rPr>
                <w:rFonts w:cs="Arial"/>
                <w:color w:val="auto"/>
                <w:sz w:val="12"/>
                <w:szCs w:val="12"/>
              </w:rPr>
              <w:t>-resistive</w:t>
            </w:r>
          </w:p>
        </w:tc>
        <w:tc>
          <w:tcPr>
            <w:tcW w:w="1260" w:type="dxa"/>
            <w:shd w:val="clear" w:color="auto" w:fill="auto"/>
            <w:tcMar>
              <w:top w:w="80" w:type="dxa"/>
              <w:left w:w="80" w:type="dxa"/>
              <w:bottom w:w="80" w:type="dxa"/>
              <w:right w:w="80" w:type="dxa"/>
            </w:tcMar>
          </w:tcPr>
          <w:p w14:paraId="5A854C35"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100 cells</w:t>
            </w:r>
          </w:p>
        </w:tc>
        <w:tc>
          <w:tcPr>
            <w:tcW w:w="1170" w:type="dxa"/>
            <w:shd w:val="clear" w:color="auto" w:fill="auto"/>
            <w:tcMar>
              <w:top w:w="80" w:type="dxa"/>
              <w:left w:w="80" w:type="dxa"/>
              <w:bottom w:w="80" w:type="dxa"/>
              <w:right w:w="80" w:type="dxa"/>
            </w:tcMar>
          </w:tcPr>
          <w:p w14:paraId="46C97913"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10</w:t>
            </w:r>
            <w:r w:rsidRPr="00C2021A">
              <w:rPr>
                <w:rFonts w:cs="Arial"/>
                <w:color w:val="auto"/>
                <w:sz w:val="12"/>
                <w:szCs w:val="12"/>
                <w:vertAlign w:val="superscript"/>
              </w:rPr>
              <w:t xml:space="preserve">2 </w:t>
            </w:r>
            <w:r w:rsidRPr="00C2021A">
              <w:rPr>
                <w:rFonts w:cs="Arial"/>
                <w:color w:val="auto"/>
                <w:sz w:val="12"/>
                <w:szCs w:val="12"/>
              </w:rPr>
              <w:t>- 10</w:t>
            </w:r>
            <w:r w:rsidRPr="00C2021A">
              <w:rPr>
                <w:rFonts w:cs="Arial"/>
                <w:color w:val="auto"/>
                <w:sz w:val="12"/>
                <w:szCs w:val="12"/>
                <w:vertAlign w:val="superscript"/>
              </w:rPr>
              <w:t>6</w:t>
            </w:r>
            <w:r w:rsidRPr="00C2021A">
              <w:rPr>
                <w:rFonts w:cs="Arial"/>
                <w:color w:val="auto"/>
                <w:sz w:val="12"/>
                <w:szCs w:val="12"/>
              </w:rPr>
              <w:t xml:space="preserve"> cells</w:t>
            </w:r>
          </w:p>
        </w:tc>
        <w:tc>
          <w:tcPr>
            <w:tcW w:w="810" w:type="dxa"/>
            <w:shd w:val="clear" w:color="auto" w:fill="auto"/>
            <w:tcMar>
              <w:top w:w="80" w:type="dxa"/>
              <w:left w:w="80" w:type="dxa"/>
              <w:bottom w:w="80" w:type="dxa"/>
              <w:right w:w="80" w:type="dxa"/>
            </w:tcMar>
          </w:tcPr>
          <w:p w14:paraId="3A36B65A"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N/A</w:t>
            </w:r>
          </w:p>
        </w:tc>
        <w:tc>
          <w:tcPr>
            <w:tcW w:w="900" w:type="dxa"/>
          </w:tcPr>
          <w:p w14:paraId="5FFE7C7A"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10 min</w:t>
            </w:r>
          </w:p>
        </w:tc>
        <w:tc>
          <w:tcPr>
            <w:tcW w:w="1170" w:type="dxa"/>
          </w:tcPr>
          <w:p w14:paraId="40FA2FBC"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 µL</w:t>
            </w:r>
          </w:p>
        </w:tc>
        <w:tc>
          <w:tcPr>
            <w:tcW w:w="1170" w:type="dxa"/>
          </w:tcPr>
          <w:p w14:paraId="590609D9"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Whole saliva</w:t>
            </w:r>
          </w:p>
        </w:tc>
        <w:tc>
          <w:tcPr>
            <w:tcW w:w="1350" w:type="dxa"/>
            <w:shd w:val="clear" w:color="auto" w:fill="auto"/>
            <w:tcMar>
              <w:top w:w="80" w:type="dxa"/>
              <w:left w:w="80" w:type="dxa"/>
              <w:bottom w:w="80" w:type="dxa"/>
              <w:right w:w="80" w:type="dxa"/>
            </w:tcMar>
          </w:tcPr>
          <w:p w14:paraId="57B4BFC5"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(Mannoor et al. 2012)</w:t>
            </w:r>
          </w:p>
        </w:tc>
      </w:tr>
      <w:tr w:rsidR="00C2021A" w:rsidRPr="00C2021A" w14:paraId="1D8FC5F3" w14:textId="77777777" w:rsidTr="00483642">
        <w:trPr>
          <w:trHeight w:val="180"/>
          <w:jc w:val="center"/>
        </w:trPr>
        <w:tc>
          <w:tcPr>
            <w:tcW w:w="805" w:type="dxa"/>
            <w:shd w:val="clear" w:color="auto" w:fill="auto"/>
            <w:tcMar>
              <w:top w:w="80" w:type="dxa"/>
              <w:left w:w="80" w:type="dxa"/>
              <w:bottom w:w="80" w:type="dxa"/>
              <w:right w:w="80" w:type="dxa"/>
            </w:tcMar>
          </w:tcPr>
          <w:p w14:paraId="11F827E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HPV-16 L1</w:t>
            </w:r>
          </w:p>
          <w:p w14:paraId="782049FE" w14:textId="77777777" w:rsidR="008E41DB" w:rsidRPr="00C2021A" w:rsidRDefault="008E41DB" w:rsidP="00483642">
            <w:pPr>
              <w:spacing w:after="0" w:line="240" w:lineRule="auto"/>
              <w:rPr>
                <w:rFonts w:cs="Arial"/>
                <w:color w:val="auto"/>
                <w:sz w:val="12"/>
                <w:szCs w:val="12"/>
              </w:rPr>
            </w:pPr>
          </w:p>
        </w:tc>
        <w:tc>
          <w:tcPr>
            <w:tcW w:w="1260" w:type="dxa"/>
            <w:shd w:val="clear" w:color="auto" w:fill="auto"/>
            <w:tcMar>
              <w:top w:w="80" w:type="dxa"/>
              <w:left w:w="80" w:type="dxa"/>
              <w:bottom w:w="80" w:type="dxa"/>
              <w:right w:w="80" w:type="dxa"/>
            </w:tcMar>
          </w:tcPr>
          <w:p w14:paraId="09C39D7F"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rGO</w:t>
            </w:r>
            <w:proofErr w:type="spellEnd"/>
            <w:r w:rsidRPr="00C2021A">
              <w:rPr>
                <w:rFonts w:cs="Arial"/>
                <w:color w:val="auto"/>
                <w:sz w:val="12"/>
                <w:szCs w:val="12"/>
              </w:rPr>
              <w:t>/MoS</w:t>
            </w:r>
            <w:r w:rsidRPr="00C2021A">
              <w:rPr>
                <w:rFonts w:cs="Arial"/>
                <w:color w:val="auto"/>
                <w:sz w:val="12"/>
                <w:szCs w:val="12"/>
                <w:vertAlign w:val="subscript"/>
              </w:rPr>
              <w:t>2</w:t>
            </w:r>
            <w:r w:rsidRPr="00C2021A">
              <w:rPr>
                <w:rFonts w:cs="Arial"/>
                <w:color w:val="auto"/>
                <w:sz w:val="12"/>
                <w:szCs w:val="12"/>
              </w:rPr>
              <w:t>/GCE</w:t>
            </w:r>
          </w:p>
        </w:tc>
        <w:tc>
          <w:tcPr>
            <w:tcW w:w="1170" w:type="dxa"/>
            <w:shd w:val="clear" w:color="auto" w:fill="auto"/>
            <w:tcMar>
              <w:top w:w="80" w:type="dxa"/>
              <w:left w:w="80" w:type="dxa"/>
              <w:bottom w:w="80" w:type="dxa"/>
              <w:right w:w="80" w:type="dxa"/>
            </w:tcMar>
          </w:tcPr>
          <w:p w14:paraId="307DCD4E"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DPV</w:t>
            </w:r>
          </w:p>
        </w:tc>
        <w:tc>
          <w:tcPr>
            <w:tcW w:w="1260" w:type="dxa"/>
            <w:shd w:val="clear" w:color="auto" w:fill="auto"/>
            <w:tcMar>
              <w:top w:w="80" w:type="dxa"/>
              <w:left w:w="80" w:type="dxa"/>
              <w:bottom w:w="80" w:type="dxa"/>
              <w:right w:w="80" w:type="dxa"/>
            </w:tcMar>
          </w:tcPr>
          <w:p w14:paraId="6539FDB4"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0.1 ng/mL (1.75 </w:t>
            </w:r>
            <w:proofErr w:type="spellStart"/>
            <w:r w:rsidRPr="00C2021A">
              <w:rPr>
                <w:rFonts w:cs="Arial"/>
                <w:color w:val="auto"/>
                <w:sz w:val="12"/>
                <w:szCs w:val="12"/>
              </w:rPr>
              <w:t>pM</w:t>
            </w:r>
            <w:proofErr w:type="spellEnd"/>
            <w:r w:rsidRPr="00C2021A">
              <w:rPr>
                <w:rFonts w:cs="Arial"/>
                <w:color w:val="auto"/>
                <w:sz w:val="12"/>
                <w:szCs w:val="12"/>
              </w:rPr>
              <w:t>)</w:t>
            </w:r>
          </w:p>
        </w:tc>
        <w:tc>
          <w:tcPr>
            <w:tcW w:w="1170" w:type="dxa"/>
            <w:shd w:val="clear" w:color="auto" w:fill="auto"/>
            <w:tcMar>
              <w:top w:w="80" w:type="dxa"/>
              <w:left w:w="80" w:type="dxa"/>
              <w:bottom w:w="80" w:type="dxa"/>
              <w:right w:w="80" w:type="dxa"/>
            </w:tcMar>
          </w:tcPr>
          <w:p w14:paraId="7CC6D075"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0.2 - 2 ng/mL </w:t>
            </w:r>
          </w:p>
          <w:p w14:paraId="7238122F"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(5.3 - 35.3 </w:t>
            </w:r>
            <w:proofErr w:type="spellStart"/>
            <w:r w:rsidRPr="00C2021A">
              <w:rPr>
                <w:rFonts w:cs="Arial"/>
                <w:color w:val="auto"/>
                <w:sz w:val="12"/>
                <w:szCs w:val="12"/>
              </w:rPr>
              <w:t>pM</w:t>
            </w:r>
            <w:proofErr w:type="spellEnd"/>
            <w:r w:rsidRPr="00C2021A">
              <w:rPr>
                <w:rFonts w:cs="Arial"/>
                <w:color w:val="auto"/>
                <w:sz w:val="12"/>
                <w:szCs w:val="12"/>
              </w:rPr>
              <w:t>)</w:t>
            </w:r>
          </w:p>
        </w:tc>
        <w:tc>
          <w:tcPr>
            <w:tcW w:w="810" w:type="dxa"/>
            <w:shd w:val="clear" w:color="auto" w:fill="auto"/>
            <w:tcMar>
              <w:top w:w="80" w:type="dxa"/>
              <w:left w:w="80" w:type="dxa"/>
              <w:bottom w:w="80" w:type="dxa"/>
              <w:right w:w="80" w:type="dxa"/>
            </w:tcMar>
          </w:tcPr>
          <w:p w14:paraId="6C1E94AD"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97.1-105.3%</w:t>
            </w:r>
          </w:p>
        </w:tc>
        <w:tc>
          <w:tcPr>
            <w:tcW w:w="900" w:type="dxa"/>
          </w:tcPr>
          <w:p w14:paraId="6C3A9792"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1ED5BD71"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08D16634"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Whole saliva</w:t>
            </w:r>
          </w:p>
        </w:tc>
        <w:tc>
          <w:tcPr>
            <w:tcW w:w="1350" w:type="dxa"/>
            <w:shd w:val="clear" w:color="auto" w:fill="auto"/>
            <w:tcMar>
              <w:top w:w="80" w:type="dxa"/>
              <w:left w:w="80" w:type="dxa"/>
              <w:bottom w:w="80" w:type="dxa"/>
              <w:right w:w="80" w:type="dxa"/>
            </w:tcMar>
          </w:tcPr>
          <w:p w14:paraId="644A9DAC"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(Chekin et al. 2018a)</w:t>
            </w:r>
          </w:p>
        </w:tc>
      </w:tr>
      <w:tr w:rsidR="00C2021A" w:rsidRPr="00C2021A" w14:paraId="20315E13" w14:textId="77777777" w:rsidTr="00483642">
        <w:trPr>
          <w:trHeight w:val="17"/>
          <w:jc w:val="center"/>
        </w:trPr>
        <w:tc>
          <w:tcPr>
            <w:tcW w:w="805" w:type="dxa"/>
            <w:shd w:val="clear" w:color="auto" w:fill="auto"/>
            <w:tcMar>
              <w:top w:w="80" w:type="dxa"/>
              <w:left w:w="80" w:type="dxa"/>
              <w:bottom w:w="80" w:type="dxa"/>
              <w:right w:w="80" w:type="dxa"/>
            </w:tcMar>
          </w:tcPr>
          <w:p w14:paraId="2FA9B56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H1N1</w:t>
            </w:r>
          </w:p>
          <w:p w14:paraId="1CA1C847" w14:textId="77777777" w:rsidR="008E41DB" w:rsidRPr="00C2021A" w:rsidRDefault="008E41DB" w:rsidP="00483642">
            <w:pPr>
              <w:spacing w:after="0" w:line="240" w:lineRule="auto"/>
              <w:rPr>
                <w:rFonts w:cs="Arial"/>
                <w:color w:val="auto"/>
                <w:sz w:val="12"/>
                <w:szCs w:val="12"/>
              </w:rPr>
            </w:pPr>
          </w:p>
        </w:tc>
        <w:tc>
          <w:tcPr>
            <w:tcW w:w="1260" w:type="dxa"/>
            <w:shd w:val="clear" w:color="auto" w:fill="auto"/>
            <w:tcMar>
              <w:top w:w="80" w:type="dxa"/>
              <w:left w:w="80" w:type="dxa"/>
              <w:bottom w:w="80" w:type="dxa"/>
              <w:right w:w="80" w:type="dxa"/>
            </w:tcMar>
          </w:tcPr>
          <w:p w14:paraId="058D0FAF"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Shellac-derived </w:t>
            </w:r>
            <w:proofErr w:type="spellStart"/>
            <w:r w:rsidRPr="00C2021A">
              <w:rPr>
                <w:rFonts w:cs="Arial"/>
                <w:color w:val="auto"/>
                <w:sz w:val="12"/>
                <w:szCs w:val="12"/>
              </w:rPr>
              <w:t>TrGO</w:t>
            </w:r>
            <w:proofErr w:type="spellEnd"/>
            <w:r w:rsidRPr="00C2021A">
              <w:rPr>
                <w:rFonts w:cs="Arial"/>
                <w:color w:val="auto"/>
                <w:sz w:val="12"/>
                <w:szCs w:val="12"/>
              </w:rPr>
              <w:t>/ITO/glass</w:t>
            </w:r>
          </w:p>
        </w:tc>
        <w:tc>
          <w:tcPr>
            <w:tcW w:w="1170" w:type="dxa"/>
            <w:shd w:val="clear" w:color="auto" w:fill="auto"/>
            <w:tcMar>
              <w:top w:w="80" w:type="dxa"/>
              <w:left w:w="80" w:type="dxa"/>
              <w:bottom w:w="80" w:type="dxa"/>
              <w:right w:w="80" w:type="dxa"/>
            </w:tcMar>
          </w:tcPr>
          <w:p w14:paraId="0F9F4F6B"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EIS</w:t>
            </w:r>
          </w:p>
        </w:tc>
        <w:tc>
          <w:tcPr>
            <w:tcW w:w="1260" w:type="dxa"/>
            <w:shd w:val="clear" w:color="auto" w:fill="auto"/>
            <w:tcMar>
              <w:top w:w="80" w:type="dxa"/>
              <w:left w:w="80" w:type="dxa"/>
              <w:bottom w:w="80" w:type="dxa"/>
              <w:right w:w="80" w:type="dxa"/>
            </w:tcMar>
          </w:tcPr>
          <w:p w14:paraId="6DB6811A"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33.11 PFU/</w:t>
            </w:r>
            <w:proofErr w:type="spellStart"/>
            <w:r w:rsidRPr="00C2021A">
              <w:rPr>
                <w:rFonts w:cs="Arial"/>
                <w:color w:val="auto"/>
                <w:sz w:val="12"/>
                <w:szCs w:val="12"/>
              </w:rPr>
              <w:t>mL</w:t>
            </w:r>
            <w:r w:rsidRPr="00C2021A">
              <w:rPr>
                <w:rFonts w:cs="Arial"/>
                <w:color w:val="auto"/>
                <w:sz w:val="12"/>
                <w:szCs w:val="12"/>
                <w:u w:color="0070C0"/>
                <w:vertAlign w:val="superscript"/>
              </w:rPr>
              <w:t>c</w:t>
            </w:r>
            <w:proofErr w:type="spellEnd"/>
            <w:r w:rsidRPr="00C2021A">
              <w:rPr>
                <w:rFonts w:cs="Arial"/>
                <w:color w:val="auto"/>
                <w:sz w:val="12"/>
                <w:szCs w:val="12"/>
              </w:rPr>
              <w:t xml:space="preserve"> </w:t>
            </w:r>
          </w:p>
          <w:p w14:paraId="0D83BC5B"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26.04 PFU/</w:t>
            </w:r>
            <w:proofErr w:type="spellStart"/>
            <w:r w:rsidRPr="00C2021A">
              <w:rPr>
                <w:rFonts w:cs="Arial"/>
                <w:color w:val="auto"/>
                <w:sz w:val="12"/>
                <w:szCs w:val="12"/>
              </w:rPr>
              <w:t>mL</w:t>
            </w:r>
            <w:r w:rsidRPr="00C2021A">
              <w:rPr>
                <w:rFonts w:cs="Arial"/>
                <w:color w:val="auto"/>
                <w:sz w:val="12"/>
                <w:szCs w:val="12"/>
                <w:u w:color="0070C0"/>
                <w:vertAlign w:val="superscript"/>
              </w:rPr>
              <w:t>d</w:t>
            </w:r>
            <w:proofErr w:type="spellEnd"/>
          </w:p>
        </w:tc>
        <w:tc>
          <w:tcPr>
            <w:tcW w:w="1170" w:type="dxa"/>
            <w:shd w:val="clear" w:color="auto" w:fill="auto"/>
            <w:tcMar>
              <w:top w:w="80" w:type="dxa"/>
              <w:left w:w="80" w:type="dxa"/>
              <w:bottom w:w="80" w:type="dxa"/>
              <w:right w:w="80" w:type="dxa"/>
            </w:tcMar>
          </w:tcPr>
          <w:p w14:paraId="11DDB6EB"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0 - 10000 PFU/mL</w:t>
            </w:r>
          </w:p>
        </w:tc>
        <w:tc>
          <w:tcPr>
            <w:tcW w:w="810" w:type="dxa"/>
            <w:shd w:val="clear" w:color="auto" w:fill="auto"/>
            <w:tcMar>
              <w:top w:w="80" w:type="dxa"/>
              <w:left w:w="80" w:type="dxa"/>
              <w:bottom w:w="80" w:type="dxa"/>
              <w:right w:w="80" w:type="dxa"/>
            </w:tcMar>
          </w:tcPr>
          <w:p w14:paraId="01BF1045"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N/A</w:t>
            </w:r>
          </w:p>
        </w:tc>
        <w:tc>
          <w:tcPr>
            <w:tcW w:w="900" w:type="dxa"/>
          </w:tcPr>
          <w:p w14:paraId="19DFD1B4"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3A7CA76E"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5B300AEA"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80% v/v dilution with 1 x PBS</w:t>
            </w:r>
          </w:p>
        </w:tc>
        <w:tc>
          <w:tcPr>
            <w:tcW w:w="1350" w:type="dxa"/>
            <w:shd w:val="clear" w:color="auto" w:fill="auto"/>
            <w:tcMar>
              <w:top w:w="80" w:type="dxa"/>
              <w:left w:w="80" w:type="dxa"/>
              <w:bottom w:w="80" w:type="dxa"/>
              <w:right w:w="80" w:type="dxa"/>
            </w:tcMar>
          </w:tcPr>
          <w:p w14:paraId="5D1F98AF"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(Joshi et al. 2020)</w:t>
            </w:r>
          </w:p>
        </w:tc>
      </w:tr>
      <w:tr w:rsidR="00C2021A" w:rsidRPr="00C2021A" w14:paraId="46F4FE69" w14:textId="77777777" w:rsidTr="00483642">
        <w:trPr>
          <w:trHeight w:val="17"/>
          <w:jc w:val="center"/>
        </w:trPr>
        <w:tc>
          <w:tcPr>
            <w:tcW w:w="805" w:type="dxa"/>
            <w:shd w:val="clear" w:color="auto" w:fill="auto"/>
            <w:tcMar>
              <w:top w:w="80" w:type="dxa"/>
              <w:left w:w="80" w:type="dxa"/>
              <w:bottom w:w="80" w:type="dxa"/>
              <w:right w:w="80" w:type="dxa"/>
            </w:tcMar>
          </w:tcPr>
          <w:p w14:paraId="20F2B2FB"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Lysozyme</w:t>
            </w:r>
          </w:p>
        </w:tc>
        <w:tc>
          <w:tcPr>
            <w:tcW w:w="1260" w:type="dxa"/>
            <w:shd w:val="clear" w:color="auto" w:fill="auto"/>
            <w:tcMar>
              <w:top w:w="80" w:type="dxa"/>
              <w:left w:w="80" w:type="dxa"/>
              <w:bottom w:w="80" w:type="dxa"/>
              <w:right w:w="80" w:type="dxa"/>
            </w:tcMar>
          </w:tcPr>
          <w:p w14:paraId="19C903E1"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LBA-GR/GCE</w:t>
            </w:r>
          </w:p>
        </w:tc>
        <w:tc>
          <w:tcPr>
            <w:tcW w:w="1170" w:type="dxa"/>
            <w:shd w:val="clear" w:color="auto" w:fill="auto"/>
            <w:tcMar>
              <w:top w:w="80" w:type="dxa"/>
              <w:left w:w="80" w:type="dxa"/>
              <w:bottom w:w="80" w:type="dxa"/>
              <w:right w:w="80" w:type="dxa"/>
            </w:tcMar>
          </w:tcPr>
          <w:p w14:paraId="4FA68729"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EIS</w:t>
            </w:r>
          </w:p>
        </w:tc>
        <w:tc>
          <w:tcPr>
            <w:tcW w:w="1260" w:type="dxa"/>
            <w:shd w:val="clear" w:color="auto" w:fill="auto"/>
            <w:tcMar>
              <w:top w:w="80" w:type="dxa"/>
              <w:left w:w="80" w:type="dxa"/>
              <w:bottom w:w="80" w:type="dxa"/>
              <w:right w:w="80" w:type="dxa"/>
            </w:tcMar>
          </w:tcPr>
          <w:p w14:paraId="429C011E"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6 </w:t>
            </w:r>
            <w:proofErr w:type="spellStart"/>
            <w:r w:rsidRPr="00C2021A">
              <w:rPr>
                <w:rFonts w:cs="Arial"/>
                <w:color w:val="auto"/>
                <w:sz w:val="12"/>
                <w:szCs w:val="12"/>
              </w:rPr>
              <w:t>fmol</w:t>
            </w:r>
            <w:proofErr w:type="spellEnd"/>
            <w:r w:rsidRPr="00C2021A">
              <w:rPr>
                <w:rFonts w:cs="Arial"/>
                <w:color w:val="auto"/>
                <w:sz w:val="12"/>
                <w:szCs w:val="12"/>
              </w:rPr>
              <w:t>/L</w:t>
            </w:r>
          </w:p>
        </w:tc>
        <w:tc>
          <w:tcPr>
            <w:tcW w:w="1170" w:type="dxa"/>
            <w:shd w:val="clear" w:color="auto" w:fill="auto"/>
            <w:tcMar>
              <w:top w:w="80" w:type="dxa"/>
              <w:left w:w="80" w:type="dxa"/>
              <w:bottom w:w="80" w:type="dxa"/>
              <w:right w:w="80" w:type="dxa"/>
            </w:tcMar>
          </w:tcPr>
          <w:p w14:paraId="75E3B1D7"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0.01 - 0.5 </w:t>
            </w:r>
            <w:proofErr w:type="spellStart"/>
            <w:r w:rsidRPr="00C2021A">
              <w:rPr>
                <w:rFonts w:cs="Arial"/>
                <w:color w:val="auto"/>
                <w:sz w:val="12"/>
                <w:szCs w:val="12"/>
              </w:rPr>
              <w:t>pmol</w:t>
            </w:r>
            <w:proofErr w:type="spellEnd"/>
            <w:r w:rsidRPr="00C2021A">
              <w:rPr>
                <w:rFonts w:cs="Arial"/>
                <w:color w:val="auto"/>
                <w:sz w:val="12"/>
                <w:szCs w:val="12"/>
              </w:rPr>
              <w:t>/L</w:t>
            </w:r>
          </w:p>
        </w:tc>
        <w:tc>
          <w:tcPr>
            <w:tcW w:w="810" w:type="dxa"/>
            <w:shd w:val="clear" w:color="auto" w:fill="auto"/>
            <w:tcMar>
              <w:top w:w="80" w:type="dxa"/>
              <w:left w:w="80" w:type="dxa"/>
              <w:bottom w:w="80" w:type="dxa"/>
              <w:right w:w="80" w:type="dxa"/>
            </w:tcMar>
          </w:tcPr>
          <w:p w14:paraId="3B2A6C0F"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N/A</w:t>
            </w:r>
          </w:p>
        </w:tc>
        <w:tc>
          <w:tcPr>
            <w:tcW w:w="900" w:type="dxa"/>
          </w:tcPr>
          <w:p w14:paraId="6580451A"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04E7E57E"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4F5BCD97"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Diluted</w:t>
            </w:r>
          </w:p>
        </w:tc>
        <w:tc>
          <w:tcPr>
            <w:tcW w:w="1350" w:type="dxa"/>
            <w:shd w:val="clear" w:color="auto" w:fill="auto"/>
            <w:tcMar>
              <w:top w:w="80" w:type="dxa"/>
              <w:left w:w="80" w:type="dxa"/>
              <w:bottom w:w="80" w:type="dxa"/>
              <w:right w:w="80" w:type="dxa"/>
            </w:tcMar>
          </w:tcPr>
          <w:p w14:paraId="0FEB0A40"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(Xiao et al. 2013)</w:t>
            </w:r>
          </w:p>
        </w:tc>
      </w:tr>
      <w:tr w:rsidR="00C2021A" w:rsidRPr="00C2021A" w14:paraId="0BAD2A30" w14:textId="77777777" w:rsidTr="00483642">
        <w:trPr>
          <w:trHeight w:val="333"/>
          <w:jc w:val="center"/>
        </w:trPr>
        <w:tc>
          <w:tcPr>
            <w:tcW w:w="805" w:type="dxa"/>
            <w:shd w:val="clear" w:color="auto" w:fill="auto"/>
            <w:tcMar>
              <w:top w:w="80" w:type="dxa"/>
              <w:left w:w="80" w:type="dxa"/>
              <w:bottom w:w="80" w:type="dxa"/>
              <w:right w:w="80" w:type="dxa"/>
            </w:tcMar>
          </w:tcPr>
          <w:p w14:paraId="3FD0CEB9"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Lysozyme</w:t>
            </w:r>
          </w:p>
        </w:tc>
        <w:tc>
          <w:tcPr>
            <w:tcW w:w="1260" w:type="dxa"/>
            <w:shd w:val="clear" w:color="auto" w:fill="auto"/>
            <w:tcMar>
              <w:top w:w="80" w:type="dxa"/>
              <w:left w:w="80" w:type="dxa"/>
              <w:bottom w:w="80" w:type="dxa"/>
              <w:right w:w="80" w:type="dxa"/>
            </w:tcMar>
          </w:tcPr>
          <w:p w14:paraId="48975B1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FAM-aptamers/ssDNA/</w:t>
            </w:r>
          </w:p>
          <w:p w14:paraId="718F1B15"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rGO</w:t>
            </w:r>
            <w:proofErr w:type="spellEnd"/>
            <w:r w:rsidRPr="00C2021A">
              <w:rPr>
                <w:rFonts w:cs="Arial"/>
                <w:color w:val="auto"/>
                <w:sz w:val="12"/>
                <w:szCs w:val="12"/>
              </w:rPr>
              <w:t xml:space="preserve"> assembly</w:t>
            </w:r>
          </w:p>
        </w:tc>
        <w:tc>
          <w:tcPr>
            <w:tcW w:w="1170" w:type="dxa"/>
            <w:shd w:val="clear" w:color="auto" w:fill="auto"/>
            <w:tcMar>
              <w:top w:w="80" w:type="dxa"/>
              <w:left w:w="80" w:type="dxa"/>
              <w:bottom w:w="80" w:type="dxa"/>
              <w:right w:w="80" w:type="dxa"/>
            </w:tcMar>
          </w:tcPr>
          <w:p w14:paraId="1A0EF3A3"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Fluorescence</w:t>
            </w:r>
          </w:p>
        </w:tc>
        <w:tc>
          <w:tcPr>
            <w:tcW w:w="1260" w:type="dxa"/>
            <w:shd w:val="clear" w:color="auto" w:fill="auto"/>
            <w:tcMar>
              <w:top w:w="80" w:type="dxa"/>
              <w:left w:w="80" w:type="dxa"/>
              <w:bottom w:w="80" w:type="dxa"/>
              <w:right w:w="80" w:type="dxa"/>
            </w:tcMar>
          </w:tcPr>
          <w:p w14:paraId="4AA56332"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1.4 </w:t>
            </w:r>
            <w:proofErr w:type="spellStart"/>
            <w:r w:rsidRPr="00C2021A">
              <w:rPr>
                <w:rFonts w:cs="Arial"/>
                <w:color w:val="auto"/>
                <w:sz w:val="12"/>
                <w:szCs w:val="12"/>
              </w:rPr>
              <w:t>μL</w:t>
            </w:r>
            <w:proofErr w:type="spellEnd"/>
            <w:r w:rsidRPr="00C2021A">
              <w:rPr>
                <w:rFonts w:cs="Arial"/>
                <w:color w:val="auto"/>
                <w:sz w:val="12"/>
                <w:szCs w:val="12"/>
              </w:rPr>
              <w:t xml:space="preserve"> </w:t>
            </w:r>
          </w:p>
          <w:p w14:paraId="45DB4ABB"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(21.8 </w:t>
            </w:r>
            <w:proofErr w:type="spellStart"/>
            <w:proofErr w:type="gramStart"/>
            <w:r w:rsidRPr="00C2021A">
              <w:rPr>
                <w:rFonts w:cs="Arial"/>
                <w:color w:val="auto"/>
                <w:sz w:val="12"/>
                <w:szCs w:val="12"/>
              </w:rPr>
              <w:t>pM</w:t>
            </w:r>
            <w:proofErr w:type="spellEnd"/>
            <w:r w:rsidRPr="00C2021A">
              <w:rPr>
                <w:rFonts w:cs="Arial"/>
                <w:color w:val="auto"/>
                <w:sz w:val="12"/>
                <w:szCs w:val="12"/>
              </w:rPr>
              <w:t>)</w:t>
            </w:r>
            <w:r w:rsidRPr="00C2021A">
              <w:rPr>
                <w:rFonts w:cs="Arial"/>
                <w:color w:val="auto"/>
                <w:sz w:val="12"/>
                <w:szCs w:val="12"/>
                <w:u w:color="0070C0"/>
                <w:vertAlign w:val="superscript"/>
              </w:rPr>
              <w:t>c</w:t>
            </w:r>
            <w:proofErr w:type="gramEnd"/>
            <w:r w:rsidRPr="00C2021A">
              <w:rPr>
                <w:rFonts w:cs="Arial"/>
                <w:color w:val="auto"/>
                <w:sz w:val="12"/>
                <w:szCs w:val="12"/>
              </w:rPr>
              <w:br/>
              <w:t xml:space="preserve">6.837 </w:t>
            </w:r>
            <w:proofErr w:type="spellStart"/>
            <w:r w:rsidRPr="00C2021A">
              <w:rPr>
                <w:rFonts w:cs="Arial"/>
                <w:color w:val="auto"/>
                <w:sz w:val="12"/>
                <w:szCs w:val="12"/>
              </w:rPr>
              <w:t>pM</w:t>
            </w:r>
            <w:r w:rsidRPr="00C2021A">
              <w:rPr>
                <w:rFonts w:cs="Arial"/>
                <w:color w:val="auto"/>
                <w:sz w:val="12"/>
                <w:szCs w:val="12"/>
                <w:u w:color="0070C0"/>
                <w:vertAlign w:val="superscript"/>
              </w:rPr>
              <w:t>d</w:t>
            </w:r>
            <w:proofErr w:type="spellEnd"/>
          </w:p>
        </w:tc>
        <w:tc>
          <w:tcPr>
            <w:tcW w:w="1170" w:type="dxa"/>
            <w:shd w:val="clear" w:color="auto" w:fill="auto"/>
            <w:tcMar>
              <w:top w:w="80" w:type="dxa"/>
              <w:left w:w="80" w:type="dxa"/>
              <w:bottom w:w="80" w:type="dxa"/>
              <w:right w:w="80" w:type="dxa"/>
            </w:tcMar>
          </w:tcPr>
          <w:p w14:paraId="08CED269"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1.6 - 14.4 </w:t>
            </w:r>
            <w:proofErr w:type="spellStart"/>
            <w:r w:rsidRPr="00C2021A">
              <w:rPr>
                <w:rFonts w:cs="Arial"/>
                <w:color w:val="auto"/>
                <w:sz w:val="12"/>
                <w:szCs w:val="12"/>
              </w:rPr>
              <w:t>μL</w:t>
            </w:r>
            <w:r w:rsidRPr="00C2021A">
              <w:rPr>
                <w:rFonts w:cs="Arial"/>
                <w:color w:val="auto"/>
                <w:sz w:val="12"/>
                <w:szCs w:val="12"/>
                <w:u w:color="0070C0"/>
                <w:vertAlign w:val="superscript"/>
              </w:rPr>
              <w:t>c</w:t>
            </w:r>
            <w:proofErr w:type="spellEnd"/>
            <w:r w:rsidRPr="00C2021A">
              <w:rPr>
                <w:rFonts w:cs="Arial"/>
                <w:color w:val="auto"/>
                <w:sz w:val="12"/>
                <w:szCs w:val="12"/>
              </w:rPr>
              <w:br/>
              <w:t xml:space="preserve">25 - 175 </w:t>
            </w:r>
            <w:proofErr w:type="spellStart"/>
            <w:r w:rsidRPr="00C2021A">
              <w:rPr>
                <w:rFonts w:cs="Arial"/>
                <w:color w:val="auto"/>
                <w:sz w:val="12"/>
                <w:szCs w:val="12"/>
              </w:rPr>
              <w:t>pM</w:t>
            </w:r>
            <w:r w:rsidRPr="00C2021A">
              <w:rPr>
                <w:rFonts w:cs="Arial"/>
                <w:color w:val="auto"/>
                <w:sz w:val="12"/>
                <w:szCs w:val="12"/>
                <w:u w:color="0070C0"/>
                <w:vertAlign w:val="superscript"/>
              </w:rPr>
              <w:t>d</w:t>
            </w:r>
            <w:proofErr w:type="spellEnd"/>
          </w:p>
        </w:tc>
        <w:tc>
          <w:tcPr>
            <w:tcW w:w="810" w:type="dxa"/>
            <w:shd w:val="clear" w:color="auto" w:fill="auto"/>
            <w:tcMar>
              <w:top w:w="80" w:type="dxa"/>
              <w:left w:w="80" w:type="dxa"/>
              <w:bottom w:w="80" w:type="dxa"/>
              <w:right w:w="80" w:type="dxa"/>
            </w:tcMar>
          </w:tcPr>
          <w:p w14:paraId="016ABDE5"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85%</w:t>
            </w:r>
          </w:p>
        </w:tc>
        <w:tc>
          <w:tcPr>
            <w:tcW w:w="900" w:type="dxa"/>
          </w:tcPr>
          <w:p w14:paraId="7703B30F"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20 min</w:t>
            </w:r>
          </w:p>
        </w:tc>
        <w:tc>
          <w:tcPr>
            <w:tcW w:w="1170" w:type="dxa"/>
          </w:tcPr>
          <w:p w14:paraId="63F9417B"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 mL</w:t>
            </w:r>
          </w:p>
        </w:tc>
        <w:tc>
          <w:tcPr>
            <w:tcW w:w="1170" w:type="dxa"/>
          </w:tcPr>
          <w:p w14:paraId="6C51FACD"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10-fold dilution</w:t>
            </w:r>
          </w:p>
        </w:tc>
        <w:tc>
          <w:tcPr>
            <w:tcW w:w="1350" w:type="dxa"/>
            <w:shd w:val="clear" w:color="auto" w:fill="auto"/>
            <w:tcMar>
              <w:top w:w="80" w:type="dxa"/>
              <w:left w:w="80" w:type="dxa"/>
              <w:bottom w:w="80" w:type="dxa"/>
              <w:right w:w="80" w:type="dxa"/>
            </w:tcMar>
          </w:tcPr>
          <w:p w14:paraId="200F72A0"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(Liu et al. 2017)</w:t>
            </w:r>
          </w:p>
        </w:tc>
      </w:tr>
      <w:tr w:rsidR="00C2021A" w:rsidRPr="00C2021A" w14:paraId="727ED14A" w14:textId="77777777" w:rsidTr="00483642">
        <w:trPr>
          <w:trHeight w:val="99"/>
          <w:jc w:val="center"/>
        </w:trPr>
        <w:tc>
          <w:tcPr>
            <w:tcW w:w="805" w:type="dxa"/>
            <w:shd w:val="clear" w:color="auto" w:fill="auto"/>
            <w:tcMar>
              <w:top w:w="80" w:type="dxa"/>
              <w:left w:w="80" w:type="dxa"/>
              <w:bottom w:w="80" w:type="dxa"/>
              <w:right w:w="80" w:type="dxa"/>
            </w:tcMar>
          </w:tcPr>
          <w:p w14:paraId="0D38208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Pyoverdine</w:t>
            </w:r>
          </w:p>
        </w:tc>
        <w:tc>
          <w:tcPr>
            <w:tcW w:w="1260" w:type="dxa"/>
            <w:shd w:val="clear" w:color="auto" w:fill="auto"/>
            <w:tcMar>
              <w:top w:w="80" w:type="dxa"/>
              <w:left w:w="80" w:type="dxa"/>
              <w:bottom w:w="80" w:type="dxa"/>
              <w:right w:w="80" w:type="dxa"/>
            </w:tcMar>
          </w:tcPr>
          <w:p w14:paraId="3D455BA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AuNPs/</w:t>
            </w:r>
            <w:proofErr w:type="spellStart"/>
            <w:r w:rsidRPr="00C2021A">
              <w:rPr>
                <w:rFonts w:cs="Arial"/>
                <w:color w:val="auto"/>
                <w:sz w:val="12"/>
                <w:szCs w:val="12"/>
              </w:rPr>
              <w:t>Ppy</w:t>
            </w:r>
            <w:proofErr w:type="spellEnd"/>
            <w:r w:rsidRPr="00C2021A">
              <w:rPr>
                <w:rFonts w:cs="Arial"/>
                <w:color w:val="auto"/>
                <w:sz w:val="12"/>
                <w:szCs w:val="12"/>
              </w:rPr>
              <w:t>-COOH/GR modified SPE</w:t>
            </w:r>
          </w:p>
        </w:tc>
        <w:tc>
          <w:tcPr>
            <w:tcW w:w="1170" w:type="dxa"/>
            <w:shd w:val="clear" w:color="auto" w:fill="auto"/>
            <w:tcMar>
              <w:top w:w="80" w:type="dxa"/>
              <w:left w:w="80" w:type="dxa"/>
              <w:bottom w:w="80" w:type="dxa"/>
              <w:right w:w="80" w:type="dxa"/>
            </w:tcMar>
          </w:tcPr>
          <w:p w14:paraId="28DAB3E5"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DPV</w:t>
            </w:r>
          </w:p>
        </w:tc>
        <w:tc>
          <w:tcPr>
            <w:tcW w:w="1260" w:type="dxa"/>
            <w:shd w:val="clear" w:color="auto" w:fill="auto"/>
            <w:tcMar>
              <w:top w:w="80" w:type="dxa"/>
              <w:left w:w="80" w:type="dxa"/>
              <w:bottom w:w="80" w:type="dxa"/>
              <w:right w:w="80" w:type="dxa"/>
            </w:tcMar>
          </w:tcPr>
          <w:p w14:paraId="69342CEF"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0.33 µM</w:t>
            </w:r>
          </w:p>
        </w:tc>
        <w:tc>
          <w:tcPr>
            <w:tcW w:w="1170" w:type="dxa"/>
            <w:shd w:val="clear" w:color="auto" w:fill="auto"/>
            <w:tcMar>
              <w:top w:w="80" w:type="dxa"/>
              <w:left w:w="80" w:type="dxa"/>
              <w:bottom w:w="80" w:type="dxa"/>
              <w:right w:w="80" w:type="dxa"/>
            </w:tcMar>
          </w:tcPr>
          <w:p w14:paraId="11ACB760"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1 - 100 </w:t>
            </w:r>
            <w:proofErr w:type="spellStart"/>
            <w:r w:rsidRPr="00C2021A">
              <w:rPr>
                <w:rFonts w:cs="Arial"/>
                <w:color w:val="auto"/>
                <w:sz w:val="12"/>
                <w:szCs w:val="12"/>
              </w:rPr>
              <w:t>μM</w:t>
            </w:r>
            <w:proofErr w:type="spellEnd"/>
          </w:p>
        </w:tc>
        <w:tc>
          <w:tcPr>
            <w:tcW w:w="810" w:type="dxa"/>
            <w:shd w:val="clear" w:color="auto" w:fill="auto"/>
            <w:tcMar>
              <w:top w:w="80" w:type="dxa"/>
              <w:left w:w="80" w:type="dxa"/>
              <w:bottom w:w="80" w:type="dxa"/>
              <w:right w:w="80" w:type="dxa"/>
            </w:tcMar>
          </w:tcPr>
          <w:p w14:paraId="2A039C97"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97.8 -104.93%</w:t>
            </w:r>
          </w:p>
        </w:tc>
        <w:tc>
          <w:tcPr>
            <w:tcW w:w="900" w:type="dxa"/>
          </w:tcPr>
          <w:p w14:paraId="679B27F7"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46592A23"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65B260C5"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1:10 dilution with PBS</w:t>
            </w:r>
          </w:p>
        </w:tc>
        <w:tc>
          <w:tcPr>
            <w:tcW w:w="1350" w:type="dxa"/>
            <w:shd w:val="clear" w:color="auto" w:fill="auto"/>
            <w:tcMar>
              <w:top w:w="80" w:type="dxa"/>
              <w:left w:w="80" w:type="dxa"/>
              <w:bottom w:w="80" w:type="dxa"/>
              <w:right w:w="80" w:type="dxa"/>
            </w:tcMar>
          </w:tcPr>
          <w:p w14:paraId="07376087"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(Cernat et al. 2018)</w:t>
            </w:r>
          </w:p>
        </w:tc>
      </w:tr>
      <w:tr w:rsidR="00C2021A" w:rsidRPr="00C2021A" w14:paraId="75BA57DD" w14:textId="77777777" w:rsidTr="00483642">
        <w:trPr>
          <w:trHeight w:val="342"/>
          <w:jc w:val="center"/>
        </w:trPr>
        <w:tc>
          <w:tcPr>
            <w:tcW w:w="805" w:type="dxa"/>
            <w:shd w:val="clear" w:color="auto" w:fill="auto"/>
            <w:tcMar>
              <w:top w:w="80" w:type="dxa"/>
              <w:left w:w="80" w:type="dxa"/>
              <w:bottom w:w="80" w:type="dxa"/>
              <w:right w:w="80" w:type="dxa"/>
            </w:tcMar>
          </w:tcPr>
          <w:p w14:paraId="062FF135"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Pyoverdine</w:t>
            </w:r>
          </w:p>
        </w:tc>
        <w:tc>
          <w:tcPr>
            <w:tcW w:w="1260" w:type="dxa"/>
            <w:shd w:val="clear" w:color="auto" w:fill="auto"/>
            <w:tcMar>
              <w:top w:w="80" w:type="dxa"/>
              <w:left w:w="80" w:type="dxa"/>
              <w:bottom w:w="80" w:type="dxa"/>
              <w:right w:w="80" w:type="dxa"/>
            </w:tcMar>
          </w:tcPr>
          <w:p w14:paraId="78453253"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AuNPs/</w:t>
            </w:r>
            <w:proofErr w:type="spellStart"/>
            <w:r w:rsidRPr="00C2021A">
              <w:rPr>
                <w:rFonts w:cs="Arial"/>
                <w:color w:val="auto"/>
                <w:sz w:val="12"/>
                <w:szCs w:val="12"/>
              </w:rPr>
              <w:t>Ppy</w:t>
            </w:r>
            <w:proofErr w:type="spellEnd"/>
            <w:r w:rsidRPr="00C2021A">
              <w:rPr>
                <w:rFonts w:cs="Arial"/>
                <w:color w:val="auto"/>
                <w:sz w:val="12"/>
                <w:szCs w:val="12"/>
              </w:rPr>
              <w:t>-COOH/GR modified SPE</w:t>
            </w:r>
          </w:p>
        </w:tc>
        <w:tc>
          <w:tcPr>
            <w:tcW w:w="1170" w:type="dxa"/>
            <w:shd w:val="clear" w:color="auto" w:fill="auto"/>
            <w:tcMar>
              <w:top w:w="80" w:type="dxa"/>
              <w:left w:w="80" w:type="dxa"/>
              <w:bottom w:w="80" w:type="dxa"/>
              <w:right w:w="80" w:type="dxa"/>
            </w:tcMar>
          </w:tcPr>
          <w:p w14:paraId="11A8A393"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DPV</w:t>
            </w:r>
          </w:p>
        </w:tc>
        <w:tc>
          <w:tcPr>
            <w:tcW w:w="1260" w:type="dxa"/>
            <w:shd w:val="clear" w:color="auto" w:fill="auto"/>
            <w:tcMar>
              <w:top w:w="80" w:type="dxa"/>
              <w:left w:w="80" w:type="dxa"/>
              <w:bottom w:w="80" w:type="dxa"/>
              <w:right w:w="80" w:type="dxa"/>
            </w:tcMar>
          </w:tcPr>
          <w:p w14:paraId="0D97F6FA"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333.33 </w:t>
            </w:r>
          </w:p>
          <w:p w14:paraId="19EA8D9E"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nmol/L</w:t>
            </w:r>
          </w:p>
        </w:tc>
        <w:tc>
          <w:tcPr>
            <w:tcW w:w="1170" w:type="dxa"/>
            <w:shd w:val="clear" w:color="auto" w:fill="auto"/>
            <w:tcMar>
              <w:top w:w="80" w:type="dxa"/>
              <w:left w:w="80" w:type="dxa"/>
              <w:bottom w:w="80" w:type="dxa"/>
              <w:right w:w="80" w:type="dxa"/>
            </w:tcMar>
          </w:tcPr>
          <w:p w14:paraId="5647B419"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1 - 100 </w:t>
            </w:r>
          </w:p>
          <w:p w14:paraId="17D50AC9"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μmol</w:t>
            </w:r>
            <w:proofErr w:type="spellEnd"/>
            <w:r w:rsidRPr="00C2021A">
              <w:rPr>
                <w:rFonts w:cs="Arial"/>
                <w:color w:val="auto"/>
                <w:sz w:val="12"/>
                <w:szCs w:val="12"/>
              </w:rPr>
              <w:t>/L</w:t>
            </w:r>
          </w:p>
        </w:tc>
        <w:tc>
          <w:tcPr>
            <w:tcW w:w="810" w:type="dxa"/>
            <w:shd w:val="clear" w:color="auto" w:fill="auto"/>
            <w:tcMar>
              <w:top w:w="80" w:type="dxa"/>
              <w:left w:w="80" w:type="dxa"/>
              <w:bottom w:w="80" w:type="dxa"/>
              <w:right w:w="80" w:type="dxa"/>
            </w:tcMar>
          </w:tcPr>
          <w:p w14:paraId="630B837B"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102.12%</w:t>
            </w:r>
          </w:p>
        </w:tc>
        <w:tc>
          <w:tcPr>
            <w:tcW w:w="900" w:type="dxa"/>
          </w:tcPr>
          <w:p w14:paraId="4BBFE3F1"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1B9881B9"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44B562A2"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1:100 dilution with PBS</w:t>
            </w:r>
          </w:p>
        </w:tc>
        <w:tc>
          <w:tcPr>
            <w:tcW w:w="1350" w:type="dxa"/>
            <w:shd w:val="clear" w:color="auto" w:fill="auto"/>
            <w:tcMar>
              <w:top w:w="80" w:type="dxa"/>
              <w:left w:w="80" w:type="dxa"/>
              <w:bottom w:w="80" w:type="dxa"/>
              <w:right w:w="80" w:type="dxa"/>
            </w:tcMar>
          </w:tcPr>
          <w:p w14:paraId="7D95C52D"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(Gandouzi et al. 2018)</w:t>
            </w:r>
          </w:p>
        </w:tc>
      </w:tr>
    </w:tbl>
    <w:p w14:paraId="08C9B7B1" w14:textId="77777777" w:rsidR="008E41DB" w:rsidRPr="00C2021A" w:rsidRDefault="008E41DB" w:rsidP="008E41DB">
      <w:pPr>
        <w:spacing w:after="0" w:line="240" w:lineRule="auto"/>
        <w:jc w:val="both"/>
        <w:rPr>
          <w:rFonts w:cs="Arial"/>
          <w:color w:val="auto"/>
        </w:rPr>
      </w:pPr>
      <w:r w:rsidRPr="00C2021A">
        <w:rPr>
          <w:rFonts w:cs="Arial"/>
          <w:color w:val="auto"/>
          <w:u w:color="0070C0"/>
          <w:vertAlign w:val="superscript"/>
        </w:rPr>
        <w:t>a</w:t>
      </w:r>
      <w:r w:rsidRPr="00C2021A">
        <w:rPr>
          <w:rFonts w:cs="Arial"/>
          <w:color w:val="auto"/>
        </w:rPr>
        <w:t xml:space="preserve"> S/N = 3, otherwise differently specified</w:t>
      </w:r>
    </w:p>
    <w:p w14:paraId="3D98C543" w14:textId="77777777" w:rsidR="008E41DB" w:rsidRPr="00C2021A" w:rsidRDefault="008E41DB" w:rsidP="008E41DB">
      <w:pPr>
        <w:spacing w:after="0" w:line="240" w:lineRule="auto"/>
        <w:jc w:val="both"/>
        <w:rPr>
          <w:rFonts w:cs="Arial"/>
          <w:color w:val="auto"/>
        </w:rPr>
      </w:pPr>
      <w:r w:rsidRPr="00C2021A">
        <w:rPr>
          <w:rFonts w:cs="Arial"/>
          <w:color w:val="auto"/>
          <w:u w:color="0070C0"/>
          <w:vertAlign w:val="superscript"/>
        </w:rPr>
        <w:t>b</w:t>
      </w:r>
      <w:r w:rsidRPr="00C2021A">
        <w:rPr>
          <w:rFonts w:cs="Arial"/>
          <w:color w:val="auto"/>
        </w:rPr>
        <w:t xml:space="preserve"> Values obtained in real saliva samples, otherwise differently </w:t>
      </w:r>
      <w:proofErr w:type="gramStart"/>
      <w:r w:rsidRPr="00C2021A">
        <w:rPr>
          <w:rFonts w:cs="Arial"/>
          <w:color w:val="auto"/>
        </w:rPr>
        <w:t>specified</w:t>
      </w:r>
      <w:proofErr w:type="gramEnd"/>
    </w:p>
    <w:p w14:paraId="28D46B84" w14:textId="77777777" w:rsidR="008E41DB" w:rsidRPr="00C2021A" w:rsidRDefault="008E41DB" w:rsidP="008E41DB">
      <w:pPr>
        <w:spacing w:after="0" w:line="240" w:lineRule="auto"/>
        <w:jc w:val="both"/>
        <w:rPr>
          <w:rFonts w:cs="Arial"/>
          <w:color w:val="auto"/>
          <w:lang w:val="it-IT"/>
        </w:rPr>
      </w:pPr>
      <w:r w:rsidRPr="00C2021A">
        <w:rPr>
          <w:rFonts w:cs="Arial"/>
          <w:color w:val="auto"/>
          <w:u w:color="0070C0"/>
          <w:vertAlign w:val="superscript"/>
          <w:lang w:val="it-IT"/>
        </w:rPr>
        <w:t>c</w:t>
      </w:r>
      <w:r w:rsidRPr="00C2021A">
        <w:rPr>
          <w:rFonts w:cs="Arial"/>
          <w:color w:val="auto"/>
          <w:lang w:val="it-IT"/>
        </w:rPr>
        <w:t xml:space="preserve"> in saliva</w:t>
      </w:r>
    </w:p>
    <w:p w14:paraId="782D6810" w14:textId="77777777" w:rsidR="008E41DB" w:rsidRPr="00C2021A" w:rsidRDefault="008E41DB" w:rsidP="008E41DB">
      <w:pPr>
        <w:spacing w:after="0" w:line="240" w:lineRule="auto"/>
        <w:jc w:val="both"/>
        <w:rPr>
          <w:rFonts w:cs="Arial"/>
          <w:color w:val="auto"/>
          <w:lang w:val="it-IT"/>
        </w:rPr>
      </w:pPr>
      <w:r w:rsidRPr="00C2021A">
        <w:rPr>
          <w:rFonts w:cs="Arial"/>
          <w:color w:val="auto"/>
          <w:u w:color="0070C0"/>
          <w:vertAlign w:val="superscript"/>
          <w:lang w:val="it-IT"/>
        </w:rPr>
        <w:t>b</w:t>
      </w:r>
      <w:r w:rsidRPr="00C2021A">
        <w:rPr>
          <w:rFonts w:cs="Arial"/>
          <w:color w:val="auto"/>
          <w:lang w:val="it-IT"/>
        </w:rPr>
        <w:t xml:space="preserve"> in buffer</w:t>
      </w:r>
    </w:p>
    <w:p w14:paraId="00FE281A" w14:textId="77777777" w:rsidR="008E41DB" w:rsidRPr="00C2021A" w:rsidRDefault="008E41DB" w:rsidP="008E41DB">
      <w:pPr>
        <w:spacing w:after="0" w:line="240" w:lineRule="auto"/>
        <w:jc w:val="both"/>
        <w:rPr>
          <w:rFonts w:cs="Arial"/>
          <w:color w:val="auto"/>
          <w:lang w:val="it-IT"/>
        </w:rPr>
      </w:pPr>
    </w:p>
    <w:p w14:paraId="31550B58" w14:textId="77777777" w:rsidR="008E41DB" w:rsidRPr="00C2021A" w:rsidRDefault="008E41DB" w:rsidP="008E41DB">
      <w:pPr>
        <w:spacing w:after="0" w:line="240" w:lineRule="auto"/>
        <w:jc w:val="both"/>
        <w:rPr>
          <w:rFonts w:cs="Arial"/>
          <w:color w:val="auto"/>
          <w:lang w:val="it-IT"/>
        </w:rPr>
      </w:pPr>
    </w:p>
    <w:p w14:paraId="26A0F4A8" w14:textId="77777777" w:rsidR="008E41DB" w:rsidRPr="00C2021A" w:rsidRDefault="008E41DB" w:rsidP="008E41DB">
      <w:pPr>
        <w:spacing w:after="0" w:line="240" w:lineRule="auto"/>
        <w:jc w:val="both"/>
        <w:rPr>
          <w:rFonts w:cs="Arial"/>
          <w:color w:val="auto"/>
          <w:lang w:val="it-IT"/>
        </w:rPr>
      </w:pPr>
    </w:p>
    <w:p w14:paraId="07D68D2A" w14:textId="77777777" w:rsidR="008E41DB" w:rsidRPr="00C2021A" w:rsidRDefault="008E41DB" w:rsidP="008E41DB">
      <w:pPr>
        <w:spacing w:after="0" w:line="240" w:lineRule="auto"/>
        <w:jc w:val="both"/>
        <w:rPr>
          <w:rFonts w:cs="Arial"/>
          <w:color w:val="auto"/>
          <w:lang w:val="it-IT"/>
        </w:rPr>
      </w:pPr>
    </w:p>
    <w:p w14:paraId="4CF241F6" w14:textId="77777777" w:rsidR="008E41DB" w:rsidRPr="00C2021A" w:rsidRDefault="008E41DB" w:rsidP="008E41DB">
      <w:pPr>
        <w:spacing w:after="0" w:line="240" w:lineRule="auto"/>
        <w:jc w:val="both"/>
        <w:rPr>
          <w:rFonts w:cs="Arial"/>
          <w:color w:val="auto"/>
          <w:lang w:val="it-IT"/>
        </w:rPr>
      </w:pPr>
    </w:p>
    <w:p w14:paraId="04D95752" w14:textId="77777777" w:rsidR="008E41DB" w:rsidRPr="00C2021A" w:rsidRDefault="008E41DB" w:rsidP="008E41DB">
      <w:pPr>
        <w:spacing w:after="0" w:line="240" w:lineRule="auto"/>
        <w:jc w:val="both"/>
        <w:rPr>
          <w:rFonts w:cs="Arial"/>
          <w:color w:val="auto"/>
          <w:lang w:val="it-IT"/>
        </w:rPr>
      </w:pPr>
    </w:p>
    <w:p w14:paraId="20F79199" w14:textId="77777777" w:rsidR="008E41DB" w:rsidRPr="00C2021A" w:rsidRDefault="008E41DB" w:rsidP="008E41DB">
      <w:pPr>
        <w:spacing w:after="0" w:line="240" w:lineRule="auto"/>
        <w:jc w:val="both"/>
        <w:rPr>
          <w:rFonts w:cs="Arial"/>
          <w:color w:val="auto"/>
          <w:lang w:val="it-IT"/>
        </w:rPr>
      </w:pPr>
    </w:p>
    <w:p w14:paraId="549965E2" w14:textId="77777777" w:rsidR="008E41DB" w:rsidRPr="00C2021A" w:rsidRDefault="008E41DB" w:rsidP="008E41DB">
      <w:pPr>
        <w:spacing w:after="0" w:line="240" w:lineRule="auto"/>
        <w:jc w:val="both"/>
        <w:rPr>
          <w:rFonts w:cs="Arial"/>
          <w:color w:val="auto"/>
          <w:lang w:val="it-IT"/>
        </w:rPr>
      </w:pPr>
    </w:p>
    <w:p w14:paraId="1BE67DFF" w14:textId="77777777" w:rsidR="008E41DB" w:rsidRPr="00C2021A" w:rsidRDefault="008E41DB" w:rsidP="008E41DB">
      <w:pPr>
        <w:spacing w:after="0" w:line="240" w:lineRule="auto"/>
        <w:jc w:val="both"/>
        <w:rPr>
          <w:rFonts w:cs="Arial"/>
          <w:color w:val="auto"/>
          <w:lang w:val="it-IT"/>
        </w:rPr>
      </w:pPr>
    </w:p>
    <w:p w14:paraId="747C72E1" w14:textId="77777777" w:rsidR="008E41DB" w:rsidRPr="00C2021A" w:rsidRDefault="008E41DB" w:rsidP="008E41DB">
      <w:pPr>
        <w:spacing w:after="0" w:line="240" w:lineRule="auto"/>
        <w:jc w:val="both"/>
        <w:rPr>
          <w:rFonts w:cs="Arial"/>
          <w:color w:val="auto"/>
          <w:lang w:val="it-IT"/>
        </w:rPr>
      </w:pPr>
    </w:p>
    <w:p w14:paraId="65501A5F" w14:textId="77777777" w:rsidR="008E41DB" w:rsidRPr="00C2021A" w:rsidRDefault="008E41DB" w:rsidP="008E41DB">
      <w:pPr>
        <w:spacing w:after="0" w:line="240" w:lineRule="auto"/>
        <w:jc w:val="both"/>
        <w:rPr>
          <w:rFonts w:cs="Arial"/>
          <w:color w:val="auto"/>
          <w:lang w:val="it-IT"/>
        </w:rPr>
      </w:pPr>
    </w:p>
    <w:p w14:paraId="4D10996F" w14:textId="77777777" w:rsidR="008E41DB" w:rsidRPr="00C2021A" w:rsidRDefault="008E41DB" w:rsidP="008E41DB">
      <w:pPr>
        <w:spacing w:after="0" w:line="240" w:lineRule="auto"/>
        <w:jc w:val="both"/>
        <w:rPr>
          <w:rFonts w:cs="Arial"/>
          <w:color w:val="auto"/>
          <w:lang w:val="it-IT"/>
        </w:rPr>
      </w:pPr>
    </w:p>
    <w:p w14:paraId="10DB18E2" w14:textId="77777777" w:rsidR="008E41DB" w:rsidRPr="00C2021A" w:rsidRDefault="008E41DB" w:rsidP="008E41DB">
      <w:pPr>
        <w:spacing w:after="0" w:line="240" w:lineRule="auto"/>
        <w:jc w:val="both"/>
        <w:rPr>
          <w:rFonts w:cs="Arial"/>
          <w:color w:val="auto"/>
          <w:lang w:val="it-IT"/>
        </w:rPr>
      </w:pPr>
    </w:p>
    <w:p w14:paraId="40565C9C" w14:textId="77777777" w:rsidR="008E41DB" w:rsidRPr="00C2021A" w:rsidRDefault="008E41DB" w:rsidP="008E41DB">
      <w:pPr>
        <w:spacing w:after="0" w:line="240" w:lineRule="auto"/>
        <w:jc w:val="both"/>
        <w:rPr>
          <w:rFonts w:cs="Arial"/>
          <w:color w:val="auto"/>
          <w:lang w:val="it-IT"/>
        </w:rPr>
      </w:pPr>
    </w:p>
    <w:p w14:paraId="4C2BA397" w14:textId="77777777" w:rsidR="008E41DB" w:rsidRPr="00C2021A" w:rsidRDefault="008E41DB" w:rsidP="008E41DB">
      <w:pPr>
        <w:spacing w:after="0" w:line="240" w:lineRule="auto"/>
        <w:jc w:val="both"/>
        <w:rPr>
          <w:rFonts w:cs="Arial"/>
          <w:color w:val="auto"/>
          <w:lang w:val="it-IT"/>
        </w:rPr>
      </w:pPr>
    </w:p>
    <w:p w14:paraId="412FA64E" w14:textId="77777777" w:rsidR="008E41DB" w:rsidRPr="00C2021A" w:rsidRDefault="008E41DB" w:rsidP="008E41DB">
      <w:pPr>
        <w:pBdr>
          <w:top w:val="none" w:sz="0" w:space="0" w:color="auto"/>
          <w:left w:val="none" w:sz="0" w:space="0" w:color="auto"/>
          <w:bottom w:val="none" w:sz="0" w:space="0" w:color="auto"/>
          <w:right w:val="none" w:sz="0" w:space="0" w:color="auto"/>
          <w:between w:val="none" w:sz="0" w:space="0" w:color="auto"/>
          <w:bar w:val="none" w:sz="0" w:color="auto"/>
        </w:pBdr>
        <w:rPr>
          <w:rFonts w:cs="Arial"/>
          <w:b/>
          <w:bCs/>
          <w:color w:val="auto"/>
          <w:lang w:val="it-IT"/>
        </w:rPr>
      </w:pPr>
      <w:r w:rsidRPr="00C2021A">
        <w:rPr>
          <w:rFonts w:cs="Arial"/>
          <w:b/>
          <w:bCs/>
          <w:color w:val="auto"/>
          <w:lang w:val="it-IT"/>
        </w:rPr>
        <w:br w:type="page"/>
      </w:r>
    </w:p>
    <w:p w14:paraId="5C0BDEFE" w14:textId="77777777" w:rsidR="008E41DB" w:rsidRPr="00C2021A" w:rsidRDefault="008E41DB" w:rsidP="008E41DB">
      <w:pPr>
        <w:spacing w:after="0" w:line="240" w:lineRule="auto"/>
        <w:jc w:val="both"/>
        <w:rPr>
          <w:rFonts w:cs="Arial"/>
          <w:color w:val="auto"/>
        </w:rPr>
      </w:pPr>
      <w:r w:rsidRPr="00C2021A">
        <w:rPr>
          <w:rFonts w:cs="Arial"/>
          <w:b/>
          <w:bCs/>
          <w:color w:val="auto"/>
        </w:rPr>
        <w:lastRenderedPageBreak/>
        <w:t>Table 4.</w:t>
      </w:r>
      <w:r w:rsidRPr="00C2021A">
        <w:rPr>
          <w:rFonts w:cs="Arial"/>
          <w:color w:val="auto"/>
        </w:rPr>
        <w:t xml:space="preserve"> Graphene biosensors for the detection of cancer markers in saliva</w:t>
      </w:r>
    </w:p>
    <w:p w14:paraId="4E769C40" w14:textId="77777777" w:rsidR="008E41DB" w:rsidRPr="00C2021A" w:rsidRDefault="008E41DB" w:rsidP="008E41DB">
      <w:pPr>
        <w:spacing w:after="0" w:line="240" w:lineRule="auto"/>
        <w:jc w:val="both"/>
        <w:rPr>
          <w:rFonts w:cs="Arial"/>
          <w:color w:val="auto"/>
        </w:rPr>
      </w:pPr>
    </w:p>
    <w:tbl>
      <w:tblPr>
        <w:tblW w:w="110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DD4E9"/>
        <w:tblLayout w:type="fixed"/>
        <w:tblLook w:val="04A0" w:firstRow="1" w:lastRow="0" w:firstColumn="1" w:lastColumn="0" w:noHBand="0" w:noVBand="1"/>
      </w:tblPr>
      <w:tblGrid>
        <w:gridCol w:w="895"/>
        <w:gridCol w:w="1350"/>
        <w:gridCol w:w="1170"/>
        <w:gridCol w:w="630"/>
        <w:gridCol w:w="1170"/>
        <w:gridCol w:w="810"/>
        <w:gridCol w:w="1080"/>
        <w:gridCol w:w="900"/>
        <w:gridCol w:w="1170"/>
        <w:gridCol w:w="900"/>
        <w:gridCol w:w="990"/>
      </w:tblGrid>
      <w:tr w:rsidR="00C2021A" w:rsidRPr="00C2021A" w14:paraId="6C742C41" w14:textId="77777777" w:rsidTr="00483642">
        <w:trPr>
          <w:trHeight w:val="20"/>
          <w:jc w:val="center"/>
        </w:trPr>
        <w:tc>
          <w:tcPr>
            <w:tcW w:w="895" w:type="dxa"/>
            <w:shd w:val="clear" w:color="auto" w:fill="auto"/>
            <w:tcMar>
              <w:top w:w="80" w:type="dxa"/>
              <w:left w:w="80" w:type="dxa"/>
              <w:bottom w:w="80" w:type="dxa"/>
              <w:right w:w="80" w:type="dxa"/>
            </w:tcMar>
            <w:vAlign w:val="center"/>
          </w:tcPr>
          <w:p w14:paraId="37552542"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Biomarker</w:t>
            </w:r>
          </w:p>
        </w:tc>
        <w:tc>
          <w:tcPr>
            <w:tcW w:w="1350" w:type="dxa"/>
            <w:shd w:val="clear" w:color="auto" w:fill="auto"/>
            <w:tcMar>
              <w:top w:w="80" w:type="dxa"/>
              <w:left w:w="80" w:type="dxa"/>
              <w:bottom w:w="80" w:type="dxa"/>
              <w:right w:w="80" w:type="dxa"/>
            </w:tcMar>
            <w:vAlign w:val="center"/>
          </w:tcPr>
          <w:p w14:paraId="58831EEE"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Sensing Platform</w:t>
            </w:r>
          </w:p>
        </w:tc>
        <w:tc>
          <w:tcPr>
            <w:tcW w:w="1170" w:type="dxa"/>
            <w:shd w:val="clear" w:color="auto" w:fill="auto"/>
            <w:tcMar>
              <w:top w:w="80" w:type="dxa"/>
              <w:left w:w="80" w:type="dxa"/>
              <w:bottom w:w="80" w:type="dxa"/>
              <w:right w:w="80" w:type="dxa"/>
            </w:tcMar>
            <w:vAlign w:val="center"/>
          </w:tcPr>
          <w:p w14:paraId="39467504"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Detection Method</w:t>
            </w:r>
          </w:p>
        </w:tc>
        <w:tc>
          <w:tcPr>
            <w:tcW w:w="630" w:type="dxa"/>
            <w:shd w:val="clear" w:color="auto" w:fill="auto"/>
            <w:tcMar>
              <w:top w:w="80" w:type="dxa"/>
              <w:left w:w="80" w:type="dxa"/>
              <w:bottom w:w="80" w:type="dxa"/>
              <w:right w:w="80" w:type="dxa"/>
            </w:tcMar>
            <w:vAlign w:val="center"/>
          </w:tcPr>
          <w:p w14:paraId="5F03EB26"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LOD</w:t>
            </w:r>
            <w:r w:rsidRPr="00C2021A">
              <w:rPr>
                <w:rFonts w:cs="Arial"/>
                <w:color w:val="auto"/>
                <w:sz w:val="12"/>
                <w:szCs w:val="12"/>
                <w:u w:color="0070C0"/>
                <w:vertAlign w:val="superscript"/>
                <w:lang w:val="it-IT"/>
              </w:rPr>
              <w:t>a</w:t>
            </w:r>
          </w:p>
        </w:tc>
        <w:tc>
          <w:tcPr>
            <w:tcW w:w="1170" w:type="dxa"/>
            <w:shd w:val="clear" w:color="auto" w:fill="auto"/>
            <w:tcMar>
              <w:top w:w="80" w:type="dxa"/>
              <w:left w:w="80" w:type="dxa"/>
              <w:bottom w:w="80" w:type="dxa"/>
              <w:right w:w="80" w:type="dxa"/>
            </w:tcMar>
            <w:vAlign w:val="center"/>
          </w:tcPr>
          <w:p w14:paraId="346102B2"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Detection Range</w:t>
            </w:r>
          </w:p>
        </w:tc>
        <w:tc>
          <w:tcPr>
            <w:tcW w:w="810" w:type="dxa"/>
            <w:shd w:val="clear" w:color="auto" w:fill="auto"/>
            <w:tcMar>
              <w:top w:w="80" w:type="dxa"/>
              <w:left w:w="80" w:type="dxa"/>
              <w:bottom w:w="80" w:type="dxa"/>
              <w:right w:w="80" w:type="dxa"/>
            </w:tcMar>
            <w:vAlign w:val="center"/>
          </w:tcPr>
          <w:p w14:paraId="08B1441A" w14:textId="77777777" w:rsidR="008E41DB" w:rsidRPr="00C2021A" w:rsidRDefault="008E41DB" w:rsidP="00483642">
            <w:pPr>
              <w:spacing w:after="0" w:line="240" w:lineRule="auto"/>
              <w:jc w:val="center"/>
              <w:rPr>
                <w:rFonts w:cs="Arial"/>
                <w:color w:val="auto"/>
                <w:sz w:val="12"/>
                <w:szCs w:val="12"/>
              </w:rPr>
            </w:pPr>
            <w:proofErr w:type="spellStart"/>
            <w:r w:rsidRPr="00C2021A">
              <w:rPr>
                <w:rFonts w:cs="Arial"/>
                <w:b/>
                <w:bCs/>
                <w:color w:val="auto"/>
                <w:sz w:val="12"/>
                <w:szCs w:val="12"/>
              </w:rPr>
              <w:t>Recovery</w:t>
            </w:r>
            <w:r w:rsidRPr="00C2021A">
              <w:rPr>
                <w:rFonts w:cs="Arial"/>
                <w:color w:val="auto"/>
                <w:sz w:val="12"/>
                <w:szCs w:val="12"/>
                <w:u w:color="0070C0"/>
                <w:vertAlign w:val="superscript"/>
              </w:rPr>
              <w:t>b</w:t>
            </w:r>
            <w:proofErr w:type="spellEnd"/>
          </w:p>
        </w:tc>
        <w:tc>
          <w:tcPr>
            <w:tcW w:w="1080" w:type="dxa"/>
            <w:shd w:val="clear" w:color="auto" w:fill="auto"/>
            <w:tcMar>
              <w:top w:w="80" w:type="dxa"/>
              <w:left w:w="80" w:type="dxa"/>
              <w:bottom w:w="80" w:type="dxa"/>
              <w:right w:w="80" w:type="dxa"/>
            </w:tcMar>
            <w:vAlign w:val="center"/>
          </w:tcPr>
          <w:p w14:paraId="138E6055"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Validation</w:t>
            </w:r>
          </w:p>
        </w:tc>
        <w:tc>
          <w:tcPr>
            <w:tcW w:w="900" w:type="dxa"/>
          </w:tcPr>
          <w:p w14:paraId="581249E9" w14:textId="77777777" w:rsidR="008E41DB" w:rsidRPr="00C2021A" w:rsidRDefault="008E41DB" w:rsidP="00483642">
            <w:pPr>
              <w:spacing w:after="0" w:line="240" w:lineRule="auto"/>
              <w:jc w:val="center"/>
              <w:rPr>
                <w:rFonts w:cs="Arial"/>
                <w:b/>
                <w:bCs/>
                <w:color w:val="auto"/>
                <w:sz w:val="12"/>
                <w:szCs w:val="12"/>
              </w:rPr>
            </w:pPr>
            <w:r w:rsidRPr="00C2021A">
              <w:rPr>
                <w:rFonts w:cs="Arial"/>
                <w:b/>
                <w:bCs/>
                <w:color w:val="auto"/>
                <w:sz w:val="12"/>
                <w:szCs w:val="12"/>
              </w:rPr>
              <w:t>Assay Time</w:t>
            </w:r>
          </w:p>
        </w:tc>
        <w:tc>
          <w:tcPr>
            <w:tcW w:w="1170" w:type="dxa"/>
          </w:tcPr>
          <w:p w14:paraId="50AA4FDA" w14:textId="77777777" w:rsidR="008E41DB" w:rsidRPr="00C2021A" w:rsidRDefault="008E41DB" w:rsidP="00483642">
            <w:pPr>
              <w:spacing w:after="0" w:line="240" w:lineRule="auto"/>
              <w:jc w:val="center"/>
              <w:rPr>
                <w:rFonts w:cs="Arial"/>
                <w:b/>
                <w:bCs/>
                <w:color w:val="auto"/>
                <w:sz w:val="12"/>
                <w:szCs w:val="12"/>
              </w:rPr>
            </w:pPr>
            <w:r w:rsidRPr="00C2021A">
              <w:rPr>
                <w:rFonts w:cs="Arial"/>
                <w:b/>
                <w:bCs/>
                <w:color w:val="auto"/>
                <w:sz w:val="12"/>
                <w:szCs w:val="12"/>
              </w:rPr>
              <w:t>Sample Volume</w:t>
            </w:r>
          </w:p>
        </w:tc>
        <w:tc>
          <w:tcPr>
            <w:tcW w:w="900" w:type="dxa"/>
          </w:tcPr>
          <w:p w14:paraId="30C640BA" w14:textId="77777777" w:rsidR="008E41DB" w:rsidRPr="00C2021A" w:rsidRDefault="008E41DB" w:rsidP="00483642">
            <w:pPr>
              <w:spacing w:after="0" w:line="240" w:lineRule="auto"/>
              <w:jc w:val="center"/>
              <w:rPr>
                <w:rFonts w:cs="Arial"/>
                <w:b/>
                <w:bCs/>
                <w:color w:val="auto"/>
                <w:sz w:val="12"/>
                <w:szCs w:val="12"/>
              </w:rPr>
            </w:pPr>
            <w:r w:rsidRPr="00C2021A">
              <w:rPr>
                <w:rFonts w:cs="Arial"/>
                <w:b/>
                <w:bCs/>
                <w:color w:val="auto"/>
                <w:sz w:val="12"/>
                <w:szCs w:val="12"/>
              </w:rPr>
              <w:t>Preparation</w:t>
            </w:r>
          </w:p>
        </w:tc>
        <w:tc>
          <w:tcPr>
            <w:tcW w:w="990" w:type="dxa"/>
            <w:shd w:val="clear" w:color="auto" w:fill="auto"/>
            <w:tcMar>
              <w:top w:w="80" w:type="dxa"/>
              <w:left w:w="80" w:type="dxa"/>
              <w:bottom w:w="80" w:type="dxa"/>
              <w:right w:w="80" w:type="dxa"/>
            </w:tcMar>
            <w:vAlign w:val="center"/>
          </w:tcPr>
          <w:p w14:paraId="40ADF3F1"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Reference</w:t>
            </w:r>
          </w:p>
        </w:tc>
      </w:tr>
      <w:tr w:rsidR="00C2021A" w:rsidRPr="00C2021A" w14:paraId="77F38D09" w14:textId="77777777" w:rsidTr="00483642">
        <w:trPr>
          <w:trHeight w:val="360"/>
          <w:jc w:val="center"/>
        </w:trPr>
        <w:tc>
          <w:tcPr>
            <w:tcW w:w="895" w:type="dxa"/>
            <w:shd w:val="clear" w:color="auto" w:fill="auto"/>
            <w:tcMar>
              <w:top w:w="80" w:type="dxa"/>
              <w:left w:w="80" w:type="dxa"/>
              <w:bottom w:w="80" w:type="dxa"/>
              <w:right w:w="80" w:type="dxa"/>
            </w:tcMar>
          </w:tcPr>
          <w:p w14:paraId="3FD2B34C"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CYFRA-21-1</w:t>
            </w:r>
          </w:p>
          <w:p w14:paraId="113543DA" w14:textId="77777777" w:rsidR="008E41DB" w:rsidRPr="00C2021A" w:rsidRDefault="008E41DB" w:rsidP="00483642">
            <w:pPr>
              <w:spacing w:after="0" w:line="240" w:lineRule="auto"/>
              <w:rPr>
                <w:rFonts w:cs="Arial"/>
                <w:color w:val="auto"/>
                <w:sz w:val="12"/>
                <w:szCs w:val="12"/>
                <w:lang w:val="it-IT"/>
              </w:rPr>
            </w:pPr>
          </w:p>
          <w:p w14:paraId="4378C27C" w14:textId="77777777" w:rsidR="008E41DB" w:rsidRPr="00C2021A" w:rsidRDefault="008E41DB" w:rsidP="00483642">
            <w:pPr>
              <w:spacing w:after="0" w:line="240" w:lineRule="auto"/>
              <w:rPr>
                <w:rFonts w:cs="Arial"/>
                <w:color w:val="auto"/>
                <w:sz w:val="12"/>
                <w:szCs w:val="12"/>
              </w:rPr>
            </w:pPr>
          </w:p>
        </w:tc>
        <w:tc>
          <w:tcPr>
            <w:tcW w:w="1350" w:type="dxa"/>
            <w:shd w:val="clear" w:color="auto" w:fill="auto"/>
            <w:tcMar>
              <w:top w:w="80" w:type="dxa"/>
              <w:left w:w="80" w:type="dxa"/>
              <w:bottom w:w="80" w:type="dxa"/>
              <w:right w:w="80" w:type="dxa"/>
            </w:tcMar>
          </w:tcPr>
          <w:p w14:paraId="0AC9E30C"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BSA/anti-CYFRA-21-1/APTES/ZrO</w:t>
            </w:r>
            <w:r w:rsidRPr="00C2021A">
              <w:rPr>
                <w:rFonts w:cs="Arial"/>
                <w:color w:val="auto"/>
                <w:sz w:val="12"/>
                <w:szCs w:val="12"/>
                <w:vertAlign w:val="subscript"/>
                <w:lang w:val="it-IT"/>
              </w:rPr>
              <w:t>2</w:t>
            </w:r>
            <w:r w:rsidRPr="00C2021A">
              <w:rPr>
                <w:rFonts w:cs="Arial"/>
                <w:color w:val="auto"/>
                <w:sz w:val="12"/>
                <w:szCs w:val="12"/>
                <w:lang w:val="it-IT"/>
              </w:rPr>
              <w:t>-rGO/ITO/glass</w:t>
            </w:r>
          </w:p>
        </w:tc>
        <w:tc>
          <w:tcPr>
            <w:tcW w:w="1170" w:type="dxa"/>
            <w:shd w:val="clear" w:color="auto" w:fill="auto"/>
            <w:tcMar>
              <w:top w:w="80" w:type="dxa"/>
              <w:left w:w="80" w:type="dxa"/>
              <w:bottom w:w="80" w:type="dxa"/>
              <w:right w:w="80" w:type="dxa"/>
            </w:tcMar>
          </w:tcPr>
          <w:p w14:paraId="7E17E838"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DPV</w:t>
            </w:r>
          </w:p>
          <w:p w14:paraId="7634BAA1" w14:textId="77777777" w:rsidR="008E41DB" w:rsidRPr="00C2021A" w:rsidRDefault="008E41DB" w:rsidP="00483642">
            <w:pPr>
              <w:spacing w:after="0" w:line="240" w:lineRule="auto"/>
              <w:rPr>
                <w:rFonts w:cs="Arial"/>
                <w:color w:val="auto"/>
                <w:sz w:val="12"/>
                <w:szCs w:val="12"/>
              </w:rPr>
            </w:pPr>
          </w:p>
        </w:tc>
        <w:tc>
          <w:tcPr>
            <w:tcW w:w="630" w:type="dxa"/>
            <w:shd w:val="clear" w:color="auto" w:fill="auto"/>
            <w:tcMar>
              <w:top w:w="80" w:type="dxa"/>
              <w:left w:w="80" w:type="dxa"/>
              <w:bottom w:w="80" w:type="dxa"/>
              <w:right w:w="80" w:type="dxa"/>
            </w:tcMar>
          </w:tcPr>
          <w:p w14:paraId="5FE8B04B"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0.122 </w:t>
            </w:r>
          </w:p>
          <w:p w14:paraId="7CC0062F"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ng </w:t>
            </w:r>
            <w:proofErr w:type="gramStart"/>
            <w:r w:rsidRPr="00C2021A">
              <w:rPr>
                <w:rFonts w:cs="Arial"/>
                <w:color w:val="auto"/>
                <w:sz w:val="12"/>
                <w:szCs w:val="12"/>
              </w:rPr>
              <w:t>mL</w:t>
            </w:r>
            <w:r w:rsidRPr="00C2021A">
              <w:rPr>
                <w:rFonts w:cs="Arial"/>
                <w:color w:val="auto"/>
                <w:sz w:val="12"/>
                <w:szCs w:val="12"/>
                <w:vertAlign w:val="superscript"/>
              </w:rPr>
              <w:t>-1</w:t>
            </w:r>
            <w:proofErr w:type="gramEnd"/>
          </w:p>
        </w:tc>
        <w:tc>
          <w:tcPr>
            <w:tcW w:w="1170" w:type="dxa"/>
            <w:shd w:val="clear" w:color="auto" w:fill="auto"/>
            <w:tcMar>
              <w:top w:w="80" w:type="dxa"/>
              <w:left w:w="80" w:type="dxa"/>
              <w:bottom w:w="80" w:type="dxa"/>
              <w:right w:w="80" w:type="dxa"/>
            </w:tcMar>
          </w:tcPr>
          <w:p w14:paraId="6DBA2A37"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2 - 22 ng mL</w:t>
            </w:r>
            <w:r w:rsidRPr="00C2021A">
              <w:rPr>
                <w:rFonts w:cs="Arial"/>
                <w:color w:val="auto"/>
                <w:sz w:val="12"/>
                <w:szCs w:val="12"/>
                <w:vertAlign w:val="superscript"/>
              </w:rPr>
              <w:t>-1</w:t>
            </w:r>
          </w:p>
        </w:tc>
        <w:tc>
          <w:tcPr>
            <w:tcW w:w="810" w:type="dxa"/>
            <w:shd w:val="clear" w:color="auto" w:fill="auto"/>
            <w:tcMar>
              <w:top w:w="80" w:type="dxa"/>
              <w:left w:w="80" w:type="dxa"/>
              <w:bottom w:w="80" w:type="dxa"/>
              <w:right w:w="80" w:type="dxa"/>
            </w:tcMar>
          </w:tcPr>
          <w:p w14:paraId="19F2649D"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N/A</w:t>
            </w:r>
          </w:p>
        </w:tc>
        <w:tc>
          <w:tcPr>
            <w:tcW w:w="1080" w:type="dxa"/>
            <w:shd w:val="clear" w:color="auto" w:fill="auto"/>
            <w:tcMar>
              <w:top w:w="80" w:type="dxa"/>
              <w:left w:w="80" w:type="dxa"/>
              <w:bottom w:w="80" w:type="dxa"/>
              <w:right w:w="80" w:type="dxa"/>
            </w:tcMar>
          </w:tcPr>
          <w:p w14:paraId="030A8C6B"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 xml:space="preserve">ELISA </w:t>
            </w:r>
          </w:p>
          <w:p w14:paraId="46B98CE2"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lang w:val="it-IT"/>
              </w:rPr>
              <w:t>RSD: 0.2- 3.35%</w:t>
            </w:r>
          </w:p>
        </w:tc>
        <w:tc>
          <w:tcPr>
            <w:tcW w:w="900" w:type="dxa"/>
          </w:tcPr>
          <w:p w14:paraId="575E93CB"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16 min</w:t>
            </w:r>
          </w:p>
        </w:tc>
        <w:tc>
          <w:tcPr>
            <w:tcW w:w="1170" w:type="dxa"/>
          </w:tcPr>
          <w:p w14:paraId="6258AD7C"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7F04469C"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Whole saliva</w:t>
            </w:r>
          </w:p>
        </w:tc>
        <w:tc>
          <w:tcPr>
            <w:tcW w:w="990" w:type="dxa"/>
            <w:shd w:val="clear" w:color="auto" w:fill="auto"/>
            <w:tcMar>
              <w:top w:w="80" w:type="dxa"/>
              <w:left w:w="80" w:type="dxa"/>
              <w:bottom w:w="80" w:type="dxa"/>
              <w:right w:w="80" w:type="dxa"/>
            </w:tcMar>
          </w:tcPr>
          <w:p w14:paraId="6215C355"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(Kumar et al. 2016)</w:t>
            </w:r>
            <w:r w:rsidRPr="00C2021A">
              <w:rPr>
                <w:rFonts w:cs="Arial"/>
                <w:color w:val="auto"/>
                <w:sz w:val="12"/>
                <w:szCs w:val="12"/>
              </w:rPr>
              <w:t xml:space="preserve"> </w:t>
            </w:r>
          </w:p>
        </w:tc>
      </w:tr>
      <w:tr w:rsidR="00C2021A" w:rsidRPr="00C2021A" w14:paraId="26525E7B" w14:textId="77777777" w:rsidTr="00483642">
        <w:trPr>
          <w:trHeight w:val="414"/>
          <w:jc w:val="center"/>
        </w:trPr>
        <w:tc>
          <w:tcPr>
            <w:tcW w:w="895" w:type="dxa"/>
            <w:shd w:val="clear" w:color="auto" w:fill="auto"/>
            <w:tcMar>
              <w:top w:w="80" w:type="dxa"/>
              <w:left w:w="80" w:type="dxa"/>
              <w:bottom w:w="80" w:type="dxa"/>
              <w:right w:w="80" w:type="dxa"/>
            </w:tcMar>
          </w:tcPr>
          <w:p w14:paraId="55768775"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CYFRA-21-1</w:t>
            </w:r>
          </w:p>
        </w:tc>
        <w:tc>
          <w:tcPr>
            <w:tcW w:w="1350" w:type="dxa"/>
            <w:shd w:val="clear" w:color="auto" w:fill="auto"/>
            <w:tcMar>
              <w:top w:w="80" w:type="dxa"/>
              <w:left w:w="80" w:type="dxa"/>
              <w:bottom w:w="80" w:type="dxa"/>
              <w:right w:w="80" w:type="dxa"/>
            </w:tcMar>
          </w:tcPr>
          <w:p w14:paraId="3F3770A4"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BSA/anti-CYFRA-21-1/APTES/nHfO2@RGO/ITO/glass</w:t>
            </w:r>
          </w:p>
        </w:tc>
        <w:tc>
          <w:tcPr>
            <w:tcW w:w="1170" w:type="dxa"/>
            <w:shd w:val="clear" w:color="auto" w:fill="auto"/>
            <w:tcMar>
              <w:top w:w="80" w:type="dxa"/>
              <w:left w:w="80" w:type="dxa"/>
              <w:bottom w:w="80" w:type="dxa"/>
              <w:right w:w="80" w:type="dxa"/>
            </w:tcMar>
          </w:tcPr>
          <w:p w14:paraId="4CE914F3"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DPV</w:t>
            </w:r>
          </w:p>
        </w:tc>
        <w:tc>
          <w:tcPr>
            <w:tcW w:w="630" w:type="dxa"/>
            <w:shd w:val="clear" w:color="auto" w:fill="auto"/>
            <w:tcMar>
              <w:top w:w="80" w:type="dxa"/>
              <w:left w:w="80" w:type="dxa"/>
              <w:bottom w:w="80" w:type="dxa"/>
              <w:right w:w="80" w:type="dxa"/>
            </w:tcMar>
          </w:tcPr>
          <w:p w14:paraId="24D59229"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0.16 </w:t>
            </w:r>
          </w:p>
          <w:p w14:paraId="3054E73E"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ng </w:t>
            </w:r>
            <w:proofErr w:type="gramStart"/>
            <w:r w:rsidRPr="00C2021A">
              <w:rPr>
                <w:rFonts w:cs="Arial"/>
                <w:color w:val="auto"/>
                <w:sz w:val="12"/>
                <w:szCs w:val="12"/>
              </w:rPr>
              <w:t>mL</w:t>
            </w:r>
            <w:r w:rsidRPr="00C2021A">
              <w:rPr>
                <w:rFonts w:cs="Arial"/>
                <w:color w:val="auto"/>
                <w:sz w:val="12"/>
                <w:szCs w:val="12"/>
                <w:vertAlign w:val="superscript"/>
              </w:rPr>
              <w:t>-1</w:t>
            </w:r>
            <w:proofErr w:type="gramEnd"/>
          </w:p>
          <w:p w14:paraId="4437FFC7" w14:textId="77777777" w:rsidR="008E41DB" w:rsidRPr="00C2021A" w:rsidRDefault="008E41DB" w:rsidP="00483642">
            <w:pPr>
              <w:spacing w:after="0" w:line="240" w:lineRule="auto"/>
              <w:rPr>
                <w:rFonts w:cs="Arial"/>
                <w:color w:val="auto"/>
                <w:sz w:val="12"/>
                <w:szCs w:val="12"/>
              </w:rPr>
            </w:pPr>
          </w:p>
        </w:tc>
        <w:tc>
          <w:tcPr>
            <w:tcW w:w="1170" w:type="dxa"/>
            <w:shd w:val="clear" w:color="auto" w:fill="auto"/>
            <w:tcMar>
              <w:top w:w="80" w:type="dxa"/>
              <w:left w:w="80" w:type="dxa"/>
              <w:bottom w:w="80" w:type="dxa"/>
              <w:right w:w="80" w:type="dxa"/>
            </w:tcMar>
          </w:tcPr>
          <w:p w14:paraId="335C4F5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0-30 ng </w:t>
            </w:r>
            <w:proofErr w:type="gramStart"/>
            <w:r w:rsidRPr="00C2021A">
              <w:rPr>
                <w:rFonts w:cs="Arial"/>
                <w:color w:val="auto"/>
                <w:sz w:val="12"/>
                <w:szCs w:val="12"/>
              </w:rPr>
              <w:t>mL</w:t>
            </w:r>
            <w:r w:rsidRPr="00C2021A">
              <w:rPr>
                <w:rFonts w:cs="Arial"/>
                <w:color w:val="auto"/>
                <w:sz w:val="12"/>
                <w:szCs w:val="12"/>
                <w:vertAlign w:val="superscript"/>
              </w:rPr>
              <w:t>-1</w:t>
            </w:r>
            <w:proofErr w:type="gramEnd"/>
          </w:p>
          <w:p w14:paraId="775D3CA2" w14:textId="77777777" w:rsidR="008E41DB" w:rsidRPr="00C2021A" w:rsidRDefault="008E41DB" w:rsidP="00483642">
            <w:pPr>
              <w:spacing w:after="0" w:line="240" w:lineRule="auto"/>
              <w:rPr>
                <w:rFonts w:cs="Arial"/>
                <w:color w:val="auto"/>
                <w:sz w:val="12"/>
                <w:szCs w:val="12"/>
              </w:rPr>
            </w:pPr>
          </w:p>
          <w:p w14:paraId="4EEC063E"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4FB847DF"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N/A</w:t>
            </w:r>
          </w:p>
          <w:p w14:paraId="6BAA1D8F" w14:textId="77777777" w:rsidR="008E41DB" w:rsidRPr="00C2021A" w:rsidRDefault="008E41DB" w:rsidP="00483642">
            <w:pPr>
              <w:spacing w:after="0" w:line="240" w:lineRule="auto"/>
              <w:rPr>
                <w:rFonts w:cs="Arial"/>
                <w:color w:val="auto"/>
                <w:sz w:val="12"/>
                <w:szCs w:val="12"/>
              </w:rPr>
            </w:pPr>
          </w:p>
          <w:p w14:paraId="783CF833" w14:textId="77777777" w:rsidR="008E41DB" w:rsidRPr="00C2021A" w:rsidRDefault="008E41DB" w:rsidP="00483642">
            <w:pPr>
              <w:spacing w:after="0" w:line="240" w:lineRule="auto"/>
              <w:rPr>
                <w:rFonts w:cs="Arial"/>
                <w:color w:val="auto"/>
                <w:sz w:val="12"/>
                <w:szCs w:val="12"/>
              </w:rPr>
            </w:pPr>
          </w:p>
        </w:tc>
        <w:tc>
          <w:tcPr>
            <w:tcW w:w="1080" w:type="dxa"/>
            <w:shd w:val="clear" w:color="auto" w:fill="auto"/>
            <w:tcMar>
              <w:top w:w="80" w:type="dxa"/>
              <w:left w:w="80" w:type="dxa"/>
              <w:bottom w:w="80" w:type="dxa"/>
              <w:right w:w="80" w:type="dxa"/>
            </w:tcMar>
          </w:tcPr>
          <w:p w14:paraId="560AA31A"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 xml:space="preserve">ELISA </w:t>
            </w:r>
          </w:p>
          <w:p w14:paraId="71200FE8"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RSD: 2.2-8%</w:t>
            </w:r>
          </w:p>
        </w:tc>
        <w:tc>
          <w:tcPr>
            <w:tcW w:w="900" w:type="dxa"/>
          </w:tcPr>
          <w:p w14:paraId="760F33F5"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15 mn</w:t>
            </w:r>
          </w:p>
        </w:tc>
        <w:tc>
          <w:tcPr>
            <w:tcW w:w="1170" w:type="dxa"/>
          </w:tcPr>
          <w:p w14:paraId="404947CC"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56543872"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90" w:type="dxa"/>
            <w:shd w:val="clear" w:color="auto" w:fill="auto"/>
            <w:tcMar>
              <w:top w:w="80" w:type="dxa"/>
              <w:left w:w="80" w:type="dxa"/>
              <w:bottom w:w="80" w:type="dxa"/>
              <w:right w:w="80" w:type="dxa"/>
            </w:tcMar>
          </w:tcPr>
          <w:p w14:paraId="7806575C"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(Kumar et al. 2018)</w:t>
            </w:r>
          </w:p>
        </w:tc>
      </w:tr>
      <w:tr w:rsidR="00C2021A" w:rsidRPr="00C2021A" w14:paraId="0A71CB47" w14:textId="77777777" w:rsidTr="00483642">
        <w:trPr>
          <w:trHeight w:val="17"/>
          <w:jc w:val="center"/>
        </w:trPr>
        <w:tc>
          <w:tcPr>
            <w:tcW w:w="895" w:type="dxa"/>
            <w:shd w:val="clear" w:color="auto" w:fill="auto"/>
            <w:tcMar>
              <w:top w:w="80" w:type="dxa"/>
              <w:left w:w="80" w:type="dxa"/>
              <w:bottom w:w="80" w:type="dxa"/>
              <w:right w:w="80" w:type="dxa"/>
            </w:tcMar>
          </w:tcPr>
          <w:p w14:paraId="40FF6A7A"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Interleukin-6 (IL-6)</w:t>
            </w:r>
          </w:p>
        </w:tc>
        <w:tc>
          <w:tcPr>
            <w:tcW w:w="1350" w:type="dxa"/>
            <w:shd w:val="clear" w:color="auto" w:fill="auto"/>
            <w:tcMar>
              <w:top w:w="80" w:type="dxa"/>
              <w:left w:w="80" w:type="dxa"/>
              <w:bottom w:w="80" w:type="dxa"/>
              <w:right w:w="80" w:type="dxa"/>
            </w:tcMar>
          </w:tcPr>
          <w:p w14:paraId="21A4A356"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rPr>
              <w:t>Aptameric GFET</w:t>
            </w:r>
          </w:p>
        </w:tc>
        <w:tc>
          <w:tcPr>
            <w:tcW w:w="1170" w:type="dxa"/>
            <w:shd w:val="clear" w:color="auto" w:fill="auto"/>
            <w:tcMar>
              <w:top w:w="80" w:type="dxa"/>
              <w:left w:w="80" w:type="dxa"/>
              <w:bottom w:w="80" w:type="dxa"/>
              <w:right w:w="80" w:type="dxa"/>
            </w:tcMar>
          </w:tcPr>
          <w:p w14:paraId="441AEBFD"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Potentio</w:t>
            </w:r>
            <w:proofErr w:type="spellEnd"/>
            <w:r w:rsidRPr="00C2021A">
              <w:rPr>
                <w:rFonts w:cs="Arial"/>
                <w:color w:val="auto"/>
                <w:sz w:val="12"/>
                <w:szCs w:val="12"/>
              </w:rPr>
              <w:t>-metric</w:t>
            </w:r>
          </w:p>
        </w:tc>
        <w:tc>
          <w:tcPr>
            <w:tcW w:w="630" w:type="dxa"/>
            <w:shd w:val="clear" w:color="auto" w:fill="auto"/>
            <w:tcMar>
              <w:top w:w="80" w:type="dxa"/>
              <w:left w:w="80" w:type="dxa"/>
              <w:bottom w:w="80" w:type="dxa"/>
              <w:right w:w="80" w:type="dxa"/>
            </w:tcMar>
          </w:tcPr>
          <w:p w14:paraId="57DC2944"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12.2 Pm</w:t>
            </w:r>
          </w:p>
        </w:tc>
        <w:tc>
          <w:tcPr>
            <w:tcW w:w="1170" w:type="dxa"/>
            <w:shd w:val="clear" w:color="auto" w:fill="auto"/>
            <w:tcMar>
              <w:top w:w="80" w:type="dxa"/>
              <w:left w:w="80" w:type="dxa"/>
              <w:bottom w:w="80" w:type="dxa"/>
              <w:right w:w="80" w:type="dxa"/>
            </w:tcMar>
          </w:tcPr>
          <w:p w14:paraId="3428062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0.05 - 0.8 </w:t>
            </w:r>
            <w:proofErr w:type="spellStart"/>
            <w:r w:rsidRPr="00C2021A">
              <w:rPr>
                <w:rFonts w:cs="Arial"/>
                <w:color w:val="auto"/>
                <w:sz w:val="12"/>
                <w:szCs w:val="12"/>
              </w:rPr>
              <w:t>nM</w:t>
            </w:r>
            <w:proofErr w:type="spellEnd"/>
          </w:p>
        </w:tc>
        <w:tc>
          <w:tcPr>
            <w:tcW w:w="810" w:type="dxa"/>
            <w:shd w:val="clear" w:color="auto" w:fill="auto"/>
            <w:tcMar>
              <w:top w:w="80" w:type="dxa"/>
              <w:left w:w="80" w:type="dxa"/>
              <w:bottom w:w="80" w:type="dxa"/>
              <w:right w:w="80" w:type="dxa"/>
            </w:tcMar>
          </w:tcPr>
          <w:p w14:paraId="7E81921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N/A</w:t>
            </w:r>
          </w:p>
          <w:p w14:paraId="4BCF2AFE" w14:textId="77777777" w:rsidR="008E41DB" w:rsidRPr="00C2021A" w:rsidRDefault="008E41DB" w:rsidP="00483642">
            <w:pPr>
              <w:spacing w:after="0" w:line="240" w:lineRule="auto"/>
              <w:rPr>
                <w:rFonts w:cs="Arial"/>
                <w:color w:val="auto"/>
                <w:sz w:val="12"/>
                <w:szCs w:val="12"/>
              </w:rPr>
            </w:pPr>
          </w:p>
        </w:tc>
        <w:tc>
          <w:tcPr>
            <w:tcW w:w="1080" w:type="dxa"/>
            <w:shd w:val="clear" w:color="auto" w:fill="auto"/>
            <w:tcMar>
              <w:top w:w="80" w:type="dxa"/>
              <w:left w:w="80" w:type="dxa"/>
              <w:bottom w:w="80" w:type="dxa"/>
              <w:right w:w="80" w:type="dxa"/>
            </w:tcMar>
          </w:tcPr>
          <w:p w14:paraId="65B11EA0"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N/A</w:t>
            </w:r>
          </w:p>
          <w:p w14:paraId="56F0BD7C" w14:textId="77777777" w:rsidR="008E41DB" w:rsidRPr="00C2021A" w:rsidRDefault="008E41DB" w:rsidP="00483642">
            <w:pPr>
              <w:spacing w:after="0" w:line="240" w:lineRule="auto"/>
              <w:rPr>
                <w:rFonts w:cs="Arial"/>
                <w:color w:val="auto"/>
                <w:sz w:val="12"/>
                <w:szCs w:val="12"/>
                <w:lang w:val="it-IT"/>
              </w:rPr>
            </w:pPr>
          </w:p>
        </w:tc>
        <w:tc>
          <w:tcPr>
            <w:tcW w:w="900" w:type="dxa"/>
          </w:tcPr>
          <w:p w14:paraId="6CA22452"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400s</w:t>
            </w:r>
          </w:p>
        </w:tc>
        <w:tc>
          <w:tcPr>
            <w:tcW w:w="1170" w:type="dxa"/>
          </w:tcPr>
          <w:p w14:paraId="23585BAC"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30 µL</w:t>
            </w:r>
          </w:p>
        </w:tc>
        <w:tc>
          <w:tcPr>
            <w:tcW w:w="900" w:type="dxa"/>
          </w:tcPr>
          <w:p w14:paraId="0FC18EF5"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1:4 dilution with PBS</w:t>
            </w:r>
          </w:p>
        </w:tc>
        <w:tc>
          <w:tcPr>
            <w:tcW w:w="990" w:type="dxa"/>
            <w:shd w:val="clear" w:color="auto" w:fill="auto"/>
            <w:tcMar>
              <w:top w:w="80" w:type="dxa"/>
              <w:left w:w="80" w:type="dxa"/>
              <w:bottom w:w="80" w:type="dxa"/>
              <w:right w:w="80" w:type="dxa"/>
            </w:tcMar>
          </w:tcPr>
          <w:p w14:paraId="0F960CB2"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(Hao et al. 2019)</w:t>
            </w:r>
          </w:p>
        </w:tc>
      </w:tr>
      <w:tr w:rsidR="00C2021A" w:rsidRPr="00C2021A" w14:paraId="09AD12C5" w14:textId="77777777" w:rsidTr="00483642">
        <w:trPr>
          <w:trHeight w:val="17"/>
          <w:jc w:val="center"/>
        </w:trPr>
        <w:tc>
          <w:tcPr>
            <w:tcW w:w="895" w:type="dxa"/>
            <w:shd w:val="clear" w:color="auto" w:fill="auto"/>
            <w:tcMar>
              <w:top w:w="80" w:type="dxa"/>
              <w:left w:w="80" w:type="dxa"/>
              <w:bottom w:w="80" w:type="dxa"/>
              <w:right w:w="80" w:type="dxa"/>
            </w:tcMar>
          </w:tcPr>
          <w:p w14:paraId="4A9028A0"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Interleukin-8 (IL-8)</w:t>
            </w:r>
          </w:p>
        </w:tc>
        <w:tc>
          <w:tcPr>
            <w:tcW w:w="1350" w:type="dxa"/>
            <w:shd w:val="clear" w:color="auto" w:fill="auto"/>
            <w:tcMar>
              <w:top w:w="80" w:type="dxa"/>
              <w:left w:w="80" w:type="dxa"/>
              <w:bottom w:w="80" w:type="dxa"/>
              <w:right w:w="80" w:type="dxa"/>
            </w:tcMar>
          </w:tcPr>
          <w:p w14:paraId="1773670E"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rPr>
              <w:t>AuNPs-</w:t>
            </w:r>
            <w:proofErr w:type="spellStart"/>
            <w:r w:rsidRPr="00C2021A">
              <w:rPr>
                <w:rFonts w:cs="Arial"/>
                <w:color w:val="auto"/>
                <w:sz w:val="12"/>
                <w:szCs w:val="12"/>
              </w:rPr>
              <w:t>rGO</w:t>
            </w:r>
            <w:proofErr w:type="spellEnd"/>
            <w:r w:rsidRPr="00C2021A">
              <w:rPr>
                <w:rFonts w:cs="Arial"/>
                <w:color w:val="auto"/>
                <w:sz w:val="12"/>
                <w:szCs w:val="12"/>
              </w:rPr>
              <w:t>/ITO/glass</w:t>
            </w:r>
          </w:p>
        </w:tc>
        <w:tc>
          <w:tcPr>
            <w:tcW w:w="1170" w:type="dxa"/>
            <w:shd w:val="clear" w:color="auto" w:fill="auto"/>
            <w:tcMar>
              <w:top w:w="80" w:type="dxa"/>
              <w:left w:w="80" w:type="dxa"/>
              <w:bottom w:w="80" w:type="dxa"/>
              <w:right w:w="80" w:type="dxa"/>
            </w:tcMar>
          </w:tcPr>
          <w:p w14:paraId="41455143"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DPV</w:t>
            </w:r>
          </w:p>
        </w:tc>
        <w:tc>
          <w:tcPr>
            <w:tcW w:w="630" w:type="dxa"/>
            <w:shd w:val="clear" w:color="auto" w:fill="auto"/>
            <w:tcMar>
              <w:top w:w="80" w:type="dxa"/>
              <w:left w:w="80" w:type="dxa"/>
              <w:bottom w:w="80" w:type="dxa"/>
              <w:right w:w="80" w:type="dxa"/>
            </w:tcMar>
          </w:tcPr>
          <w:p w14:paraId="1B4B54A1"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73 </w:t>
            </w:r>
          </w:p>
          <w:p w14:paraId="33FA5D6F"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pg</w:t>
            </w:r>
            <w:proofErr w:type="spellEnd"/>
            <w:r w:rsidRPr="00C2021A">
              <w:rPr>
                <w:rFonts w:cs="Arial"/>
                <w:color w:val="auto"/>
                <w:sz w:val="12"/>
                <w:szCs w:val="12"/>
              </w:rPr>
              <w:t xml:space="preserve"> </w:t>
            </w:r>
            <w:proofErr w:type="gramStart"/>
            <w:r w:rsidRPr="00C2021A">
              <w:rPr>
                <w:rFonts w:cs="Arial"/>
                <w:color w:val="auto"/>
                <w:sz w:val="12"/>
                <w:szCs w:val="12"/>
              </w:rPr>
              <w:t>mL</w:t>
            </w:r>
            <w:r w:rsidRPr="00C2021A">
              <w:rPr>
                <w:rFonts w:cs="Arial"/>
                <w:color w:val="auto"/>
                <w:sz w:val="12"/>
                <w:szCs w:val="12"/>
                <w:vertAlign w:val="superscript"/>
              </w:rPr>
              <w:t>-1</w:t>
            </w:r>
            <w:proofErr w:type="gramEnd"/>
          </w:p>
        </w:tc>
        <w:tc>
          <w:tcPr>
            <w:tcW w:w="1170" w:type="dxa"/>
            <w:shd w:val="clear" w:color="auto" w:fill="auto"/>
            <w:tcMar>
              <w:top w:w="80" w:type="dxa"/>
              <w:left w:w="80" w:type="dxa"/>
              <w:bottom w:w="80" w:type="dxa"/>
              <w:right w:w="80" w:type="dxa"/>
            </w:tcMar>
          </w:tcPr>
          <w:p w14:paraId="26DF46F7"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500 </w:t>
            </w:r>
            <w:proofErr w:type="spellStart"/>
            <w:r w:rsidRPr="00C2021A">
              <w:rPr>
                <w:rFonts w:cs="Arial"/>
                <w:color w:val="auto"/>
                <w:sz w:val="12"/>
                <w:szCs w:val="12"/>
              </w:rPr>
              <w:t>fg</w:t>
            </w:r>
            <w:proofErr w:type="spellEnd"/>
            <w:r w:rsidRPr="00C2021A">
              <w:rPr>
                <w:rFonts w:cs="Arial"/>
                <w:color w:val="auto"/>
                <w:sz w:val="12"/>
                <w:szCs w:val="12"/>
              </w:rPr>
              <w:t xml:space="preserve"> mL</w:t>
            </w:r>
            <w:r w:rsidRPr="00C2021A">
              <w:rPr>
                <w:rFonts w:cs="Arial"/>
                <w:color w:val="auto"/>
                <w:sz w:val="12"/>
                <w:szCs w:val="12"/>
                <w:vertAlign w:val="superscript"/>
              </w:rPr>
              <w:t>−1</w:t>
            </w:r>
            <w:r w:rsidRPr="00C2021A">
              <w:rPr>
                <w:rFonts w:cs="Arial"/>
                <w:color w:val="auto"/>
                <w:sz w:val="12"/>
                <w:szCs w:val="12"/>
              </w:rPr>
              <w:t xml:space="preserve"> - 4 ng mL</w:t>
            </w:r>
            <w:r w:rsidRPr="00C2021A">
              <w:rPr>
                <w:rFonts w:cs="Arial"/>
                <w:color w:val="auto"/>
                <w:sz w:val="12"/>
                <w:szCs w:val="12"/>
                <w:vertAlign w:val="superscript"/>
              </w:rPr>
              <w:t>−1</w:t>
            </w:r>
          </w:p>
        </w:tc>
        <w:tc>
          <w:tcPr>
            <w:tcW w:w="810" w:type="dxa"/>
            <w:shd w:val="clear" w:color="auto" w:fill="auto"/>
            <w:tcMar>
              <w:top w:w="80" w:type="dxa"/>
              <w:left w:w="80" w:type="dxa"/>
              <w:bottom w:w="80" w:type="dxa"/>
              <w:right w:w="80" w:type="dxa"/>
            </w:tcMar>
          </w:tcPr>
          <w:p w14:paraId="5EB22AD3"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94.15%</w:t>
            </w:r>
          </w:p>
          <w:p w14:paraId="7421CA39" w14:textId="77777777" w:rsidR="008E41DB" w:rsidRPr="00C2021A" w:rsidRDefault="008E41DB" w:rsidP="00483642">
            <w:pPr>
              <w:spacing w:after="0" w:line="240" w:lineRule="auto"/>
              <w:rPr>
                <w:rFonts w:cs="Arial"/>
                <w:color w:val="auto"/>
                <w:sz w:val="12"/>
                <w:szCs w:val="12"/>
              </w:rPr>
            </w:pPr>
          </w:p>
        </w:tc>
        <w:tc>
          <w:tcPr>
            <w:tcW w:w="1080" w:type="dxa"/>
            <w:shd w:val="clear" w:color="auto" w:fill="auto"/>
            <w:tcMar>
              <w:top w:w="80" w:type="dxa"/>
              <w:left w:w="80" w:type="dxa"/>
              <w:bottom w:w="80" w:type="dxa"/>
              <w:right w:w="80" w:type="dxa"/>
            </w:tcMar>
          </w:tcPr>
          <w:p w14:paraId="4F57EA49"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N/A</w:t>
            </w:r>
          </w:p>
        </w:tc>
        <w:tc>
          <w:tcPr>
            <w:tcW w:w="900" w:type="dxa"/>
          </w:tcPr>
          <w:p w14:paraId="7AC3DCD7"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9 min</w:t>
            </w:r>
          </w:p>
        </w:tc>
        <w:tc>
          <w:tcPr>
            <w:tcW w:w="1170" w:type="dxa"/>
          </w:tcPr>
          <w:p w14:paraId="46FC1AA4"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5096ED34"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Whole saliva</w:t>
            </w:r>
          </w:p>
        </w:tc>
        <w:tc>
          <w:tcPr>
            <w:tcW w:w="990" w:type="dxa"/>
            <w:shd w:val="clear" w:color="auto" w:fill="auto"/>
            <w:tcMar>
              <w:top w:w="80" w:type="dxa"/>
              <w:left w:w="80" w:type="dxa"/>
              <w:bottom w:w="80" w:type="dxa"/>
              <w:right w:w="80" w:type="dxa"/>
            </w:tcMar>
          </w:tcPr>
          <w:p w14:paraId="4916C5BF"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(Verma et al. 2017)</w:t>
            </w:r>
          </w:p>
        </w:tc>
      </w:tr>
      <w:tr w:rsidR="00C2021A" w:rsidRPr="00C2021A" w14:paraId="733812DB" w14:textId="77777777" w:rsidTr="00483642">
        <w:trPr>
          <w:trHeight w:val="17"/>
          <w:jc w:val="center"/>
        </w:trPr>
        <w:tc>
          <w:tcPr>
            <w:tcW w:w="895" w:type="dxa"/>
            <w:shd w:val="clear" w:color="auto" w:fill="auto"/>
            <w:tcMar>
              <w:top w:w="80" w:type="dxa"/>
              <w:left w:w="80" w:type="dxa"/>
              <w:bottom w:w="80" w:type="dxa"/>
              <w:right w:w="80" w:type="dxa"/>
            </w:tcMar>
          </w:tcPr>
          <w:p w14:paraId="4FB5D600"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Interleukin-8 (IL-8)</w:t>
            </w:r>
          </w:p>
        </w:tc>
        <w:tc>
          <w:tcPr>
            <w:tcW w:w="1350" w:type="dxa"/>
            <w:shd w:val="clear" w:color="auto" w:fill="auto"/>
            <w:tcMar>
              <w:top w:w="80" w:type="dxa"/>
              <w:left w:w="80" w:type="dxa"/>
              <w:bottom w:w="80" w:type="dxa"/>
              <w:right w:w="80" w:type="dxa"/>
            </w:tcMar>
          </w:tcPr>
          <w:p w14:paraId="0DDF8DF4"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Anti-IL-8/ZnO-rGO/ITO/glass</w:t>
            </w:r>
          </w:p>
        </w:tc>
        <w:tc>
          <w:tcPr>
            <w:tcW w:w="1170" w:type="dxa"/>
            <w:shd w:val="clear" w:color="auto" w:fill="auto"/>
            <w:tcMar>
              <w:top w:w="80" w:type="dxa"/>
              <w:left w:w="80" w:type="dxa"/>
              <w:bottom w:w="80" w:type="dxa"/>
              <w:right w:w="80" w:type="dxa"/>
            </w:tcMar>
          </w:tcPr>
          <w:p w14:paraId="545575D9"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DPV</w:t>
            </w:r>
          </w:p>
          <w:p w14:paraId="6D96E61D" w14:textId="77777777" w:rsidR="008E41DB" w:rsidRPr="00C2021A" w:rsidRDefault="008E41DB" w:rsidP="00483642">
            <w:pPr>
              <w:spacing w:after="0" w:line="240" w:lineRule="auto"/>
              <w:rPr>
                <w:rFonts w:cs="Arial"/>
                <w:color w:val="auto"/>
                <w:sz w:val="12"/>
                <w:szCs w:val="12"/>
              </w:rPr>
            </w:pPr>
          </w:p>
        </w:tc>
        <w:tc>
          <w:tcPr>
            <w:tcW w:w="630" w:type="dxa"/>
            <w:shd w:val="clear" w:color="auto" w:fill="auto"/>
            <w:tcMar>
              <w:top w:w="80" w:type="dxa"/>
              <w:left w:w="80" w:type="dxa"/>
              <w:bottom w:w="80" w:type="dxa"/>
              <w:right w:w="80" w:type="dxa"/>
            </w:tcMar>
          </w:tcPr>
          <w:p w14:paraId="5106D009"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51.53 </w:t>
            </w:r>
          </w:p>
          <w:p w14:paraId="0D67B985"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pg</w:t>
            </w:r>
            <w:proofErr w:type="spellEnd"/>
            <w:r w:rsidRPr="00C2021A">
              <w:rPr>
                <w:rFonts w:cs="Arial"/>
                <w:color w:val="auto"/>
                <w:sz w:val="12"/>
                <w:szCs w:val="12"/>
              </w:rPr>
              <w:t xml:space="preserve"> </w:t>
            </w:r>
            <w:proofErr w:type="gramStart"/>
            <w:r w:rsidRPr="00C2021A">
              <w:rPr>
                <w:rFonts w:cs="Arial"/>
                <w:color w:val="auto"/>
                <w:sz w:val="12"/>
                <w:szCs w:val="12"/>
              </w:rPr>
              <w:t>mL</w:t>
            </w:r>
            <w:r w:rsidRPr="00C2021A">
              <w:rPr>
                <w:rFonts w:cs="Arial"/>
                <w:color w:val="auto"/>
                <w:sz w:val="12"/>
                <w:szCs w:val="12"/>
                <w:vertAlign w:val="superscript"/>
              </w:rPr>
              <w:t>-1</w:t>
            </w:r>
            <w:proofErr w:type="gramEnd"/>
          </w:p>
        </w:tc>
        <w:tc>
          <w:tcPr>
            <w:tcW w:w="1170" w:type="dxa"/>
            <w:shd w:val="clear" w:color="auto" w:fill="auto"/>
            <w:tcMar>
              <w:top w:w="80" w:type="dxa"/>
              <w:left w:w="80" w:type="dxa"/>
              <w:bottom w:w="80" w:type="dxa"/>
              <w:right w:w="80" w:type="dxa"/>
            </w:tcMar>
          </w:tcPr>
          <w:p w14:paraId="5F44EB65"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100 </w:t>
            </w:r>
            <w:proofErr w:type="spellStart"/>
            <w:r w:rsidRPr="00C2021A">
              <w:rPr>
                <w:rFonts w:cs="Arial"/>
                <w:color w:val="auto"/>
                <w:sz w:val="12"/>
                <w:szCs w:val="12"/>
              </w:rPr>
              <w:t>fg</w:t>
            </w:r>
            <w:proofErr w:type="spellEnd"/>
            <w:r w:rsidRPr="00C2021A">
              <w:rPr>
                <w:rFonts w:cs="Arial"/>
                <w:color w:val="auto"/>
                <w:sz w:val="12"/>
                <w:szCs w:val="12"/>
              </w:rPr>
              <w:t>/mL - 5 ng mL</w:t>
            </w:r>
            <w:r w:rsidRPr="00C2021A">
              <w:rPr>
                <w:rFonts w:cs="Arial"/>
                <w:color w:val="auto"/>
                <w:sz w:val="12"/>
                <w:szCs w:val="12"/>
                <w:vertAlign w:val="superscript"/>
              </w:rPr>
              <w:t>-1</w:t>
            </w:r>
          </w:p>
        </w:tc>
        <w:tc>
          <w:tcPr>
            <w:tcW w:w="810" w:type="dxa"/>
            <w:shd w:val="clear" w:color="auto" w:fill="auto"/>
            <w:tcMar>
              <w:top w:w="80" w:type="dxa"/>
              <w:left w:w="80" w:type="dxa"/>
              <w:bottom w:w="80" w:type="dxa"/>
              <w:right w:w="80" w:type="dxa"/>
            </w:tcMar>
          </w:tcPr>
          <w:p w14:paraId="720777DA"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95 - 100%</w:t>
            </w:r>
          </w:p>
        </w:tc>
        <w:tc>
          <w:tcPr>
            <w:tcW w:w="1080" w:type="dxa"/>
            <w:shd w:val="clear" w:color="auto" w:fill="auto"/>
            <w:tcMar>
              <w:top w:w="80" w:type="dxa"/>
              <w:left w:w="80" w:type="dxa"/>
              <w:bottom w:w="80" w:type="dxa"/>
              <w:right w:w="80" w:type="dxa"/>
            </w:tcMar>
          </w:tcPr>
          <w:p w14:paraId="238DD132"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N/A</w:t>
            </w:r>
          </w:p>
        </w:tc>
        <w:tc>
          <w:tcPr>
            <w:tcW w:w="900" w:type="dxa"/>
          </w:tcPr>
          <w:p w14:paraId="129F2D54"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10 min</w:t>
            </w:r>
          </w:p>
        </w:tc>
        <w:tc>
          <w:tcPr>
            <w:tcW w:w="1170" w:type="dxa"/>
          </w:tcPr>
          <w:p w14:paraId="7F9AB1E6"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6CA7C235"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1:10 dilution with 1 x PBS</w:t>
            </w:r>
          </w:p>
        </w:tc>
        <w:tc>
          <w:tcPr>
            <w:tcW w:w="990" w:type="dxa"/>
            <w:shd w:val="clear" w:color="auto" w:fill="auto"/>
            <w:tcMar>
              <w:top w:w="80" w:type="dxa"/>
              <w:left w:w="80" w:type="dxa"/>
              <w:bottom w:w="80" w:type="dxa"/>
              <w:right w:w="80" w:type="dxa"/>
            </w:tcMar>
          </w:tcPr>
          <w:p w14:paraId="7AD25C9E"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(Verma and Singh 2019)</w:t>
            </w:r>
          </w:p>
        </w:tc>
      </w:tr>
      <w:tr w:rsidR="00C2021A" w:rsidRPr="00C2021A" w14:paraId="37CB9163" w14:textId="77777777" w:rsidTr="00483642">
        <w:trPr>
          <w:trHeight w:val="432"/>
          <w:jc w:val="center"/>
        </w:trPr>
        <w:tc>
          <w:tcPr>
            <w:tcW w:w="895" w:type="dxa"/>
            <w:shd w:val="clear" w:color="auto" w:fill="auto"/>
            <w:tcMar>
              <w:top w:w="80" w:type="dxa"/>
              <w:left w:w="80" w:type="dxa"/>
              <w:bottom w:w="80" w:type="dxa"/>
              <w:right w:w="80" w:type="dxa"/>
            </w:tcMar>
          </w:tcPr>
          <w:p w14:paraId="49384655"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Prostate specific antigen (PSA)</w:t>
            </w:r>
          </w:p>
        </w:tc>
        <w:tc>
          <w:tcPr>
            <w:tcW w:w="1350" w:type="dxa"/>
            <w:shd w:val="clear" w:color="auto" w:fill="auto"/>
            <w:tcMar>
              <w:top w:w="80" w:type="dxa"/>
              <w:left w:w="80" w:type="dxa"/>
              <w:bottom w:w="80" w:type="dxa"/>
              <w:right w:w="80" w:type="dxa"/>
            </w:tcMar>
          </w:tcPr>
          <w:p w14:paraId="0EEEFE94"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Graphene-polymer-PS</w:t>
            </w:r>
            <w:r w:rsidRPr="00C2021A">
              <w:rPr>
                <w:rFonts w:cs="Arial"/>
                <w:color w:val="auto"/>
                <w:sz w:val="12"/>
                <w:szCs w:val="12"/>
                <w:vertAlign w:val="subscript"/>
              </w:rPr>
              <w:t>67</w:t>
            </w:r>
            <w:r w:rsidRPr="00C2021A">
              <w:rPr>
                <w:rFonts w:cs="Arial"/>
                <w:color w:val="auto"/>
                <w:sz w:val="12"/>
                <w:szCs w:val="12"/>
              </w:rPr>
              <w:t>-b-PAA</w:t>
            </w:r>
            <w:r w:rsidRPr="00C2021A">
              <w:rPr>
                <w:rFonts w:cs="Arial"/>
                <w:color w:val="auto"/>
                <w:sz w:val="12"/>
                <w:szCs w:val="12"/>
                <w:vertAlign w:val="subscript"/>
              </w:rPr>
              <w:t>27</w:t>
            </w:r>
            <w:r w:rsidRPr="00C2021A">
              <w:rPr>
                <w:rFonts w:cs="Arial"/>
                <w:color w:val="auto"/>
                <w:sz w:val="12"/>
                <w:szCs w:val="12"/>
              </w:rPr>
              <w:t>-Au</w:t>
            </w:r>
          </w:p>
        </w:tc>
        <w:tc>
          <w:tcPr>
            <w:tcW w:w="1170" w:type="dxa"/>
            <w:shd w:val="clear" w:color="auto" w:fill="auto"/>
            <w:tcMar>
              <w:top w:w="80" w:type="dxa"/>
              <w:left w:w="80" w:type="dxa"/>
              <w:bottom w:w="80" w:type="dxa"/>
              <w:right w:w="80" w:type="dxa"/>
            </w:tcMar>
          </w:tcPr>
          <w:p w14:paraId="01A92320"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Chemi</w:t>
            </w:r>
            <w:proofErr w:type="spellEnd"/>
            <w:r w:rsidRPr="00C2021A">
              <w:rPr>
                <w:rFonts w:cs="Arial"/>
                <w:color w:val="auto"/>
                <w:sz w:val="12"/>
                <w:szCs w:val="12"/>
              </w:rPr>
              <w:t>-resistive</w:t>
            </w:r>
          </w:p>
          <w:p w14:paraId="50B52E4F" w14:textId="77777777" w:rsidR="008E41DB" w:rsidRPr="00C2021A" w:rsidRDefault="008E41DB" w:rsidP="00483642">
            <w:pPr>
              <w:spacing w:after="0" w:line="240" w:lineRule="auto"/>
              <w:rPr>
                <w:rFonts w:cs="Arial"/>
                <w:color w:val="auto"/>
                <w:sz w:val="12"/>
                <w:szCs w:val="12"/>
              </w:rPr>
            </w:pPr>
          </w:p>
          <w:p w14:paraId="51BE6291" w14:textId="77777777" w:rsidR="008E41DB" w:rsidRPr="00C2021A" w:rsidRDefault="008E41DB" w:rsidP="00483642">
            <w:pPr>
              <w:spacing w:after="0" w:line="240" w:lineRule="auto"/>
              <w:rPr>
                <w:rFonts w:cs="Arial"/>
                <w:color w:val="auto"/>
                <w:sz w:val="12"/>
                <w:szCs w:val="12"/>
              </w:rPr>
            </w:pPr>
          </w:p>
        </w:tc>
        <w:tc>
          <w:tcPr>
            <w:tcW w:w="630" w:type="dxa"/>
            <w:shd w:val="clear" w:color="auto" w:fill="auto"/>
            <w:tcMar>
              <w:top w:w="80" w:type="dxa"/>
              <w:left w:w="80" w:type="dxa"/>
              <w:bottom w:w="80" w:type="dxa"/>
              <w:right w:w="80" w:type="dxa"/>
            </w:tcMar>
          </w:tcPr>
          <w:p w14:paraId="0FD84020"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40 </w:t>
            </w:r>
          </w:p>
          <w:p w14:paraId="7620D13B"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fg</w:t>
            </w:r>
            <w:proofErr w:type="spellEnd"/>
            <w:r w:rsidRPr="00C2021A">
              <w:rPr>
                <w:rFonts w:cs="Arial"/>
                <w:color w:val="auto"/>
                <w:sz w:val="12"/>
                <w:szCs w:val="12"/>
              </w:rPr>
              <w:t xml:space="preserve"> </w:t>
            </w:r>
            <w:proofErr w:type="gramStart"/>
            <w:r w:rsidRPr="00C2021A">
              <w:rPr>
                <w:rFonts w:cs="Arial"/>
                <w:color w:val="auto"/>
                <w:sz w:val="12"/>
                <w:szCs w:val="12"/>
              </w:rPr>
              <w:t>mL</w:t>
            </w:r>
            <w:r w:rsidRPr="00C2021A">
              <w:rPr>
                <w:rFonts w:cs="Arial"/>
                <w:color w:val="auto"/>
                <w:sz w:val="12"/>
                <w:szCs w:val="12"/>
                <w:vertAlign w:val="superscript"/>
              </w:rPr>
              <w:t>−1</w:t>
            </w:r>
            <w:proofErr w:type="gramEnd"/>
          </w:p>
          <w:p w14:paraId="6407BAD2" w14:textId="77777777" w:rsidR="008E41DB" w:rsidRPr="00C2021A" w:rsidRDefault="008E41DB" w:rsidP="00483642">
            <w:pPr>
              <w:spacing w:after="0" w:line="240" w:lineRule="auto"/>
              <w:rPr>
                <w:rFonts w:cs="Arial"/>
                <w:color w:val="auto"/>
                <w:sz w:val="12"/>
                <w:szCs w:val="12"/>
              </w:rPr>
            </w:pPr>
          </w:p>
          <w:p w14:paraId="1796E3D5" w14:textId="77777777" w:rsidR="008E41DB" w:rsidRPr="00C2021A" w:rsidRDefault="008E41DB" w:rsidP="00483642">
            <w:pPr>
              <w:spacing w:after="0" w:line="240" w:lineRule="auto"/>
              <w:rPr>
                <w:rFonts w:cs="Arial"/>
                <w:color w:val="auto"/>
                <w:sz w:val="12"/>
                <w:szCs w:val="12"/>
              </w:rPr>
            </w:pPr>
          </w:p>
        </w:tc>
        <w:tc>
          <w:tcPr>
            <w:tcW w:w="1170" w:type="dxa"/>
            <w:shd w:val="clear" w:color="auto" w:fill="auto"/>
            <w:tcMar>
              <w:top w:w="80" w:type="dxa"/>
              <w:left w:w="80" w:type="dxa"/>
              <w:bottom w:w="80" w:type="dxa"/>
              <w:right w:w="80" w:type="dxa"/>
            </w:tcMar>
          </w:tcPr>
          <w:p w14:paraId="12AF182E"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100 </w:t>
            </w:r>
            <w:proofErr w:type="spellStart"/>
            <w:r w:rsidRPr="00C2021A">
              <w:rPr>
                <w:rFonts w:cs="Arial"/>
                <w:color w:val="auto"/>
                <w:sz w:val="12"/>
                <w:szCs w:val="12"/>
              </w:rPr>
              <w:t>fg</w:t>
            </w:r>
            <w:proofErr w:type="spellEnd"/>
            <w:r w:rsidRPr="00C2021A">
              <w:rPr>
                <w:rFonts w:cs="Arial"/>
                <w:color w:val="auto"/>
                <w:sz w:val="12"/>
                <w:szCs w:val="12"/>
              </w:rPr>
              <w:t xml:space="preserve"> mL</w:t>
            </w:r>
            <w:r w:rsidRPr="00C2021A">
              <w:rPr>
                <w:rFonts w:cs="Arial"/>
                <w:color w:val="auto"/>
                <w:sz w:val="12"/>
                <w:szCs w:val="12"/>
                <w:vertAlign w:val="superscript"/>
              </w:rPr>
              <w:t xml:space="preserve">−1 </w:t>
            </w:r>
            <w:r w:rsidRPr="00C2021A">
              <w:rPr>
                <w:rFonts w:cs="Arial"/>
                <w:color w:val="auto"/>
                <w:sz w:val="12"/>
                <w:szCs w:val="12"/>
              </w:rPr>
              <w:t>- 100 ng mL</w:t>
            </w:r>
            <w:r w:rsidRPr="00C2021A">
              <w:rPr>
                <w:rFonts w:cs="Arial"/>
                <w:color w:val="auto"/>
                <w:sz w:val="12"/>
                <w:szCs w:val="12"/>
                <w:vertAlign w:val="superscript"/>
              </w:rPr>
              <w:t>−1</w:t>
            </w:r>
          </w:p>
          <w:p w14:paraId="623F6038" w14:textId="77777777" w:rsidR="008E41DB" w:rsidRPr="00C2021A" w:rsidRDefault="008E41DB" w:rsidP="00483642">
            <w:pPr>
              <w:spacing w:after="0" w:line="240" w:lineRule="auto"/>
              <w:rPr>
                <w:rFonts w:cs="Arial"/>
                <w:color w:val="auto"/>
                <w:sz w:val="12"/>
                <w:szCs w:val="12"/>
              </w:rPr>
            </w:pPr>
          </w:p>
          <w:p w14:paraId="345B376F"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2A6A772A"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94 - 114%</w:t>
            </w:r>
          </w:p>
          <w:p w14:paraId="516A57EE" w14:textId="77777777" w:rsidR="008E41DB" w:rsidRPr="00C2021A" w:rsidRDefault="008E41DB" w:rsidP="00483642">
            <w:pPr>
              <w:spacing w:after="0" w:line="240" w:lineRule="auto"/>
              <w:rPr>
                <w:rFonts w:cs="Arial"/>
                <w:color w:val="auto"/>
                <w:sz w:val="12"/>
                <w:szCs w:val="12"/>
              </w:rPr>
            </w:pPr>
          </w:p>
          <w:p w14:paraId="77BC1ED9" w14:textId="77777777" w:rsidR="008E41DB" w:rsidRPr="00C2021A" w:rsidRDefault="008E41DB" w:rsidP="00483642">
            <w:pPr>
              <w:spacing w:after="0" w:line="240" w:lineRule="auto"/>
              <w:rPr>
                <w:rFonts w:cs="Arial"/>
                <w:color w:val="auto"/>
                <w:sz w:val="12"/>
                <w:szCs w:val="12"/>
              </w:rPr>
            </w:pPr>
          </w:p>
        </w:tc>
        <w:tc>
          <w:tcPr>
            <w:tcW w:w="1080" w:type="dxa"/>
            <w:shd w:val="clear" w:color="auto" w:fill="auto"/>
            <w:tcMar>
              <w:top w:w="80" w:type="dxa"/>
              <w:left w:w="80" w:type="dxa"/>
              <w:bottom w:w="80" w:type="dxa"/>
              <w:right w:w="80" w:type="dxa"/>
            </w:tcMar>
          </w:tcPr>
          <w:p w14:paraId="06F85F6D"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Self-designed ELISA protocol:</w:t>
            </w:r>
            <w:r w:rsidRPr="00C2021A">
              <w:rPr>
                <w:rFonts w:cs="Arial"/>
                <w:color w:val="auto"/>
                <w:sz w:val="12"/>
                <w:szCs w:val="12"/>
                <w:lang w:val="it-IT"/>
              </w:rPr>
              <w:br/>
              <w:t>94.02% linearity</w:t>
            </w:r>
          </w:p>
        </w:tc>
        <w:tc>
          <w:tcPr>
            <w:tcW w:w="900" w:type="dxa"/>
          </w:tcPr>
          <w:p w14:paraId="01717DFE"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1-3 min</w:t>
            </w:r>
          </w:p>
        </w:tc>
        <w:tc>
          <w:tcPr>
            <w:tcW w:w="1170" w:type="dxa"/>
          </w:tcPr>
          <w:p w14:paraId="79FB1EE2"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10 µL</w:t>
            </w:r>
          </w:p>
        </w:tc>
        <w:tc>
          <w:tcPr>
            <w:tcW w:w="900" w:type="dxa"/>
          </w:tcPr>
          <w:p w14:paraId="31DCCB59"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Whole saliva</w:t>
            </w:r>
          </w:p>
        </w:tc>
        <w:tc>
          <w:tcPr>
            <w:tcW w:w="990" w:type="dxa"/>
            <w:shd w:val="clear" w:color="auto" w:fill="auto"/>
            <w:tcMar>
              <w:top w:w="80" w:type="dxa"/>
              <w:left w:w="80" w:type="dxa"/>
              <w:bottom w:w="80" w:type="dxa"/>
              <w:right w:w="80" w:type="dxa"/>
            </w:tcMar>
          </w:tcPr>
          <w:p w14:paraId="7E71F576"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(Khan et al. 2018)</w:t>
            </w:r>
          </w:p>
          <w:p w14:paraId="74E2B1CA" w14:textId="77777777" w:rsidR="008E41DB" w:rsidRPr="00C2021A" w:rsidRDefault="008E41DB" w:rsidP="00483642">
            <w:pPr>
              <w:spacing w:after="0" w:line="240" w:lineRule="auto"/>
              <w:rPr>
                <w:rFonts w:cs="Arial"/>
                <w:color w:val="auto"/>
                <w:sz w:val="12"/>
                <w:szCs w:val="12"/>
              </w:rPr>
            </w:pPr>
          </w:p>
        </w:tc>
      </w:tr>
      <w:tr w:rsidR="00C2021A" w:rsidRPr="00C2021A" w14:paraId="4A5A7C9E" w14:textId="77777777" w:rsidTr="00483642">
        <w:trPr>
          <w:trHeight w:val="225"/>
          <w:jc w:val="center"/>
        </w:trPr>
        <w:tc>
          <w:tcPr>
            <w:tcW w:w="895" w:type="dxa"/>
            <w:shd w:val="clear" w:color="auto" w:fill="auto"/>
            <w:tcMar>
              <w:top w:w="80" w:type="dxa"/>
              <w:left w:w="80" w:type="dxa"/>
              <w:bottom w:w="80" w:type="dxa"/>
              <w:right w:w="80" w:type="dxa"/>
            </w:tcMar>
          </w:tcPr>
          <w:p w14:paraId="17955850"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Prostate specific antigen (PSA)</w:t>
            </w:r>
          </w:p>
        </w:tc>
        <w:tc>
          <w:tcPr>
            <w:tcW w:w="1350" w:type="dxa"/>
            <w:shd w:val="clear" w:color="auto" w:fill="auto"/>
            <w:tcMar>
              <w:top w:w="80" w:type="dxa"/>
              <w:left w:w="80" w:type="dxa"/>
              <w:bottom w:w="80" w:type="dxa"/>
              <w:right w:w="80" w:type="dxa"/>
            </w:tcMar>
          </w:tcPr>
          <w:p w14:paraId="5769A444"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MWCNT/His-</w:t>
            </w:r>
            <w:proofErr w:type="spellStart"/>
            <w:r w:rsidRPr="00C2021A">
              <w:rPr>
                <w:rFonts w:cs="Arial"/>
                <w:color w:val="auto"/>
                <w:sz w:val="12"/>
                <w:szCs w:val="12"/>
              </w:rPr>
              <w:t>rGO</w:t>
            </w:r>
            <w:proofErr w:type="spellEnd"/>
            <w:r w:rsidRPr="00C2021A">
              <w:rPr>
                <w:rFonts w:cs="Arial"/>
                <w:color w:val="auto"/>
                <w:sz w:val="12"/>
                <w:szCs w:val="12"/>
              </w:rPr>
              <w:t>/thionine/Ab/GCE</w:t>
            </w:r>
          </w:p>
        </w:tc>
        <w:tc>
          <w:tcPr>
            <w:tcW w:w="1170" w:type="dxa"/>
            <w:shd w:val="clear" w:color="auto" w:fill="auto"/>
            <w:tcMar>
              <w:top w:w="80" w:type="dxa"/>
              <w:left w:w="80" w:type="dxa"/>
              <w:bottom w:w="80" w:type="dxa"/>
              <w:right w:w="80" w:type="dxa"/>
            </w:tcMar>
          </w:tcPr>
          <w:p w14:paraId="0ACFAF2E"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DPV</w:t>
            </w:r>
          </w:p>
          <w:p w14:paraId="5C802F75" w14:textId="77777777" w:rsidR="008E41DB" w:rsidRPr="00C2021A" w:rsidRDefault="008E41DB" w:rsidP="00483642">
            <w:pPr>
              <w:spacing w:after="0" w:line="240" w:lineRule="auto"/>
              <w:rPr>
                <w:rFonts w:cs="Arial"/>
                <w:color w:val="auto"/>
                <w:sz w:val="12"/>
                <w:szCs w:val="12"/>
              </w:rPr>
            </w:pPr>
          </w:p>
        </w:tc>
        <w:tc>
          <w:tcPr>
            <w:tcW w:w="630" w:type="dxa"/>
            <w:shd w:val="clear" w:color="auto" w:fill="auto"/>
            <w:tcMar>
              <w:top w:w="80" w:type="dxa"/>
              <w:left w:w="80" w:type="dxa"/>
              <w:bottom w:w="80" w:type="dxa"/>
              <w:right w:w="80" w:type="dxa"/>
            </w:tcMar>
          </w:tcPr>
          <w:p w14:paraId="3CA97ABD"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2.8 </w:t>
            </w:r>
          </w:p>
          <w:p w14:paraId="4CD67954" w14:textId="77777777" w:rsidR="008E41DB" w:rsidRPr="00C2021A" w:rsidRDefault="008E41DB" w:rsidP="00483642">
            <w:pPr>
              <w:spacing w:after="0" w:line="240" w:lineRule="auto"/>
              <w:rPr>
                <w:rFonts w:cs="Arial"/>
                <w:color w:val="auto"/>
                <w:sz w:val="12"/>
                <w:szCs w:val="12"/>
                <w:vertAlign w:val="superscript"/>
              </w:rPr>
            </w:pPr>
            <w:proofErr w:type="spellStart"/>
            <w:r w:rsidRPr="00C2021A">
              <w:rPr>
                <w:rFonts w:cs="Arial"/>
                <w:color w:val="auto"/>
                <w:sz w:val="12"/>
                <w:szCs w:val="12"/>
              </w:rPr>
              <w:t>fg</w:t>
            </w:r>
            <w:proofErr w:type="spellEnd"/>
            <w:r w:rsidRPr="00C2021A">
              <w:rPr>
                <w:rFonts w:cs="Arial"/>
                <w:color w:val="auto"/>
                <w:sz w:val="12"/>
                <w:szCs w:val="12"/>
              </w:rPr>
              <w:t xml:space="preserve"> </w:t>
            </w:r>
            <w:proofErr w:type="gramStart"/>
            <w:r w:rsidRPr="00C2021A">
              <w:rPr>
                <w:rFonts w:cs="Arial"/>
                <w:color w:val="auto"/>
                <w:sz w:val="12"/>
                <w:szCs w:val="12"/>
              </w:rPr>
              <w:t>mL</w:t>
            </w:r>
            <w:r w:rsidRPr="00C2021A">
              <w:rPr>
                <w:rFonts w:cs="Arial"/>
                <w:color w:val="auto"/>
                <w:sz w:val="12"/>
                <w:szCs w:val="12"/>
                <w:vertAlign w:val="superscript"/>
              </w:rPr>
              <w:t>−1</w:t>
            </w:r>
            <w:proofErr w:type="gramEnd"/>
          </w:p>
          <w:p w14:paraId="5AF96F18" w14:textId="77777777" w:rsidR="008E41DB" w:rsidRPr="00C2021A" w:rsidRDefault="008E41DB" w:rsidP="00483642">
            <w:pPr>
              <w:spacing w:after="0" w:line="240" w:lineRule="auto"/>
              <w:rPr>
                <w:rFonts w:cs="Arial"/>
                <w:color w:val="auto"/>
                <w:sz w:val="12"/>
                <w:szCs w:val="12"/>
              </w:rPr>
            </w:pPr>
          </w:p>
        </w:tc>
        <w:tc>
          <w:tcPr>
            <w:tcW w:w="1170" w:type="dxa"/>
            <w:shd w:val="clear" w:color="auto" w:fill="auto"/>
            <w:tcMar>
              <w:top w:w="80" w:type="dxa"/>
              <w:left w:w="80" w:type="dxa"/>
              <w:bottom w:w="80" w:type="dxa"/>
              <w:right w:w="80" w:type="dxa"/>
            </w:tcMar>
          </w:tcPr>
          <w:p w14:paraId="2E27D4EB" w14:textId="77777777" w:rsidR="008E41DB" w:rsidRPr="00C2021A" w:rsidRDefault="008E41DB" w:rsidP="00483642">
            <w:pPr>
              <w:spacing w:after="0" w:line="240" w:lineRule="auto"/>
              <w:rPr>
                <w:rFonts w:cs="Arial"/>
                <w:color w:val="auto"/>
                <w:sz w:val="12"/>
                <w:szCs w:val="12"/>
                <w:vertAlign w:val="superscript"/>
              </w:rPr>
            </w:pPr>
            <w:r w:rsidRPr="00C2021A">
              <w:rPr>
                <w:rFonts w:cs="Arial"/>
                <w:color w:val="auto"/>
                <w:sz w:val="12"/>
                <w:szCs w:val="12"/>
              </w:rPr>
              <w:t xml:space="preserve">10 </w:t>
            </w:r>
            <w:proofErr w:type="spellStart"/>
            <w:r w:rsidRPr="00C2021A">
              <w:rPr>
                <w:rFonts w:cs="Arial"/>
                <w:color w:val="auto"/>
                <w:sz w:val="12"/>
                <w:szCs w:val="12"/>
              </w:rPr>
              <w:t>fg</w:t>
            </w:r>
            <w:proofErr w:type="spellEnd"/>
            <w:r w:rsidRPr="00C2021A">
              <w:rPr>
                <w:rFonts w:cs="Arial"/>
                <w:color w:val="auto"/>
                <w:sz w:val="12"/>
                <w:szCs w:val="12"/>
              </w:rPr>
              <w:t xml:space="preserve"> mL</w:t>
            </w:r>
            <w:r w:rsidRPr="00C2021A">
              <w:rPr>
                <w:rFonts w:cs="Arial"/>
                <w:color w:val="auto"/>
                <w:sz w:val="12"/>
                <w:szCs w:val="12"/>
                <w:vertAlign w:val="superscript"/>
              </w:rPr>
              <w:t xml:space="preserve">−1 </w:t>
            </w:r>
            <w:r w:rsidRPr="00C2021A">
              <w:rPr>
                <w:rFonts w:cs="Arial"/>
                <w:color w:val="auto"/>
                <w:sz w:val="12"/>
                <w:szCs w:val="12"/>
              </w:rPr>
              <w:t>- 20 ng mL</w:t>
            </w:r>
            <w:r w:rsidRPr="00C2021A">
              <w:rPr>
                <w:rFonts w:cs="Arial"/>
                <w:color w:val="auto"/>
                <w:sz w:val="12"/>
                <w:szCs w:val="12"/>
                <w:vertAlign w:val="superscript"/>
              </w:rPr>
              <w:t>−1</w:t>
            </w:r>
          </w:p>
          <w:p w14:paraId="4920161C"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6EFD08B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96.4 -101.9%</w:t>
            </w:r>
          </w:p>
          <w:p w14:paraId="7C4508F5" w14:textId="77777777" w:rsidR="008E41DB" w:rsidRPr="00C2021A" w:rsidRDefault="008E41DB" w:rsidP="00483642">
            <w:pPr>
              <w:spacing w:after="0" w:line="240" w:lineRule="auto"/>
              <w:rPr>
                <w:rFonts w:cs="Arial"/>
                <w:color w:val="auto"/>
                <w:sz w:val="12"/>
                <w:szCs w:val="12"/>
              </w:rPr>
            </w:pPr>
          </w:p>
        </w:tc>
        <w:tc>
          <w:tcPr>
            <w:tcW w:w="1080" w:type="dxa"/>
            <w:shd w:val="clear" w:color="auto" w:fill="auto"/>
            <w:tcMar>
              <w:top w:w="80" w:type="dxa"/>
              <w:left w:w="80" w:type="dxa"/>
              <w:bottom w:w="80" w:type="dxa"/>
              <w:right w:w="80" w:type="dxa"/>
            </w:tcMar>
          </w:tcPr>
          <w:p w14:paraId="7F759829"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ELISA</w:t>
            </w:r>
          </w:p>
          <w:p w14:paraId="5D5B5228"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97.6% accuracy</w:t>
            </w:r>
          </w:p>
          <w:p w14:paraId="136BACB7" w14:textId="77777777" w:rsidR="008E41DB" w:rsidRPr="00C2021A" w:rsidRDefault="008E41DB" w:rsidP="00483642">
            <w:pPr>
              <w:spacing w:after="0" w:line="240" w:lineRule="auto"/>
              <w:rPr>
                <w:rFonts w:cs="Arial"/>
                <w:color w:val="auto"/>
                <w:sz w:val="12"/>
                <w:szCs w:val="12"/>
                <w:lang w:val="it-IT"/>
              </w:rPr>
            </w:pPr>
          </w:p>
        </w:tc>
        <w:tc>
          <w:tcPr>
            <w:tcW w:w="900" w:type="dxa"/>
          </w:tcPr>
          <w:p w14:paraId="24CD9657"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25 min</w:t>
            </w:r>
          </w:p>
        </w:tc>
        <w:tc>
          <w:tcPr>
            <w:tcW w:w="1170" w:type="dxa"/>
          </w:tcPr>
          <w:p w14:paraId="7E0D415F"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5D91DB70"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1:10 dilution with PBS</w:t>
            </w:r>
          </w:p>
        </w:tc>
        <w:tc>
          <w:tcPr>
            <w:tcW w:w="990" w:type="dxa"/>
            <w:shd w:val="clear" w:color="auto" w:fill="auto"/>
            <w:tcMar>
              <w:top w:w="80" w:type="dxa"/>
              <w:left w:w="80" w:type="dxa"/>
              <w:bottom w:w="80" w:type="dxa"/>
              <w:right w:w="80" w:type="dxa"/>
            </w:tcMar>
          </w:tcPr>
          <w:p w14:paraId="3F9C3054"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(Farzin et al. 2019)</w:t>
            </w:r>
          </w:p>
          <w:p w14:paraId="65F6DBC8" w14:textId="77777777" w:rsidR="008E41DB" w:rsidRPr="00C2021A" w:rsidRDefault="008E41DB" w:rsidP="00483642">
            <w:pPr>
              <w:spacing w:after="0" w:line="240" w:lineRule="auto"/>
              <w:rPr>
                <w:rFonts w:cs="Arial"/>
                <w:color w:val="auto"/>
                <w:sz w:val="12"/>
                <w:szCs w:val="12"/>
              </w:rPr>
            </w:pPr>
          </w:p>
        </w:tc>
      </w:tr>
      <w:tr w:rsidR="00C2021A" w:rsidRPr="00C2021A" w14:paraId="0A6EFCF7" w14:textId="77777777" w:rsidTr="00483642">
        <w:trPr>
          <w:trHeight w:val="17"/>
          <w:jc w:val="center"/>
        </w:trPr>
        <w:tc>
          <w:tcPr>
            <w:tcW w:w="895" w:type="dxa"/>
            <w:shd w:val="clear" w:color="auto" w:fill="auto"/>
            <w:tcMar>
              <w:top w:w="80" w:type="dxa"/>
              <w:left w:w="80" w:type="dxa"/>
              <w:bottom w:w="80" w:type="dxa"/>
              <w:right w:w="80" w:type="dxa"/>
            </w:tcMar>
          </w:tcPr>
          <w:p w14:paraId="0C6BA7FF"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3-Nitro-l-tyrosine</w:t>
            </w:r>
          </w:p>
          <w:p w14:paraId="19189903"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(3-NT)</w:t>
            </w:r>
          </w:p>
        </w:tc>
        <w:tc>
          <w:tcPr>
            <w:tcW w:w="1350" w:type="dxa"/>
            <w:shd w:val="clear" w:color="auto" w:fill="auto"/>
            <w:tcMar>
              <w:top w:w="80" w:type="dxa"/>
              <w:left w:w="80" w:type="dxa"/>
              <w:bottom w:w="80" w:type="dxa"/>
              <w:right w:w="80" w:type="dxa"/>
            </w:tcMar>
          </w:tcPr>
          <w:p w14:paraId="5FB2C47B"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ZrO2@rGONCs/GCE</w:t>
            </w:r>
          </w:p>
          <w:p w14:paraId="68288BF5" w14:textId="77777777" w:rsidR="008E41DB" w:rsidRPr="00C2021A" w:rsidRDefault="008E41DB" w:rsidP="00483642">
            <w:pPr>
              <w:spacing w:after="0" w:line="240" w:lineRule="auto"/>
              <w:rPr>
                <w:rFonts w:cs="Arial"/>
                <w:color w:val="auto"/>
                <w:sz w:val="12"/>
                <w:szCs w:val="12"/>
                <w:lang w:val="it-IT"/>
              </w:rPr>
            </w:pPr>
          </w:p>
        </w:tc>
        <w:tc>
          <w:tcPr>
            <w:tcW w:w="1170" w:type="dxa"/>
            <w:shd w:val="clear" w:color="auto" w:fill="auto"/>
            <w:tcMar>
              <w:top w:w="80" w:type="dxa"/>
              <w:left w:w="80" w:type="dxa"/>
              <w:bottom w:w="80" w:type="dxa"/>
              <w:right w:w="80" w:type="dxa"/>
            </w:tcMar>
          </w:tcPr>
          <w:p w14:paraId="768E17B5"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Ampero</w:t>
            </w:r>
            <w:proofErr w:type="spellEnd"/>
            <w:r w:rsidRPr="00C2021A">
              <w:rPr>
                <w:rFonts w:cs="Arial"/>
                <w:color w:val="auto"/>
                <w:sz w:val="12"/>
                <w:szCs w:val="12"/>
              </w:rPr>
              <w:t>-metric</w:t>
            </w:r>
          </w:p>
          <w:p w14:paraId="44307590" w14:textId="77777777" w:rsidR="008E41DB" w:rsidRPr="00C2021A" w:rsidRDefault="008E41DB" w:rsidP="00483642">
            <w:pPr>
              <w:spacing w:after="0" w:line="240" w:lineRule="auto"/>
              <w:rPr>
                <w:rFonts w:cs="Arial"/>
                <w:color w:val="auto"/>
                <w:sz w:val="12"/>
                <w:szCs w:val="12"/>
              </w:rPr>
            </w:pPr>
          </w:p>
        </w:tc>
        <w:tc>
          <w:tcPr>
            <w:tcW w:w="630" w:type="dxa"/>
            <w:shd w:val="clear" w:color="auto" w:fill="auto"/>
            <w:tcMar>
              <w:top w:w="80" w:type="dxa"/>
              <w:left w:w="80" w:type="dxa"/>
              <w:bottom w:w="80" w:type="dxa"/>
              <w:right w:w="80" w:type="dxa"/>
            </w:tcMar>
          </w:tcPr>
          <w:p w14:paraId="121AE411"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0.009 µM</w:t>
            </w:r>
          </w:p>
          <w:p w14:paraId="2CAC0FFB" w14:textId="77777777" w:rsidR="008E41DB" w:rsidRPr="00C2021A" w:rsidRDefault="008E41DB" w:rsidP="00483642">
            <w:pPr>
              <w:spacing w:after="0" w:line="240" w:lineRule="auto"/>
              <w:rPr>
                <w:rFonts w:cs="Arial"/>
                <w:color w:val="auto"/>
                <w:sz w:val="12"/>
                <w:szCs w:val="12"/>
              </w:rPr>
            </w:pPr>
          </w:p>
        </w:tc>
        <w:tc>
          <w:tcPr>
            <w:tcW w:w="1170" w:type="dxa"/>
            <w:shd w:val="clear" w:color="auto" w:fill="auto"/>
            <w:tcMar>
              <w:top w:w="80" w:type="dxa"/>
              <w:left w:w="80" w:type="dxa"/>
              <w:bottom w:w="80" w:type="dxa"/>
              <w:right w:w="80" w:type="dxa"/>
            </w:tcMar>
          </w:tcPr>
          <w:p w14:paraId="5FEDE5AD"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0.025 - 855.2 </w:t>
            </w:r>
            <w:proofErr w:type="spellStart"/>
            <w:r w:rsidRPr="00C2021A">
              <w:rPr>
                <w:rFonts w:cs="Arial"/>
                <w:color w:val="auto"/>
                <w:sz w:val="12"/>
                <w:szCs w:val="12"/>
              </w:rPr>
              <w:t>μM</w:t>
            </w:r>
            <w:proofErr w:type="spellEnd"/>
          </w:p>
        </w:tc>
        <w:tc>
          <w:tcPr>
            <w:tcW w:w="810" w:type="dxa"/>
            <w:shd w:val="clear" w:color="auto" w:fill="auto"/>
            <w:tcMar>
              <w:top w:w="80" w:type="dxa"/>
              <w:left w:w="80" w:type="dxa"/>
              <w:bottom w:w="80" w:type="dxa"/>
              <w:right w:w="80" w:type="dxa"/>
            </w:tcMar>
          </w:tcPr>
          <w:p w14:paraId="4491015A"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94.61 -96.24%</w:t>
            </w:r>
          </w:p>
          <w:p w14:paraId="09EDBBEE" w14:textId="77777777" w:rsidR="008E41DB" w:rsidRPr="00C2021A" w:rsidRDefault="008E41DB" w:rsidP="00483642">
            <w:pPr>
              <w:spacing w:after="0" w:line="240" w:lineRule="auto"/>
              <w:rPr>
                <w:rFonts w:cs="Arial"/>
                <w:color w:val="auto"/>
                <w:sz w:val="12"/>
                <w:szCs w:val="12"/>
              </w:rPr>
            </w:pPr>
          </w:p>
        </w:tc>
        <w:tc>
          <w:tcPr>
            <w:tcW w:w="1080" w:type="dxa"/>
            <w:shd w:val="clear" w:color="auto" w:fill="auto"/>
            <w:tcMar>
              <w:top w:w="80" w:type="dxa"/>
              <w:left w:w="80" w:type="dxa"/>
              <w:bottom w:w="80" w:type="dxa"/>
              <w:right w:w="80" w:type="dxa"/>
            </w:tcMar>
          </w:tcPr>
          <w:p w14:paraId="004F51F6"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lang w:val="it-IT"/>
              </w:rPr>
              <w:t>N/A</w:t>
            </w:r>
          </w:p>
          <w:p w14:paraId="7E07FC31" w14:textId="77777777" w:rsidR="008E41DB" w:rsidRPr="00C2021A" w:rsidRDefault="008E41DB" w:rsidP="00483642">
            <w:pPr>
              <w:spacing w:after="0" w:line="240" w:lineRule="auto"/>
              <w:rPr>
                <w:rFonts w:cs="Arial"/>
                <w:color w:val="auto"/>
                <w:sz w:val="12"/>
                <w:szCs w:val="12"/>
                <w:lang w:val="it-IT"/>
              </w:rPr>
            </w:pPr>
          </w:p>
        </w:tc>
        <w:tc>
          <w:tcPr>
            <w:tcW w:w="900" w:type="dxa"/>
          </w:tcPr>
          <w:p w14:paraId="1362DBFE"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529E4842"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1D46F388"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Whole saliva</w:t>
            </w:r>
          </w:p>
        </w:tc>
        <w:tc>
          <w:tcPr>
            <w:tcW w:w="990" w:type="dxa"/>
            <w:shd w:val="clear" w:color="auto" w:fill="auto"/>
            <w:tcMar>
              <w:top w:w="80" w:type="dxa"/>
              <w:left w:w="80" w:type="dxa"/>
              <w:bottom w:w="80" w:type="dxa"/>
              <w:right w:w="80" w:type="dxa"/>
            </w:tcMar>
          </w:tcPr>
          <w:p w14:paraId="45F95CEE"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(Maheshwaran et al. 2020)</w:t>
            </w:r>
          </w:p>
        </w:tc>
      </w:tr>
      <w:tr w:rsidR="00C2021A" w:rsidRPr="00C2021A" w14:paraId="48C406B0" w14:textId="77777777" w:rsidTr="00483642">
        <w:trPr>
          <w:trHeight w:val="17"/>
          <w:jc w:val="center"/>
        </w:trPr>
        <w:tc>
          <w:tcPr>
            <w:tcW w:w="895" w:type="dxa"/>
            <w:shd w:val="clear" w:color="auto" w:fill="auto"/>
            <w:tcMar>
              <w:top w:w="80" w:type="dxa"/>
              <w:left w:w="80" w:type="dxa"/>
              <w:bottom w:w="80" w:type="dxa"/>
              <w:right w:w="80" w:type="dxa"/>
            </w:tcMar>
          </w:tcPr>
          <w:p w14:paraId="5EEB55C9"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rPr>
              <w:t>8-OHdG</w:t>
            </w:r>
          </w:p>
        </w:tc>
        <w:tc>
          <w:tcPr>
            <w:tcW w:w="1350" w:type="dxa"/>
            <w:shd w:val="clear" w:color="auto" w:fill="auto"/>
            <w:tcMar>
              <w:top w:w="80" w:type="dxa"/>
              <w:left w:w="80" w:type="dxa"/>
              <w:bottom w:w="80" w:type="dxa"/>
              <w:right w:w="80" w:type="dxa"/>
            </w:tcMar>
          </w:tcPr>
          <w:p w14:paraId="0546F9DB"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Graphene modified SPE</w:t>
            </w:r>
          </w:p>
        </w:tc>
        <w:tc>
          <w:tcPr>
            <w:tcW w:w="1170" w:type="dxa"/>
            <w:shd w:val="clear" w:color="auto" w:fill="auto"/>
            <w:tcMar>
              <w:top w:w="80" w:type="dxa"/>
              <w:left w:w="80" w:type="dxa"/>
              <w:bottom w:w="80" w:type="dxa"/>
              <w:right w:w="80" w:type="dxa"/>
            </w:tcMar>
          </w:tcPr>
          <w:p w14:paraId="0EEC0760"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CV</w:t>
            </w:r>
          </w:p>
        </w:tc>
        <w:tc>
          <w:tcPr>
            <w:tcW w:w="630" w:type="dxa"/>
            <w:shd w:val="clear" w:color="auto" w:fill="auto"/>
            <w:tcMar>
              <w:top w:w="80" w:type="dxa"/>
              <w:left w:w="80" w:type="dxa"/>
              <w:bottom w:w="80" w:type="dxa"/>
              <w:right w:w="80" w:type="dxa"/>
            </w:tcMar>
          </w:tcPr>
          <w:p w14:paraId="0FE3A5ED"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1.8 </w:t>
            </w:r>
            <w:proofErr w:type="spellStart"/>
            <w:r w:rsidRPr="00C2021A">
              <w:rPr>
                <w:rFonts w:cs="Arial"/>
                <w:color w:val="auto"/>
                <w:sz w:val="12"/>
                <w:szCs w:val="12"/>
              </w:rPr>
              <w:t>nM</w:t>
            </w:r>
            <w:proofErr w:type="spellEnd"/>
          </w:p>
        </w:tc>
        <w:tc>
          <w:tcPr>
            <w:tcW w:w="1170" w:type="dxa"/>
            <w:shd w:val="clear" w:color="auto" w:fill="auto"/>
            <w:tcMar>
              <w:top w:w="80" w:type="dxa"/>
              <w:left w:w="80" w:type="dxa"/>
              <w:bottom w:w="80" w:type="dxa"/>
              <w:right w:w="80" w:type="dxa"/>
            </w:tcMar>
          </w:tcPr>
          <w:p w14:paraId="2B61237B"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6×10</w:t>
            </w:r>
            <w:r w:rsidRPr="00C2021A">
              <w:rPr>
                <w:rFonts w:cs="Arial"/>
                <w:color w:val="auto"/>
                <w:sz w:val="12"/>
                <w:szCs w:val="12"/>
                <w:vertAlign w:val="superscript"/>
              </w:rPr>
              <w:t>−</w:t>
            </w:r>
            <w:proofErr w:type="gramStart"/>
            <w:r w:rsidRPr="00C2021A">
              <w:rPr>
                <w:rFonts w:cs="Arial"/>
                <w:color w:val="auto"/>
                <w:sz w:val="12"/>
                <w:szCs w:val="12"/>
                <w:vertAlign w:val="superscript"/>
              </w:rPr>
              <w:t xml:space="preserve">6 </w:t>
            </w:r>
            <w:r w:rsidRPr="00C2021A">
              <w:rPr>
                <w:rFonts w:cs="Arial"/>
                <w:color w:val="auto"/>
                <w:sz w:val="12"/>
                <w:szCs w:val="12"/>
              </w:rPr>
              <w:t xml:space="preserve"> -</w:t>
            </w:r>
            <w:proofErr w:type="gramEnd"/>
            <w:r w:rsidRPr="00C2021A">
              <w:rPr>
                <w:rFonts w:cs="Arial"/>
                <w:color w:val="auto"/>
                <w:sz w:val="12"/>
                <w:szCs w:val="12"/>
              </w:rPr>
              <w:t xml:space="preserve"> 6×10</w:t>
            </w:r>
            <w:r w:rsidRPr="00C2021A">
              <w:rPr>
                <w:rFonts w:cs="Arial"/>
                <w:color w:val="auto"/>
                <w:sz w:val="12"/>
                <w:szCs w:val="12"/>
                <w:vertAlign w:val="superscript"/>
              </w:rPr>
              <w:t>−4</w:t>
            </w:r>
            <w:r w:rsidRPr="00C2021A">
              <w:rPr>
                <w:rFonts w:cs="Arial"/>
                <w:color w:val="auto"/>
                <w:sz w:val="12"/>
                <w:szCs w:val="12"/>
              </w:rPr>
              <w:t xml:space="preserve"> M</w:t>
            </w:r>
          </w:p>
        </w:tc>
        <w:tc>
          <w:tcPr>
            <w:tcW w:w="810" w:type="dxa"/>
            <w:shd w:val="clear" w:color="auto" w:fill="auto"/>
            <w:tcMar>
              <w:top w:w="80" w:type="dxa"/>
              <w:left w:w="80" w:type="dxa"/>
              <w:bottom w:w="80" w:type="dxa"/>
              <w:right w:w="80" w:type="dxa"/>
            </w:tcMar>
          </w:tcPr>
          <w:p w14:paraId="489AE9DE"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95 - 106%</w:t>
            </w:r>
          </w:p>
        </w:tc>
        <w:tc>
          <w:tcPr>
            <w:tcW w:w="1080" w:type="dxa"/>
            <w:shd w:val="clear" w:color="auto" w:fill="auto"/>
            <w:tcMar>
              <w:top w:w="80" w:type="dxa"/>
              <w:left w:w="80" w:type="dxa"/>
              <w:bottom w:w="80" w:type="dxa"/>
              <w:right w:w="80" w:type="dxa"/>
            </w:tcMar>
          </w:tcPr>
          <w:p w14:paraId="7A0ACEB9"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N/A</w:t>
            </w:r>
          </w:p>
        </w:tc>
        <w:tc>
          <w:tcPr>
            <w:tcW w:w="900" w:type="dxa"/>
          </w:tcPr>
          <w:p w14:paraId="0BA990B0"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03205E9F"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0BDAB376"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Whole saliva</w:t>
            </w:r>
          </w:p>
        </w:tc>
        <w:tc>
          <w:tcPr>
            <w:tcW w:w="990" w:type="dxa"/>
            <w:shd w:val="clear" w:color="auto" w:fill="auto"/>
            <w:tcMar>
              <w:top w:w="80" w:type="dxa"/>
              <w:left w:w="80" w:type="dxa"/>
              <w:bottom w:w="80" w:type="dxa"/>
              <w:right w:w="80" w:type="dxa"/>
            </w:tcMar>
          </w:tcPr>
          <w:p w14:paraId="60236419"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(Varodi et al. 2019)</w:t>
            </w:r>
          </w:p>
        </w:tc>
      </w:tr>
    </w:tbl>
    <w:p w14:paraId="234162E9" w14:textId="77777777" w:rsidR="008E41DB" w:rsidRPr="00C2021A" w:rsidRDefault="008E41DB" w:rsidP="008E41DB">
      <w:pPr>
        <w:spacing w:after="0" w:line="240" w:lineRule="auto"/>
        <w:jc w:val="both"/>
        <w:rPr>
          <w:rFonts w:cs="Arial"/>
          <w:color w:val="auto"/>
        </w:rPr>
      </w:pPr>
      <w:r w:rsidRPr="00C2021A">
        <w:rPr>
          <w:rFonts w:cs="Arial"/>
          <w:color w:val="auto"/>
          <w:u w:color="0070C0"/>
          <w:vertAlign w:val="superscript"/>
        </w:rPr>
        <w:t>a</w:t>
      </w:r>
      <w:r w:rsidRPr="00C2021A">
        <w:rPr>
          <w:rFonts w:cs="Arial"/>
          <w:color w:val="auto"/>
        </w:rPr>
        <w:t xml:space="preserve"> S/N = 3, otherwise differently specified</w:t>
      </w:r>
    </w:p>
    <w:p w14:paraId="1E7C3760" w14:textId="77777777" w:rsidR="008E41DB" w:rsidRPr="00C2021A" w:rsidRDefault="008E41DB" w:rsidP="008E41DB">
      <w:pPr>
        <w:spacing w:after="0" w:line="240" w:lineRule="auto"/>
        <w:jc w:val="both"/>
        <w:rPr>
          <w:rFonts w:cs="Arial"/>
          <w:color w:val="auto"/>
        </w:rPr>
      </w:pPr>
      <w:r w:rsidRPr="00C2021A">
        <w:rPr>
          <w:rFonts w:cs="Arial"/>
          <w:color w:val="auto"/>
          <w:u w:color="0070C0"/>
          <w:vertAlign w:val="superscript"/>
        </w:rPr>
        <w:t>b</w:t>
      </w:r>
      <w:r w:rsidRPr="00C2021A">
        <w:rPr>
          <w:rFonts w:cs="Arial"/>
          <w:color w:val="auto"/>
        </w:rPr>
        <w:t xml:space="preserve"> values obtained in real saliva samples, otherwise differently </w:t>
      </w:r>
      <w:proofErr w:type="gramStart"/>
      <w:r w:rsidRPr="00C2021A">
        <w:rPr>
          <w:rFonts w:cs="Arial"/>
          <w:color w:val="auto"/>
        </w:rPr>
        <w:t>specified</w:t>
      </w:r>
      <w:proofErr w:type="gramEnd"/>
    </w:p>
    <w:p w14:paraId="1E65103B" w14:textId="77777777" w:rsidR="008E41DB" w:rsidRPr="00C2021A" w:rsidRDefault="008E41DB" w:rsidP="008E41DB">
      <w:pPr>
        <w:spacing w:after="0" w:line="240" w:lineRule="auto"/>
        <w:jc w:val="both"/>
        <w:rPr>
          <w:rFonts w:cs="Arial"/>
          <w:color w:val="auto"/>
        </w:rPr>
      </w:pPr>
    </w:p>
    <w:p w14:paraId="262C5D4F" w14:textId="77777777" w:rsidR="008E41DB" w:rsidRPr="00C2021A" w:rsidRDefault="008E41DB" w:rsidP="008E41DB">
      <w:pPr>
        <w:spacing w:after="0" w:line="240" w:lineRule="auto"/>
        <w:jc w:val="both"/>
        <w:rPr>
          <w:rFonts w:cs="Arial"/>
          <w:color w:val="auto"/>
        </w:rPr>
      </w:pPr>
    </w:p>
    <w:p w14:paraId="0F046A2E" w14:textId="77777777" w:rsidR="008E41DB" w:rsidRPr="00C2021A" w:rsidRDefault="008E41DB" w:rsidP="008E41DB">
      <w:pPr>
        <w:spacing w:after="0" w:line="240" w:lineRule="auto"/>
        <w:jc w:val="both"/>
        <w:rPr>
          <w:rFonts w:cs="Arial"/>
          <w:color w:val="auto"/>
        </w:rPr>
      </w:pPr>
    </w:p>
    <w:p w14:paraId="376A2F51" w14:textId="77777777" w:rsidR="008E41DB" w:rsidRPr="00C2021A" w:rsidRDefault="008E41DB" w:rsidP="008E41DB">
      <w:pPr>
        <w:spacing w:after="0" w:line="240" w:lineRule="auto"/>
        <w:jc w:val="both"/>
        <w:rPr>
          <w:rFonts w:cs="Arial"/>
          <w:color w:val="auto"/>
        </w:rPr>
      </w:pPr>
    </w:p>
    <w:p w14:paraId="7FA610A3" w14:textId="77777777" w:rsidR="008E41DB" w:rsidRPr="00C2021A" w:rsidRDefault="008E41DB" w:rsidP="008E41DB">
      <w:pPr>
        <w:pBdr>
          <w:top w:val="none" w:sz="0" w:space="0" w:color="auto"/>
          <w:left w:val="none" w:sz="0" w:space="0" w:color="auto"/>
          <w:bottom w:val="none" w:sz="0" w:space="0" w:color="auto"/>
          <w:right w:val="none" w:sz="0" w:space="0" w:color="auto"/>
          <w:between w:val="none" w:sz="0" w:space="0" w:color="auto"/>
          <w:bar w:val="none" w:sz="0" w:color="auto"/>
        </w:pBdr>
        <w:rPr>
          <w:rFonts w:cs="Arial"/>
          <w:b/>
          <w:bCs/>
          <w:color w:val="auto"/>
        </w:rPr>
      </w:pPr>
      <w:r w:rsidRPr="00C2021A">
        <w:rPr>
          <w:rFonts w:cs="Arial"/>
          <w:b/>
          <w:bCs/>
          <w:color w:val="auto"/>
        </w:rPr>
        <w:br w:type="page"/>
      </w:r>
    </w:p>
    <w:p w14:paraId="20D931BB" w14:textId="77777777" w:rsidR="008E41DB" w:rsidRPr="00C2021A" w:rsidRDefault="008E41DB" w:rsidP="008E41DB">
      <w:pPr>
        <w:spacing w:after="0" w:line="240" w:lineRule="auto"/>
        <w:jc w:val="both"/>
        <w:rPr>
          <w:rFonts w:cs="Arial"/>
          <w:color w:val="auto"/>
        </w:rPr>
      </w:pPr>
      <w:r w:rsidRPr="00C2021A">
        <w:rPr>
          <w:rFonts w:cs="Arial"/>
          <w:b/>
          <w:bCs/>
          <w:color w:val="auto"/>
        </w:rPr>
        <w:lastRenderedPageBreak/>
        <w:t>Table 5.</w:t>
      </w:r>
      <w:r w:rsidRPr="00C2021A">
        <w:rPr>
          <w:rFonts w:cs="Arial"/>
          <w:color w:val="auto"/>
        </w:rPr>
        <w:t xml:space="preserve"> Graphene biosensors for the detection of drugs and hazardous substances in saliva</w:t>
      </w:r>
    </w:p>
    <w:p w14:paraId="475597CB" w14:textId="77777777" w:rsidR="008E41DB" w:rsidRPr="00C2021A" w:rsidRDefault="008E41DB" w:rsidP="008E41DB">
      <w:pPr>
        <w:spacing w:after="0" w:line="240" w:lineRule="auto"/>
        <w:jc w:val="both"/>
        <w:rPr>
          <w:rFonts w:cs="Arial"/>
          <w:color w:val="auto"/>
        </w:rPr>
      </w:pPr>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DD4E9"/>
        <w:tblLayout w:type="fixed"/>
        <w:tblLook w:val="04A0" w:firstRow="1" w:lastRow="0" w:firstColumn="1" w:lastColumn="0" w:noHBand="0" w:noVBand="1"/>
      </w:tblPr>
      <w:tblGrid>
        <w:gridCol w:w="805"/>
        <w:gridCol w:w="1260"/>
        <w:gridCol w:w="1170"/>
        <w:gridCol w:w="1080"/>
        <w:gridCol w:w="1170"/>
        <w:gridCol w:w="810"/>
        <w:gridCol w:w="900"/>
        <w:gridCol w:w="1170"/>
        <w:gridCol w:w="900"/>
        <w:gridCol w:w="900"/>
      </w:tblGrid>
      <w:tr w:rsidR="00C2021A" w:rsidRPr="00C2021A" w14:paraId="433DECE0" w14:textId="77777777" w:rsidTr="00483642">
        <w:trPr>
          <w:trHeight w:val="20"/>
          <w:jc w:val="center"/>
        </w:trPr>
        <w:tc>
          <w:tcPr>
            <w:tcW w:w="805" w:type="dxa"/>
            <w:shd w:val="clear" w:color="auto" w:fill="auto"/>
            <w:tcMar>
              <w:top w:w="80" w:type="dxa"/>
              <w:left w:w="80" w:type="dxa"/>
              <w:bottom w:w="80" w:type="dxa"/>
              <w:right w:w="80" w:type="dxa"/>
            </w:tcMar>
            <w:vAlign w:val="center"/>
          </w:tcPr>
          <w:p w14:paraId="39AD1DD0"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Biomarker</w:t>
            </w:r>
          </w:p>
        </w:tc>
        <w:tc>
          <w:tcPr>
            <w:tcW w:w="1260" w:type="dxa"/>
            <w:shd w:val="clear" w:color="auto" w:fill="auto"/>
            <w:tcMar>
              <w:top w:w="80" w:type="dxa"/>
              <w:left w:w="80" w:type="dxa"/>
              <w:bottom w:w="80" w:type="dxa"/>
              <w:right w:w="80" w:type="dxa"/>
            </w:tcMar>
            <w:vAlign w:val="center"/>
          </w:tcPr>
          <w:p w14:paraId="415D90F3"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Sensing Platform</w:t>
            </w:r>
          </w:p>
        </w:tc>
        <w:tc>
          <w:tcPr>
            <w:tcW w:w="1170" w:type="dxa"/>
            <w:shd w:val="clear" w:color="auto" w:fill="auto"/>
            <w:tcMar>
              <w:top w:w="80" w:type="dxa"/>
              <w:left w:w="80" w:type="dxa"/>
              <w:bottom w:w="80" w:type="dxa"/>
              <w:right w:w="80" w:type="dxa"/>
            </w:tcMar>
            <w:vAlign w:val="center"/>
          </w:tcPr>
          <w:p w14:paraId="3D8E92B1"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Detection Method</w:t>
            </w:r>
          </w:p>
        </w:tc>
        <w:tc>
          <w:tcPr>
            <w:tcW w:w="1080" w:type="dxa"/>
            <w:shd w:val="clear" w:color="auto" w:fill="auto"/>
            <w:tcMar>
              <w:top w:w="80" w:type="dxa"/>
              <w:left w:w="80" w:type="dxa"/>
              <w:bottom w:w="80" w:type="dxa"/>
              <w:right w:w="80" w:type="dxa"/>
            </w:tcMar>
            <w:vAlign w:val="center"/>
          </w:tcPr>
          <w:p w14:paraId="219E7708"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LOD</w:t>
            </w:r>
            <w:r w:rsidRPr="00C2021A">
              <w:rPr>
                <w:rFonts w:cs="Arial"/>
                <w:color w:val="auto"/>
                <w:sz w:val="12"/>
                <w:szCs w:val="12"/>
                <w:u w:color="0070C0"/>
                <w:vertAlign w:val="superscript"/>
                <w:lang w:val="it-IT"/>
              </w:rPr>
              <w:t>a</w:t>
            </w:r>
          </w:p>
        </w:tc>
        <w:tc>
          <w:tcPr>
            <w:tcW w:w="1170" w:type="dxa"/>
            <w:shd w:val="clear" w:color="auto" w:fill="auto"/>
            <w:tcMar>
              <w:top w:w="80" w:type="dxa"/>
              <w:left w:w="80" w:type="dxa"/>
              <w:bottom w:w="80" w:type="dxa"/>
              <w:right w:w="80" w:type="dxa"/>
            </w:tcMar>
            <w:vAlign w:val="center"/>
          </w:tcPr>
          <w:p w14:paraId="57492281"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Detection Range</w:t>
            </w:r>
          </w:p>
        </w:tc>
        <w:tc>
          <w:tcPr>
            <w:tcW w:w="810" w:type="dxa"/>
            <w:shd w:val="clear" w:color="auto" w:fill="auto"/>
            <w:tcMar>
              <w:top w:w="80" w:type="dxa"/>
              <w:left w:w="80" w:type="dxa"/>
              <w:bottom w:w="80" w:type="dxa"/>
              <w:right w:w="80" w:type="dxa"/>
            </w:tcMar>
            <w:vAlign w:val="center"/>
          </w:tcPr>
          <w:p w14:paraId="2BBD9C56" w14:textId="77777777" w:rsidR="008E41DB" w:rsidRPr="00C2021A" w:rsidRDefault="008E41DB" w:rsidP="00483642">
            <w:pPr>
              <w:spacing w:after="0" w:line="240" w:lineRule="auto"/>
              <w:jc w:val="center"/>
              <w:rPr>
                <w:rFonts w:cs="Arial"/>
                <w:color w:val="auto"/>
                <w:sz w:val="12"/>
                <w:szCs w:val="12"/>
              </w:rPr>
            </w:pPr>
            <w:proofErr w:type="spellStart"/>
            <w:r w:rsidRPr="00C2021A">
              <w:rPr>
                <w:rFonts w:cs="Arial"/>
                <w:b/>
                <w:bCs/>
                <w:color w:val="auto"/>
                <w:sz w:val="12"/>
                <w:szCs w:val="12"/>
              </w:rPr>
              <w:t>Recovery</w:t>
            </w:r>
            <w:r w:rsidRPr="00C2021A">
              <w:rPr>
                <w:rFonts w:cs="Arial"/>
                <w:color w:val="auto"/>
                <w:sz w:val="12"/>
                <w:szCs w:val="12"/>
                <w:u w:color="0070C0"/>
                <w:vertAlign w:val="superscript"/>
              </w:rPr>
              <w:t>b</w:t>
            </w:r>
            <w:proofErr w:type="spellEnd"/>
          </w:p>
        </w:tc>
        <w:tc>
          <w:tcPr>
            <w:tcW w:w="900" w:type="dxa"/>
          </w:tcPr>
          <w:p w14:paraId="2423512E" w14:textId="77777777" w:rsidR="008E41DB" w:rsidRPr="00C2021A" w:rsidRDefault="008E41DB" w:rsidP="00483642">
            <w:pPr>
              <w:spacing w:after="0" w:line="240" w:lineRule="auto"/>
              <w:jc w:val="center"/>
              <w:rPr>
                <w:rFonts w:cs="Arial"/>
                <w:b/>
                <w:bCs/>
                <w:color w:val="auto"/>
                <w:sz w:val="12"/>
                <w:szCs w:val="12"/>
              </w:rPr>
            </w:pPr>
            <w:r w:rsidRPr="00C2021A">
              <w:rPr>
                <w:rFonts w:cs="Arial"/>
                <w:b/>
                <w:bCs/>
                <w:color w:val="auto"/>
                <w:sz w:val="12"/>
                <w:szCs w:val="12"/>
              </w:rPr>
              <w:t>Assay Time</w:t>
            </w:r>
          </w:p>
        </w:tc>
        <w:tc>
          <w:tcPr>
            <w:tcW w:w="1170" w:type="dxa"/>
          </w:tcPr>
          <w:p w14:paraId="79EE258D" w14:textId="77777777" w:rsidR="008E41DB" w:rsidRPr="00C2021A" w:rsidRDefault="008E41DB" w:rsidP="00483642">
            <w:pPr>
              <w:spacing w:after="0" w:line="240" w:lineRule="auto"/>
              <w:jc w:val="center"/>
              <w:rPr>
                <w:rFonts w:cs="Arial"/>
                <w:b/>
                <w:bCs/>
                <w:color w:val="auto"/>
                <w:sz w:val="12"/>
                <w:szCs w:val="12"/>
              </w:rPr>
            </w:pPr>
            <w:r w:rsidRPr="00C2021A">
              <w:rPr>
                <w:rFonts w:cs="Arial"/>
                <w:b/>
                <w:bCs/>
                <w:color w:val="auto"/>
                <w:sz w:val="12"/>
                <w:szCs w:val="12"/>
              </w:rPr>
              <w:t>Sample Volume</w:t>
            </w:r>
          </w:p>
        </w:tc>
        <w:tc>
          <w:tcPr>
            <w:tcW w:w="900" w:type="dxa"/>
          </w:tcPr>
          <w:p w14:paraId="40239C3E" w14:textId="77777777" w:rsidR="008E41DB" w:rsidRPr="00C2021A" w:rsidRDefault="008E41DB" w:rsidP="00483642">
            <w:pPr>
              <w:spacing w:after="0" w:line="240" w:lineRule="auto"/>
              <w:jc w:val="center"/>
              <w:rPr>
                <w:rFonts w:cs="Arial"/>
                <w:b/>
                <w:bCs/>
                <w:color w:val="auto"/>
                <w:sz w:val="12"/>
                <w:szCs w:val="12"/>
              </w:rPr>
            </w:pPr>
            <w:r w:rsidRPr="00C2021A">
              <w:rPr>
                <w:rFonts w:cs="Arial"/>
                <w:b/>
                <w:bCs/>
                <w:color w:val="auto"/>
                <w:sz w:val="12"/>
                <w:szCs w:val="12"/>
              </w:rPr>
              <w:t>Preparation</w:t>
            </w:r>
          </w:p>
        </w:tc>
        <w:tc>
          <w:tcPr>
            <w:tcW w:w="900" w:type="dxa"/>
            <w:shd w:val="clear" w:color="auto" w:fill="auto"/>
            <w:tcMar>
              <w:top w:w="80" w:type="dxa"/>
              <w:left w:w="80" w:type="dxa"/>
              <w:bottom w:w="80" w:type="dxa"/>
              <w:right w:w="80" w:type="dxa"/>
            </w:tcMar>
            <w:vAlign w:val="center"/>
          </w:tcPr>
          <w:p w14:paraId="312DC07B"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Reference</w:t>
            </w:r>
          </w:p>
        </w:tc>
      </w:tr>
      <w:tr w:rsidR="00C2021A" w:rsidRPr="00C2021A" w14:paraId="006E81B1" w14:textId="77777777" w:rsidTr="00483642">
        <w:trPr>
          <w:trHeight w:val="17"/>
          <w:jc w:val="center"/>
        </w:trPr>
        <w:tc>
          <w:tcPr>
            <w:tcW w:w="805" w:type="dxa"/>
            <w:shd w:val="clear" w:color="auto" w:fill="auto"/>
            <w:tcMar>
              <w:top w:w="80" w:type="dxa"/>
              <w:left w:w="80" w:type="dxa"/>
              <w:bottom w:w="80" w:type="dxa"/>
              <w:right w:w="80" w:type="dxa"/>
            </w:tcMar>
          </w:tcPr>
          <w:p w14:paraId="39B51E13" w14:textId="77777777" w:rsidR="008E41DB" w:rsidRPr="00C2021A" w:rsidRDefault="008E41DB" w:rsidP="00483642">
            <w:pPr>
              <w:spacing w:after="0" w:line="240" w:lineRule="auto"/>
              <w:jc w:val="both"/>
              <w:rPr>
                <w:rFonts w:cs="Arial"/>
                <w:color w:val="auto"/>
                <w:sz w:val="12"/>
                <w:szCs w:val="12"/>
                <w:lang w:val="it-IT"/>
              </w:rPr>
            </w:pPr>
            <w:r w:rsidRPr="00C2021A">
              <w:rPr>
                <w:rFonts w:cs="Arial"/>
                <w:color w:val="auto"/>
                <w:sz w:val="12"/>
                <w:szCs w:val="12"/>
                <w:lang w:val="it-IT"/>
              </w:rPr>
              <w:t>Antipyrine (ANT)</w:t>
            </w:r>
          </w:p>
        </w:tc>
        <w:tc>
          <w:tcPr>
            <w:tcW w:w="1260" w:type="dxa"/>
            <w:shd w:val="clear" w:color="auto" w:fill="auto"/>
            <w:tcMar>
              <w:top w:w="80" w:type="dxa"/>
              <w:left w:w="80" w:type="dxa"/>
              <w:bottom w:w="80" w:type="dxa"/>
              <w:right w:w="80" w:type="dxa"/>
            </w:tcMar>
          </w:tcPr>
          <w:p w14:paraId="744F8A6D"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TiO</w:t>
            </w:r>
            <w:r w:rsidRPr="00C2021A">
              <w:rPr>
                <w:rFonts w:cs="Arial"/>
                <w:color w:val="auto"/>
                <w:sz w:val="12"/>
                <w:szCs w:val="12"/>
                <w:vertAlign w:val="subscript"/>
              </w:rPr>
              <w:t>2</w:t>
            </w:r>
            <w:r w:rsidRPr="00C2021A">
              <w:rPr>
                <w:rFonts w:cs="Arial"/>
                <w:color w:val="auto"/>
                <w:sz w:val="12"/>
                <w:szCs w:val="12"/>
              </w:rPr>
              <w:t>–GO modified CPE</w:t>
            </w:r>
          </w:p>
        </w:tc>
        <w:tc>
          <w:tcPr>
            <w:tcW w:w="1170" w:type="dxa"/>
            <w:shd w:val="clear" w:color="auto" w:fill="auto"/>
            <w:tcMar>
              <w:top w:w="80" w:type="dxa"/>
              <w:left w:w="80" w:type="dxa"/>
              <w:bottom w:w="80" w:type="dxa"/>
              <w:right w:w="80" w:type="dxa"/>
            </w:tcMar>
          </w:tcPr>
          <w:p w14:paraId="2A7E7B66"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Square wave voltammetry (SWV)</w:t>
            </w:r>
          </w:p>
        </w:tc>
        <w:tc>
          <w:tcPr>
            <w:tcW w:w="1080" w:type="dxa"/>
            <w:shd w:val="clear" w:color="auto" w:fill="auto"/>
            <w:tcMar>
              <w:top w:w="80" w:type="dxa"/>
              <w:left w:w="80" w:type="dxa"/>
              <w:bottom w:w="80" w:type="dxa"/>
              <w:right w:w="80" w:type="dxa"/>
            </w:tcMar>
          </w:tcPr>
          <w:p w14:paraId="5150BF03"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3.00 × 10</w:t>
            </w:r>
            <w:r w:rsidRPr="00C2021A">
              <w:rPr>
                <w:rFonts w:cs="Arial"/>
                <w:color w:val="auto"/>
                <w:sz w:val="12"/>
                <w:szCs w:val="12"/>
                <w:vertAlign w:val="superscript"/>
              </w:rPr>
              <w:t>−9</w:t>
            </w:r>
            <w:r w:rsidRPr="00C2021A">
              <w:rPr>
                <w:rFonts w:cs="Arial"/>
                <w:color w:val="auto"/>
                <w:sz w:val="12"/>
                <w:szCs w:val="12"/>
              </w:rPr>
              <w:t xml:space="preserve"> M</w:t>
            </w:r>
          </w:p>
          <w:p w14:paraId="21BCB075" w14:textId="77777777" w:rsidR="008E41DB" w:rsidRPr="00C2021A" w:rsidRDefault="008E41DB" w:rsidP="00483642">
            <w:pPr>
              <w:spacing w:after="0" w:line="240" w:lineRule="auto"/>
              <w:jc w:val="both"/>
              <w:rPr>
                <w:rFonts w:cs="Arial"/>
                <w:color w:val="auto"/>
                <w:sz w:val="12"/>
                <w:szCs w:val="12"/>
              </w:rPr>
            </w:pPr>
          </w:p>
        </w:tc>
        <w:tc>
          <w:tcPr>
            <w:tcW w:w="1170" w:type="dxa"/>
            <w:shd w:val="clear" w:color="auto" w:fill="auto"/>
            <w:tcMar>
              <w:top w:w="80" w:type="dxa"/>
              <w:left w:w="80" w:type="dxa"/>
              <w:bottom w:w="80" w:type="dxa"/>
              <w:right w:w="80" w:type="dxa"/>
            </w:tcMar>
          </w:tcPr>
          <w:p w14:paraId="5ECA2E3A"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1.2 × 10</w:t>
            </w:r>
            <w:r w:rsidRPr="00C2021A">
              <w:rPr>
                <w:rFonts w:cs="Arial"/>
                <w:color w:val="auto"/>
                <w:sz w:val="12"/>
                <w:szCs w:val="12"/>
                <w:vertAlign w:val="superscript"/>
              </w:rPr>
              <w:t>−8</w:t>
            </w:r>
            <w:r w:rsidRPr="00C2021A">
              <w:rPr>
                <w:rFonts w:cs="Arial"/>
                <w:color w:val="auto"/>
                <w:sz w:val="12"/>
                <w:szCs w:val="12"/>
              </w:rPr>
              <w:t xml:space="preserve"> –</w:t>
            </w:r>
          </w:p>
          <w:p w14:paraId="0D5C49FB"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 xml:space="preserve"> 8 × 10</w:t>
            </w:r>
            <w:r w:rsidRPr="00C2021A">
              <w:rPr>
                <w:rFonts w:cs="Arial"/>
                <w:color w:val="auto"/>
                <w:sz w:val="12"/>
                <w:szCs w:val="12"/>
                <w:vertAlign w:val="superscript"/>
              </w:rPr>
              <w:t>−5</w:t>
            </w:r>
            <w:r w:rsidRPr="00C2021A">
              <w:rPr>
                <w:rFonts w:cs="Arial"/>
                <w:color w:val="auto"/>
                <w:sz w:val="12"/>
                <w:szCs w:val="12"/>
              </w:rPr>
              <w:t xml:space="preserve"> M</w:t>
            </w:r>
          </w:p>
        </w:tc>
        <w:tc>
          <w:tcPr>
            <w:tcW w:w="810" w:type="dxa"/>
            <w:shd w:val="clear" w:color="auto" w:fill="auto"/>
            <w:tcMar>
              <w:top w:w="80" w:type="dxa"/>
              <w:left w:w="80" w:type="dxa"/>
              <w:bottom w:w="80" w:type="dxa"/>
              <w:right w:w="80" w:type="dxa"/>
            </w:tcMar>
          </w:tcPr>
          <w:p w14:paraId="288ECCAB"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99.62%</w:t>
            </w:r>
          </w:p>
        </w:tc>
        <w:tc>
          <w:tcPr>
            <w:tcW w:w="900" w:type="dxa"/>
          </w:tcPr>
          <w:p w14:paraId="094E9597" w14:textId="77777777" w:rsidR="008E41DB" w:rsidRPr="00C2021A" w:rsidRDefault="008E41DB" w:rsidP="00483642">
            <w:pPr>
              <w:spacing w:after="0" w:line="240" w:lineRule="auto"/>
              <w:jc w:val="both"/>
              <w:rPr>
                <w:rFonts w:cs="Arial"/>
                <w:noProof/>
                <w:color w:val="auto"/>
                <w:sz w:val="12"/>
                <w:szCs w:val="12"/>
              </w:rPr>
            </w:pPr>
            <w:r w:rsidRPr="00C2021A">
              <w:rPr>
                <w:rFonts w:cs="Arial"/>
                <w:noProof/>
                <w:color w:val="auto"/>
                <w:sz w:val="12"/>
                <w:szCs w:val="12"/>
              </w:rPr>
              <w:t>N/A</w:t>
            </w:r>
          </w:p>
        </w:tc>
        <w:tc>
          <w:tcPr>
            <w:tcW w:w="1170" w:type="dxa"/>
          </w:tcPr>
          <w:p w14:paraId="26CD70B0" w14:textId="77777777" w:rsidR="008E41DB" w:rsidRPr="00C2021A" w:rsidRDefault="008E41DB" w:rsidP="00483642">
            <w:pPr>
              <w:spacing w:after="0" w:line="240" w:lineRule="auto"/>
              <w:jc w:val="both"/>
              <w:rPr>
                <w:rFonts w:cs="Arial"/>
                <w:noProof/>
                <w:color w:val="auto"/>
                <w:sz w:val="12"/>
                <w:szCs w:val="12"/>
              </w:rPr>
            </w:pPr>
            <w:r w:rsidRPr="00C2021A">
              <w:rPr>
                <w:rFonts w:cs="Arial"/>
                <w:noProof/>
                <w:color w:val="auto"/>
                <w:sz w:val="12"/>
                <w:szCs w:val="12"/>
              </w:rPr>
              <w:t>N/A</w:t>
            </w:r>
          </w:p>
        </w:tc>
        <w:tc>
          <w:tcPr>
            <w:tcW w:w="900" w:type="dxa"/>
          </w:tcPr>
          <w:p w14:paraId="3268D792" w14:textId="77777777" w:rsidR="008E41DB" w:rsidRPr="00C2021A" w:rsidRDefault="008E41DB" w:rsidP="00483642">
            <w:pPr>
              <w:spacing w:after="0" w:line="240" w:lineRule="auto"/>
              <w:jc w:val="both"/>
              <w:rPr>
                <w:rFonts w:cs="Arial"/>
                <w:noProof/>
                <w:color w:val="auto"/>
                <w:sz w:val="12"/>
                <w:szCs w:val="12"/>
              </w:rPr>
            </w:pPr>
            <w:r w:rsidRPr="00C2021A">
              <w:rPr>
                <w:rFonts w:cs="Arial"/>
                <w:noProof/>
                <w:color w:val="auto"/>
                <w:sz w:val="12"/>
                <w:szCs w:val="12"/>
              </w:rPr>
              <w:t>Dilution with 5 mL BRB</w:t>
            </w:r>
          </w:p>
        </w:tc>
        <w:tc>
          <w:tcPr>
            <w:tcW w:w="900" w:type="dxa"/>
            <w:shd w:val="clear" w:color="auto" w:fill="auto"/>
            <w:tcMar>
              <w:top w:w="80" w:type="dxa"/>
              <w:left w:w="80" w:type="dxa"/>
              <w:bottom w:w="80" w:type="dxa"/>
              <w:right w:w="80" w:type="dxa"/>
            </w:tcMar>
          </w:tcPr>
          <w:p w14:paraId="7B22C863" w14:textId="77777777" w:rsidR="008E41DB" w:rsidRPr="00C2021A" w:rsidRDefault="008E41DB" w:rsidP="00483642">
            <w:pPr>
              <w:spacing w:after="0" w:line="240" w:lineRule="auto"/>
              <w:jc w:val="both"/>
              <w:rPr>
                <w:rFonts w:cs="Arial"/>
                <w:color w:val="auto"/>
                <w:sz w:val="12"/>
                <w:szCs w:val="12"/>
              </w:rPr>
            </w:pPr>
            <w:r w:rsidRPr="00C2021A">
              <w:rPr>
                <w:rFonts w:cs="Arial"/>
                <w:noProof/>
                <w:color w:val="auto"/>
                <w:sz w:val="12"/>
                <w:szCs w:val="12"/>
              </w:rPr>
              <w:t>(Mohamed et al. 2017)</w:t>
            </w:r>
          </w:p>
        </w:tc>
      </w:tr>
      <w:tr w:rsidR="00C2021A" w:rsidRPr="00C2021A" w14:paraId="75970C95" w14:textId="77777777" w:rsidTr="00483642">
        <w:trPr>
          <w:trHeight w:val="27"/>
          <w:jc w:val="center"/>
        </w:trPr>
        <w:tc>
          <w:tcPr>
            <w:tcW w:w="805" w:type="dxa"/>
            <w:shd w:val="clear" w:color="auto" w:fill="auto"/>
            <w:tcMar>
              <w:top w:w="80" w:type="dxa"/>
              <w:left w:w="80" w:type="dxa"/>
              <w:bottom w:w="80" w:type="dxa"/>
              <w:right w:w="80" w:type="dxa"/>
            </w:tcMar>
          </w:tcPr>
          <w:p w14:paraId="2A72235E" w14:textId="77777777" w:rsidR="008E41DB" w:rsidRPr="00C2021A" w:rsidRDefault="008E41DB" w:rsidP="00483642">
            <w:pPr>
              <w:spacing w:after="0" w:line="240" w:lineRule="auto"/>
              <w:jc w:val="both"/>
              <w:rPr>
                <w:rFonts w:cs="Arial"/>
                <w:color w:val="auto"/>
                <w:sz w:val="12"/>
                <w:szCs w:val="12"/>
                <w:lang w:val="it-IT"/>
              </w:rPr>
            </w:pPr>
            <w:r w:rsidRPr="00C2021A">
              <w:rPr>
                <w:rFonts w:cs="Arial"/>
                <w:color w:val="auto"/>
                <w:sz w:val="12"/>
                <w:szCs w:val="12"/>
                <w:lang w:val="it-IT"/>
              </w:rPr>
              <w:t>Arsenic</w:t>
            </w:r>
          </w:p>
          <w:p w14:paraId="77C38C3C" w14:textId="77777777" w:rsidR="008E41DB" w:rsidRPr="00C2021A" w:rsidRDefault="008E41DB" w:rsidP="00483642">
            <w:pPr>
              <w:spacing w:after="0" w:line="240" w:lineRule="auto"/>
              <w:jc w:val="both"/>
              <w:rPr>
                <w:rFonts w:cs="Arial"/>
                <w:color w:val="auto"/>
                <w:sz w:val="12"/>
                <w:szCs w:val="12"/>
                <w:lang w:val="it-IT"/>
              </w:rPr>
            </w:pPr>
          </w:p>
        </w:tc>
        <w:tc>
          <w:tcPr>
            <w:tcW w:w="1260" w:type="dxa"/>
            <w:shd w:val="clear" w:color="auto" w:fill="auto"/>
            <w:tcMar>
              <w:top w:w="80" w:type="dxa"/>
              <w:left w:w="80" w:type="dxa"/>
              <w:bottom w:w="80" w:type="dxa"/>
              <w:right w:w="80" w:type="dxa"/>
            </w:tcMar>
          </w:tcPr>
          <w:p w14:paraId="23E7E341"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MnO</w:t>
            </w:r>
            <w:r w:rsidRPr="00C2021A">
              <w:rPr>
                <w:rFonts w:cs="Arial"/>
                <w:color w:val="auto"/>
                <w:sz w:val="12"/>
                <w:szCs w:val="12"/>
                <w:vertAlign w:val="subscript"/>
              </w:rPr>
              <w:t>2</w:t>
            </w:r>
            <w:r w:rsidRPr="00C2021A">
              <w:rPr>
                <w:rFonts w:cs="Arial"/>
                <w:color w:val="auto"/>
                <w:sz w:val="12"/>
                <w:szCs w:val="12"/>
              </w:rPr>
              <w:t>/POT/</w:t>
            </w:r>
            <w:proofErr w:type="spellStart"/>
            <w:r w:rsidRPr="00C2021A">
              <w:rPr>
                <w:rFonts w:cs="Arial"/>
                <w:color w:val="auto"/>
                <w:sz w:val="12"/>
                <w:szCs w:val="12"/>
              </w:rPr>
              <w:t>rGO</w:t>
            </w:r>
            <w:proofErr w:type="spellEnd"/>
            <w:r w:rsidRPr="00C2021A">
              <w:rPr>
                <w:rFonts w:cs="Arial"/>
                <w:color w:val="auto"/>
                <w:sz w:val="12"/>
                <w:szCs w:val="12"/>
              </w:rPr>
              <w:t>/GCE</w:t>
            </w:r>
          </w:p>
        </w:tc>
        <w:tc>
          <w:tcPr>
            <w:tcW w:w="1170" w:type="dxa"/>
            <w:shd w:val="clear" w:color="auto" w:fill="auto"/>
            <w:tcMar>
              <w:top w:w="80" w:type="dxa"/>
              <w:left w:w="80" w:type="dxa"/>
              <w:bottom w:w="80" w:type="dxa"/>
              <w:right w:w="80" w:type="dxa"/>
            </w:tcMar>
          </w:tcPr>
          <w:p w14:paraId="120603D1"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DPV</w:t>
            </w:r>
          </w:p>
        </w:tc>
        <w:tc>
          <w:tcPr>
            <w:tcW w:w="1080" w:type="dxa"/>
            <w:shd w:val="clear" w:color="auto" w:fill="auto"/>
            <w:tcMar>
              <w:top w:w="80" w:type="dxa"/>
              <w:left w:w="80" w:type="dxa"/>
              <w:bottom w:w="80" w:type="dxa"/>
              <w:right w:w="80" w:type="dxa"/>
            </w:tcMar>
          </w:tcPr>
          <w:p w14:paraId="0BCD1C2E"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0.042 ppb</w:t>
            </w:r>
          </w:p>
        </w:tc>
        <w:tc>
          <w:tcPr>
            <w:tcW w:w="1170" w:type="dxa"/>
            <w:shd w:val="clear" w:color="auto" w:fill="auto"/>
            <w:tcMar>
              <w:top w:w="80" w:type="dxa"/>
              <w:left w:w="80" w:type="dxa"/>
              <w:bottom w:w="80" w:type="dxa"/>
              <w:right w:w="80" w:type="dxa"/>
            </w:tcMar>
          </w:tcPr>
          <w:p w14:paraId="56BECD7A"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0.01 - 0.9 ppb</w:t>
            </w:r>
          </w:p>
        </w:tc>
        <w:tc>
          <w:tcPr>
            <w:tcW w:w="810" w:type="dxa"/>
            <w:shd w:val="clear" w:color="auto" w:fill="auto"/>
            <w:tcMar>
              <w:top w:w="80" w:type="dxa"/>
              <w:left w:w="80" w:type="dxa"/>
              <w:bottom w:w="80" w:type="dxa"/>
              <w:right w:w="80" w:type="dxa"/>
            </w:tcMar>
          </w:tcPr>
          <w:p w14:paraId="70DDA712"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99.8-101.8%</w:t>
            </w:r>
          </w:p>
        </w:tc>
        <w:tc>
          <w:tcPr>
            <w:tcW w:w="900" w:type="dxa"/>
          </w:tcPr>
          <w:p w14:paraId="025F5102" w14:textId="77777777" w:rsidR="008E41DB" w:rsidRPr="00C2021A" w:rsidRDefault="008E41DB" w:rsidP="00483642">
            <w:pPr>
              <w:spacing w:after="0" w:line="240" w:lineRule="auto"/>
              <w:jc w:val="both"/>
              <w:rPr>
                <w:rFonts w:cs="Arial"/>
                <w:noProof/>
                <w:color w:val="auto"/>
                <w:sz w:val="12"/>
                <w:szCs w:val="12"/>
              </w:rPr>
            </w:pPr>
            <w:r w:rsidRPr="00C2021A">
              <w:rPr>
                <w:rFonts w:cs="Arial"/>
                <w:noProof/>
                <w:color w:val="auto"/>
                <w:sz w:val="12"/>
                <w:szCs w:val="12"/>
              </w:rPr>
              <w:t>N/A</w:t>
            </w:r>
          </w:p>
        </w:tc>
        <w:tc>
          <w:tcPr>
            <w:tcW w:w="1170" w:type="dxa"/>
          </w:tcPr>
          <w:p w14:paraId="1DB369C2" w14:textId="77777777" w:rsidR="008E41DB" w:rsidRPr="00C2021A" w:rsidRDefault="008E41DB" w:rsidP="00483642">
            <w:pPr>
              <w:spacing w:after="0" w:line="240" w:lineRule="auto"/>
              <w:jc w:val="both"/>
              <w:rPr>
                <w:rFonts w:cs="Arial"/>
                <w:noProof/>
                <w:color w:val="auto"/>
                <w:sz w:val="12"/>
                <w:szCs w:val="12"/>
              </w:rPr>
            </w:pPr>
            <w:r w:rsidRPr="00C2021A">
              <w:rPr>
                <w:rFonts w:cs="Arial"/>
                <w:noProof/>
                <w:color w:val="auto"/>
                <w:sz w:val="12"/>
                <w:szCs w:val="12"/>
              </w:rPr>
              <w:t>N/A</w:t>
            </w:r>
          </w:p>
        </w:tc>
        <w:tc>
          <w:tcPr>
            <w:tcW w:w="900" w:type="dxa"/>
          </w:tcPr>
          <w:p w14:paraId="06ECFB85" w14:textId="77777777" w:rsidR="008E41DB" w:rsidRPr="00C2021A" w:rsidRDefault="008E41DB" w:rsidP="00483642">
            <w:pPr>
              <w:spacing w:after="0" w:line="240" w:lineRule="auto"/>
              <w:jc w:val="both"/>
              <w:rPr>
                <w:rFonts w:cs="Arial"/>
                <w:noProof/>
                <w:color w:val="auto"/>
                <w:sz w:val="12"/>
                <w:szCs w:val="12"/>
              </w:rPr>
            </w:pPr>
            <w:r w:rsidRPr="00C2021A">
              <w:rPr>
                <w:rFonts w:cs="Arial"/>
                <w:noProof/>
                <w:color w:val="auto"/>
                <w:sz w:val="12"/>
                <w:szCs w:val="12"/>
              </w:rPr>
              <w:t>3-fold dilution with nitric acid</w:t>
            </w:r>
          </w:p>
        </w:tc>
        <w:tc>
          <w:tcPr>
            <w:tcW w:w="900" w:type="dxa"/>
            <w:shd w:val="clear" w:color="auto" w:fill="auto"/>
            <w:tcMar>
              <w:top w:w="80" w:type="dxa"/>
              <w:left w:w="80" w:type="dxa"/>
              <w:bottom w:w="80" w:type="dxa"/>
              <w:right w:w="80" w:type="dxa"/>
            </w:tcMar>
          </w:tcPr>
          <w:p w14:paraId="4C79BEBC" w14:textId="77777777" w:rsidR="008E41DB" w:rsidRPr="00C2021A" w:rsidRDefault="008E41DB" w:rsidP="00483642">
            <w:pPr>
              <w:spacing w:after="0" w:line="240" w:lineRule="auto"/>
              <w:jc w:val="both"/>
              <w:rPr>
                <w:rFonts w:cs="Arial"/>
                <w:color w:val="auto"/>
                <w:sz w:val="12"/>
                <w:szCs w:val="12"/>
              </w:rPr>
            </w:pPr>
            <w:r w:rsidRPr="00C2021A">
              <w:rPr>
                <w:rFonts w:cs="Arial"/>
                <w:noProof/>
                <w:color w:val="auto"/>
                <w:sz w:val="12"/>
                <w:szCs w:val="12"/>
              </w:rPr>
              <w:t>(Ponnaiah et al. 2019)</w:t>
            </w:r>
          </w:p>
        </w:tc>
      </w:tr>
      <w:tr w:rsidR="00C2021A" w:rsidRPr="00C2021A" w14:paraId="344B3085" w14:textId="77777777" w:rsidTr="00483642">
        <w:trPr>
          <w:trHeight w:val="18"/>
          <w:jc w:val="center"/>
        </w:trPr>
        <w:tc>
          <w:tcPr>
            <w:tcW w:w="805" w:type="dxa"/>
            <w:shd w:val="clear" w:color="auto" w:fill="auto"/>
            <w:tcMar>
              <w:top w:w="80" w:type="dxa"/>
              <w:left w:w="80" w:type="dxa"/>
              <w:bottom w:w="80" w:type="dxa"/>
              <w:right w:w="80" w:type="dxa"/>
            </w:tcMar>
          </w:tcPr>
          <w:p w14:paraId="3ECAAB9C" w14:textId="77777777" w:rsidR="008E41DB" w:rsidRPr="00C2021A" w:rsidRDefault="008E41DB" w:rsidP="00483642">
            <w:pPr>
              <w:spacing w:after="0" w:line="240" w:lineRule="auto"/>
              <w:jc w:val="both"/>
              <w:rPr>
                <w:rFonts w:cs="Arial"/>
                <w:color w:val="auto"/>
                <w:sz w:val="12"/>
                <w:szCs w:val="12"/>
                <w:lang w:val="it-IT"/>
              </w:rPr>
            </w:pPr>
            <w:r w:rsidRPr="00C2021A">
              <w:rPr>
                <w:rFonts w:cs="Arial"/>
                <w:color w:val="auto"/>
                <w:sz w:val="12"/>
                <w:szCs w:val="12"/>
                <w:lang w:val="it-IT"/>
              </w:rPr>
              <w:t>Benzocaine (BEN)</w:t>
            </w:r>
          </w:p>
        </w:tc>
        <w:tc>
          <w:tcPr>
            <w:tcW w:w="1260" w:type="dxa"/>
            <w:shd w:val="clear" w:color="auto" w:fill="auto"/>
            <w:tcMar>
              <w:top w:w="80" w:type="dxa"/>
              <w:left w:w="80" w:type="dxa"/>
              <w:bottom w:w="80" w:type="dxa"/>
              <w:right w:w="80" w:type="dxa"/>
            </w:tcMar>
          </w:tcPr>
          <w:p w14:paraId="002666B4"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TiO</w:t>
            </w:r>
            <w:r w:rsidRPr="00C2021A">
              <w:rPr>
                <w:rFonts w:cs="Arial"/>
                <w:color w:val="auto"/>
                <w:sz w:val="12"/>
                <w:szCs w:val="12"/>
                <w:vertAlign w:val="subscript"/>
              </w:rPr>
              <w:t>2</w:t>
            </w:r>
            <w:r w:rsidRPr="00C2021A">
              <w:rPr>
                <w:rFonts w:cs="Arial"/>
                <w:color w:val="auto"/>
                <w:sz w:val="12"/>
                <w:szCs w:val="12"/>
              </w:rPr>
              <w:t>–GO modified CPE</w:t>
            </w:r>
          </w:p>
        </w:tc>
        <w:tc>
          <w:tcPr>
            <w:tcW w:w="1170" w:type="dxa"/>
            <w:shd w:val="clear" w:color="auto" w:fill="auto"/>
            <w:tcMar>
              <w:top w:w="80" w:type="dxa"/>
              <w:left w:w="80" w:type="dxa"/>
              <w:bottom w:w="80" w:type="dxa"/>
              <w:right w:w="80" w:type="dxa"/>
            </w:tcMar>
          </w:tcPr>
          <w:p w14:paraId="5C3EB180"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SWV</w:t>
            </w:r>
          </w:p>
          <w:p w14:paraId="6C2C587C" w14:textId="77777777" w:rsidR="008E41DB" w:rsidRPr="00C2021A" w:rsidRDefault="008E41DB" w:rsidP="00483642">
            <w:pPr>
              <w:spacing w:after="0" w:line="240" w:lineRule="auto"/>
              <w:jc w:val="both"/>
              <w:rPr>
                <w:rFonts w:cs="Arial"/>
                <w:color w:val="auto"/>
                <w:sz w:val="12"/>
                <w:szCs w:val="12"/>
              </w:rPr>
            </w:pPr>
          </w:p>
        </w:tc>
        <w:tc>
          <w:tcPr>
            <w:tcW w:w="1080" w:type="dxa"/>
            <w:shd w:val="clear" w:color="auto" w:fill="auto"/>
            <w:tcMar>
              <w:top w:w="80" w:type="dxa"/>
              <w:left w:w="80" w:type="dxa"/>
              <w:bottom w:w="80" w:type="dxa"/>
              <w:right w:w="80" w:type="dxa"/>
            </w:tcMar>
          </w:tcPr>
          <w:p w14:paraId="7C4B853A"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2.48 × 10</w:t>
            </w:r>
            <w:r w:rsidRPr="00C2021A">
              <w:rPr>
                <w:rFonts w:cs="Arial"/>
                <w:color w:val="auto"/>
                <w:sz w:val="12"/>
                <w:szCs w:val="12"/>
                <w:vertAlign w:val="superscript"/>
              </w:rPr>
              <w:t>−7</w:t>
            </w:r>
            <w:r w:rsidRPr="00C2021A">
              <w:rPr>
                <w:rFonts w:cs="Arial"/>
                <w:color w:val="auto"/>
                <w:sz w:val="12"/>
                <w:szCs w:val="12"/>
              </w:rPr>
              <w:t xml:space="preserve"> M</w:t>
            </w:r>
          </w:p>
          <w:p w14:paraId="78430FC2" w14:textId="77777777" w:rsidR="008E41DB" w:rsidRPr="00C2021A" w:rsidRDefault="008E41DB" w:rsidP="00483642">
            <w:pPr>
              <w:spacing w:after="0" w:line="240" w:lineRule="auto"/>
              <w:jc w:val="both"/>
              <w:rPr>
                <w:rFonts w:cs="Arial"/>
                <w:color w:val="auto"/>
                <w:sz w:val="12"/>
                <w:szCs w:val="12"/>
              </w:rPr>
            </w:pPr>
          </w:p>
        </w:tc>
        <w:tc>
          <w:tcPr>
            <w:tcW w:w="1170" w:type="dxa"/>
            <w:shd w:val="clear" w:color="auto" w:fill="auto"/>
            <w:tcMar>
              <w:top w:w="80" w:type="dxa"/>
              <w:left w:w="80" w:type="dxa"/>
              <w:bottom w:w="80" w:type="dxa"/>
              <w:right w:w="80" w:type="dxa"/>
            </w:tcMar>
          </w:tcPr>
          <w:p w14:paraId="3FC071E6"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1 × 10</w:t>
            </w:r>
            <w:r w:rsidRPr="00C2021A">
              <w:rPr>
                <w:rFonts w:cs="Arial"/>
                <w:color w:val="auto"/>
                <w:sz w:val="12"/>
                <w:szCs w:val="12"/>
                <w:vertAlign w:val="superscript"/>
              </w:rPr>
              <w:t>−6</w:t>
            </w:r>
            <w:r w:rsidRPr="00C2021A">
              <w:rPr>
                <w:rFonts w:cs="Arial"/>
                <w:color w:val="auto"/>
                <w:sz w:val="12"/>
                <w:szCs w:val="12"/>
              </w:rPr>
              <w:t xml:space="preserve"> – </w:t>
            </w:r>
          </w:p>
          <w:p w14:paraId="54DE5819"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1 × 10</w:t>
            </w:r>
            <w:r w:rsidRPr="00C2021A">
              <w:rPr>
                <w:rFonts w:cs="Arial"/>
                <w:color w:val="auto"/>
                <w:sz w:val="12"/>
                <w:szCs w:val="12"/>
                <w:vertAlign w:val="superscript"/>
              </w:rPr>
              <w:t>−4</w:t>
            </w:r>
            <w:r w:rsidRPr="00C2021A">
              <w:rPr>
                <w:rFonts w:cs="Arial"/>
                <w:color w:val="auto"/>
                <w:sz w:val="12"/>
                <w:szCs w:val="12"/>
              </w:rPr>
              <w:t xml:space="preserve"> M</w:t>
            </w:r>
          </w:p>
        </w:tc>
        <w:tc>
          <w:tcPr>
            <w:tcW w:w="810" w:type="dxa"/>
            <w:shd w:val="clear" w:color="auto" w:fill="auto"/>
            <w:tcMar>
              <w:top w:w="80" w:type="dxa"/>
              <w:left w:w="80" w:type="dxa"/>
              <w:bottom w:w="80" w:type="dxa"/>
              <w:right w:w="80" w:type="dxa"/>
            </w:tcMar>
          </w:tcPr>
          <w:p w14:paraId="70E6A539"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99.62%</w:t>
            </w:r>
          </w:p>
          <w:p w14:paraId="5B5D7C5C" w14:textId="77777777" w:rsidR="008E41DB" w:rsidRPr="00C2021A" w:rsidRDefault="008E41DB" w:rsidP="00483642">
            <w:pPr>
              <w:spacing w:after="0" w:line="240" w:lineRule="auto"/>
              <w:jc w:val="both"/>
              <w:rPr>
                <w:rFonts w:cs="Arial"/>
                <w:color w:val="auto"/>
                <w:sz w:val="12"/>
                <w:szCs w:val="12"/>
              </w:rPr>
            </w:pPr>
          </w:p>
        </w:tc>
        <w:tc>
          <w:tcPr>
            <w:tcW w:w="900" w:type="dxa"/>
          </w:tcPr>
          <w:p w14:paraId="2C78AA9E" w14:textId="77777777" w:rsidR="008E41DB" w:rsidRPr="00C2021A" w:rsidRDefault="008E41DB" w:rsidP="00483642">
            <w:pPr>
              <w:spacing w:after="0" w:line="240" w:lineRule="auto"/>
              <w:jc w:val="both"/>
              <w:rPr>
                <w:rFonts w:cs="Arial"/>
                <w:noProof/>
                <w:color w:val="auto"/>
                <w:sz w:val="12"/>
                <w:szCs w:val="12"/>
              </w:rPr>
            </w:pPr>
            <w:r w:rsidRPr="00C2021A">
              <w:rPr>
                <w:rFonts w:cs="Arial"/>
                <w:noProof/>
                <w:color w:val="auto"/>
                <w:sz w:val="12"/>
                <w:szCs w:val="12"/>
              </w:rPr>
              <w:t>N/A</w:t>
            </w:r>
          </w:p>
        </w:tc>
        <w:tc>
          <w:tcPr>
            <w:tcW w:w="1170" w:type="dxa"/>
          </w:tcPr>
          <w:p w14:paraId="2C363708" w14:textId="77777777" w:rsidR="008E41DB" w:rsidRPr="00C2021A" w:rsidRDefault="008E41DB" w:rsidP="00483642">
            <w:pPr>
              <w:spacing w:after="0" w:line="240" w:lineRule="auto"/>
              <w:jc w:val="both"/>
              <w:rPr>
                <w:rFonts w:cs="Arial"/>
                <w:noProof/>
                <w:color w:val="auto"/>
                <w:sz w:val="12"/>
                <w:szCs w:val="12"/>
              </w:rPr>
            </w:pPr>
            <w:r w:rsidRPr="00C2021A">
              <w:rPr>
                <w:rFonts w:cs="Arial"/>
                <w:noProof/>
                <w:color w:val="auto"/>
                <w:sz w:val="12"/>
                <w:szCs w:val="12"/>
              </w:rPr>
              <w:t>N/A</w:t>
            </w:r>
          </w:p>
        </w:tc>
        <w:tc>
          <w:tcPr>
            <w:tcW w:w="900" w:type="dxa"/>
          </w:tcPr>
          <w:p w14:paraId="36E9FA42" w14:textId="77777777" w:rsidR="008E41DB" w:rsidRPr="00C2021A" w:rsidRDefault="008E41DB" w:rsidP="00483642">
            <w:pPr>
              <w:spacing w:after="0" w:line="240" w:lineRule="auto"/>
              <w:jc w:val="both"/>
              <w:rPr>
                <w:rFonts w:cs="Arial"/>
                <w:noProof/>
                <w:color w:val="auto"/>
                <w:sz w:val="12"/>
                <w:szCs w:val="12"/>
              </w:rPr>
            </w:pPr>
            <w:r w:rsidRPr="00C2021A">
              <w:rPr>
                <w:rFonts w:cs="Arial"/>
                <w:noProof/>
                <w:color w:val="auto"/>
                <w:sz w:val="12"/>
                <w:szCs w:val="12"/>
              </w:rPr>
              <w:t>Dilution with 5 mL BRB</w:t>
            </w:r>
          </w:p>
        </w:tc>
        <w:tc>
          <w:tcPr>
            <w:tcW w:w="900" w:type="dxa"/>
            <w:shd w:val="clear" w:color="auto" w:fill="auto"/>
            <w:tcMar>
              <w:top w:w="80" w:type="dxa"/>
              <w:left w:w="80" w:type="dxa"/>
              <w:bottom w:w="80" w:type="dxa"/>
              <w:right w:w="80" w:type="dxa"/>
            </w:tcMar>
          </w:tcPr>
          <w:p w14:paraId="49329356" w14:textId="77777777" w:rsidR="008E41DB" w:rsidRPr="00C2021A" w:rsidRDefault="008E41DB" w:rsidP="00483642">
            <w:pPr>
              <w:spacing w:after="0" w:line="240" w:lineRule="auto"/>
              <w:jc w:val="both"/>
              <w:rPr>
                <w:rFonts w:cs="Arial"/>
                <w:color w:val="auto"/>
                <w:sz w:val="12"/>
                <w:szCs w:val="12"/>
              </w:rPr>
            </w:pPr>
            <w:r w:rsidRPr="00C2021A">
              <w:rPr>
                <w:rFonts w:cs="Arial"/>
                <w:noProof/>
                <w:color w:val="auto"/>
                <w:sz w:val="12"/>
                <w:szCs w:val="12"/>
              </w:rPr>
              <w:t>(Mohamed et al. 2017)</w:t>
            </w:r>
          </w:p>
        </w:tc>
      </w:tr>
      <w:tr w:rsidR="00C2021A" w:rsidRPr="00C2021A" w14:paraId="171E4436" w14:textId="77777777" w:rsidTr="00483642">
        <w:trPr>
          <w:trHeight w:val="18"/>
          <w:jc w:val="center"/>
        </w:trPr>
        <w:tc>
          <w:tcPr>
            <w:tcW w:w="805" w:type="dxa"/>
            <w:shd w:val="clear" w:color="auto" w:fill="auto"/>
            <w:tcMar>
              <w:top w:w="80" w:type="dxa"/>
              <w:left w:w="80" w:type="dxa"/>
              <w:bottom w:w="80" w:type="dxa"/>
              <w:right w:w="80" w:type="dxa"/>
            </w:tcMar>
          </w:tcPr>
          <w:p w14:paraId="439135D5"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Cotinine</w:t>
            </w:r>
          </w:p>
        </w:tc>
        <w:tc>
          <w:tcPr>
            <w:tcW w:w="1260" w:type="dxa"/>
            <w:shd w:val="clear" w:color="auto" w:fill="auto"/>
            <w:tcMar>
              <w:top w:w="80" w:type="dxa"/>
              <w:left w:w="80" w:type="dxa"/>
              <w:bottom w:w="80" w:type="dxa"/>
              <w:right w:w="80" w:type="dxa"/>
            </w:tcMar>
          </w:tcPr>
          <w:p w14:paraId="34CB0C37" w14:textId="77777777" w:rsidR="008E41DB" w:rsidRPr="00C2021A" w:rsidRDefault="008E41DB" w:rsidP="00483642">
            <w:pPr>
              <w:spacing w:after="0" w:line="240" w:lineRule="auto"/>
              <w:jc w:val="both"/>
              <w:rPr>
                <w:rFonts w:cs="Arial"/>
                <w:color w:val="auto"/>
                <w:sz w:val="12"/>
                <w:szCs w:val="12"/>
              </w:rPr>
            </w:pPr>
            <w:proofErr w:type="spellStart"/>
            <w:r w:rsidRPr="00C2021A">
              <w:rPr>
                <w:rFonts w:cs="Arial"/>
                <w:color w:val="auto"/>
                <w:sz w:val="12"/>
                <w:szCs w:val="12"/>
              </w:rPr>
              <w:t>PtNP</w:t>
            </w:r>
            <w:proofErr w:type="spellEnd"/>
            <w:r w:rsidRPr="00C2021A">
              <w:rPr>
                <w:rFonts w:cs="Arial"/>
                <w:color w:val="auto"/>
                <w:sz w:val="12"/>
                <w:szCs w:val="12"/>
              </w:rPr>
              <w:t>-graphene modified SPCE</w:t>
            </w:r>
          </w:p>
        </w:tc>
        <w:tc>
          <w:tcPr>
            <w:tcW w:w="1170" w:type="dxa"/>
            <w:shd w:val="clear" w:color="auto" w:fill="auto"/>
            <w:tcMar>
              <w:top w:w="80" w:type="dxa"/>
              <w:left w:w="80" w:type="dxa"/>
              <w:bottom w:w="80" w:type="dxa"/>
              <w:right w:w="80" w:type="dxa"/>
            </w:tcMar>
          </w:tcPr>
          <w:p w14:paraId="6CA059AB"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CV</w:t>
            </w:r>
          </w:p>
        </w:tc>
        <w:tc>
          <w:tcPr>
            <w:tcW w:w="1080" w:type="dxa"/>
            <w:shd w:val="clear" w:color="auto" w:fill="auto"/>
            <w:tcMar>
              <w:top w:w="80" w:type="dxa"/>
              <w:left w:w="80" w:type="dxa"/>
              <w:bottom w:w="80" w:type="dxa"/>
              <w:right w:w="80" w:type="dxa"/>
            </w:tcMar>
          </w:tcPr>
          <w:p w14:paraId="5E9CDE18"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 xml:space="preserve">0.33 </w:t>
            </w:r>
            <w:proofErr w:type="spellStart"/>
            <w:r w:rsidRPr="00C2021A">
              <w:rPr>
                <w:rFonts w:cs="Arial"/>
                <w:color w:val="auto"/>
                <w:sz w:val="12"/>
                <w:szCs w:val="12"/>
              </w:rPr>
              <w:t>nM</w:t>
            </w:r>
            <w:r w:rsidRPr="00C2021A">
              <w:rPr>
                <w:rFonts w:cs="Arial"/>
                <w:color w:val="auto"/>
                <w:sz w:val="12"/>
                <w:szCs w:val="12"/>
                <w:u w:color="0070C0"/>
                <w:vertAlign w:val="superscript"/>
              </w:rPr>
              <w:t>c</w:t>
            </w:r>
            <w:proofErr w:type="spellEnd"/>
          </w:p>
        </w:tc>
        <w:tc>
          <w:tcPr>
            <w:tcW w:w="1170" w:type="dxa"/>
            <w:shd w:val="clear" w:color="auto" w:fill="auto"/>
            <w:tcMar>
              <w:top w:w="80" w:type="dxa"/>
              <w:left w:w="80" w:type="dxa"/>
              <w:bottom w:w="80" w:type="dxa"/>
              <w:right w:w="80" w:type="dxa"/>
            </w:tcMar>
          </w:tcPr>
          <w:p w14:paraId="43012AFE"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 xml:space="preserve">1-100 </w:t>
            </w:r>
            <w:proofErr w:type="spellStart"/>
            <w:r w:rsidRPr="00C2021A">
              <w:rPr>
                <w:rFonts w:cs="Arial"/>
                <w:color w:val="auto"/>
                <w:sz w:val="12"/>
                <w:szCs w:val="12"/>
              </w:rPr>
              <w:t>nM</w:t>
            </w:r>
            <w:r w:rsidRPr="00C2021A">
              <w:rPr>
                <w:rFonts w:cs="Arial"/>
                <w:color w:val="auto"/>
                <w:sz w:val="12"/>
                <w:szCs w:val="12"/>
                <w:u w:color="0070C0"/>
                <w:vertAlign w:val="superscript"/>
              </w:rPr>
              <w:t>c</w:t>
            </w:r>
            <w:proofErr w:type="spellEnd"/>
          </w:p>
        </w:tc>
        <w:tc>
          <w:tcPr>
            <w:tcW w:w="810" w:type="dxa"/>
            <w:shd w:val="clear" w:color="auto" w:fill="auto"/>
            <w:tcMar>
              <w:top w:w="80" w:type="dxa"/>
              <w:left w:w="80" w:type="dxa"/>
              <w:bottom w:w="80" w:type="dxa"/>
              <w:right w:w="80" w:type="dxa"/>
            </w:tcMar>
          </w:tcPr>
          <w:p w14:paraId="1EDB17CF"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N/A</w:t>
            </w:r>
          </w:p>
        </w:tc>
        <w:tc>
          <w:tcPr>
            <w:tcW w:w="900" w:type="dxa"/>
          </w:tcPr>
          <w:p w14:paraId="562D2941" w14:textId="77777777" w:rsidR="008E41DB" w:rsidRPr="00C2021A" w:rsidRDefault="008E41DB" w:rsidP="00483642">
            <w:pPr>
              <w:spacing w:after="0" w:line="240" w:lineRule="auto"/>
              <w:jc w:val="both"/>
              <w:rPr>
                <w:rFonts w:cs="Arial"/>
                <w:noProof/>
                <w:color w:val="auto"/>
                <w:sz w:val="12"/>
                <w:szCs w:val="12"/>
              </w:rPr>
            </w:pPr>
            <w:r w:rsidRPr="00C2021A">
              <w:rPr>
                <w:rFonts w:cs="Arial"/>
                <w:noProof/>
                <w:color w:val="auto"/>
                <w:sz w:val="12"/>
                <w:szCs w:val="12"/>
              </w:rPr>
              <w:t>12 min</w:t>
            </w:r>
          </w:p>
        </w:tc>
        <w:tc>
          <w:tcPr>
            <w:tcW w:w="1170" w:type="dxa"/>
          </w:tcPr>
          <w:p w14:paraId="1D948047" w14:textId="77777777" w:rsidR="008E41DB" w:rsidRPr="00C2021A" w:rsidRDefault="008E41DB" w:rsidP="00483642">
            <w:pPr>
              <w:spacing w:after="0" w:line="240" w:lineRule="auto"/>
              <w:jc w:val="both"/>
              <w:rPr>
                <w:rFonts w:cs="Arial"/>
                <w:noProof/>
                <w:color w:val="auto"/>
                <w:sz w:val="12"/>
                <w:szCs w:val="12"/>
              </w:rPr>
            </w:pPr>
            <w:r w:rsidRPr="00C2021A">
              <w:rPr>
                <w:rFonts w:cs="Arial"/>
                <w:noProof/>
                <w:color w:val="auto"/>
                <w:sz w:val="12"/>
                <w:szCs w:val="12"/>
              </w:rPr>
              <w:t>N/A</w:t>
            </w:r>
          </w:p>
        </w:tc>
        <w:tc>
          <w:tcPr>
            <w:tcW w:w="900" w:type="dxa"/>
          </w:tcPr>
          <w:p w14:paraId="6509D937" w14:textId="77777777" w:rsidR="008E41DB" w:rsidRPr="00C2021A" w:rsidRDefault="008E41DB" w:rsidP="00483642">
            <w:pPr>
              <w:spacing w:after="0" w:line="240" w:lineRule="auto"/>
              <w:jc w:val="both"/>
              <w:rPr>
                <w:rFonts w:cs="Arial"/>
                <w:noProof/>
                <w:color w:val="auto"/>
                <w:sz w:val="12"/>
                <w:szCs w:val="12"/>
              </w:rPr>
            </w:pPr>
            <w:r w:rsidRPr="00C2021A">
              <w:rPr>
                <w:rFonts w:cs="Arial"/>
                <w:noProof/>
                <w:color w:val="auto"/>
                <w:sz w:val="12"/>
                <w:szCs w:val="12"/>
              </w:rPr>
              <w:t>Whole saliva</w:t>
            </w:r>
          </w:p>
        </w:tc>
        <w:tc>
          <w:tcPr>
            <w:tcW w:w="900" w:type="dxa"/>
            <w:shd w:val="clear" w:color="auto" w:fill="auto"/>
            <w:tcMar>
              <w:top w:w="80" w:type="dxa"/>
              <w:left w:w="80" w:type="dxa"/>
              <w:bottom w:w="80" w:type="dxa"/>
              <w:right w:w="80" w:type="dxa"/>
            </w:tcMar>
          </w:tcPr>
          <w:p w14:paraId="45DF0060" w14:textId="77777777" w:rsidR="008E41DB" w:rsidRPr="00C2021A" w:rsidRDefault="008E41DB" w:rsidP="00483642">
            <w:pPr>
              <w:spacing w:after="0" w:line="240" w:lineRule="auto"/>
              <w:jc w:val="both"/>
              <w:rPr>
                <w:rFonts w:cs="Arial"/>
                <w:color w:val="auto"/>
                <w:sz w:val="12"/>
                <w:szCs w:val="12"/>
                <w:lang w:val="it-IT"/>
              </w:rPr>
            </w:pPr>
            <w:r w:rsidRPr="00C2021A">
              <w:rPr>
                <w:rFonts w:cs="Arial"/>
                <w:noProof/>
                <w:color w:val="auto"/>
                <w:sz w:val="12"/>
                <w:szCs w:val="12"/>
              </w:rPr>
              <w:t>(Parate et al. 2019)</w:t>
            </w:r>
          </w:p>
        </w:tc>
      </w:tr>
      <w:tr w:rsidR="00C2021A" w:rsidRPr="00C2021A" w14:paraId="3503B887" w14:textId="77777777" w:rsidTr="00483642">
        <w:trPr>
          <w:trHeight w:val="17"/>
          <w:jc w:val="center"/>
        </w:trPr>
        <w:tc>
          <w:tcPr>
            <w:tcW w:w="805" w:type="dxa"/>
            <w:shd w:val="clear" w:color="auto" w:fill="auto"/>
            <w:tcMar>
              <w:top w:w="80" w:type="dxa"/>
              <w:left w:w="80" w:type="dxa"/>
              <w:bottom w:w="80" w:type="dxa"/>
              <w:right w:w="80" w:type="dxa"/>
            </w:tcMar>
          </w:tcPr>
          <w:p w14:paraId="7F2B7D37"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Ketamine</w:t>
            </w:r>
          </w:p>
        </w:tc>
        <w:tc>
          <w:tcPr>
            <w:tcW w:w="1260" w:type="dxa"/>
            <w:shd w:val="clear" w:color="auto" w:fill="auto"/>
            <w:tcMar>
              <w:top w:w="80" w:type="dxa"/>
              <w:left w:w="80" w:type="dxa"/>
              <w:bottom w:w="80" w:type="dxa"/>
              <w:right w:w="80" w:type="dxa"/>
            </w:tcMar>
          </w:tcPr>
          <w:p w14:paraId="426FB0A0"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KT-MIM/</w:t>
            </w:r>
            <w:proofErr w:type="spellStart"/>
            <w:r w:rsidRPr="00C2021A">
              <w:rPr>
                <w:rFonts w:cs="Arial"/>
                <w:color w:val="auto"/>
                <w:sz w:val="12"/>
                <w:szCs w:val="12"/>
              </w:rPr>
              <w:t>MOFs@G</w:t>
            </w:r>
            <w:proofErr w:type="spellEnd"/>
            <w:r w:rsidRPr="00C2021A">
              <w:rPr>
                <w:rFonts w:cs="Arial"/>
                <w:color w:val="auto"/>
                <w:sz w:val="12"/>
                <w:szCs w:val="12"/>
              </w:rPr>
              <w:t>/SPE</w:t>
            </w:r>
          </w:p>
        </w:tc>
        <w:tc>
          <w:tcPr>
            <w:tcW w:w="1170" w:type="dxa"/>
            <w:shd w:val="clear" w:color="auto" w:fill="auto"/>
            <w:tcMar>
              <w:top w:w="80" w:type="dxa"/>
              <w:left w:w="80" w:type="dxa"/>
              <w:bottom w:w="80" w:type="dxa"/>
              <w:right w:w="80" w:type="dxa"/>
            </w:tcMar>
          </w:tcPr>
          <w:p w14:paraId="51D7B786"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DPV</w:t>
            </w:r>
          </w:p>
        </w:tc>
        <w:tc>
          <w:tcPr>
            <w:tcW w:w="1080" w:type="dxa"/>
            <w:shd w:val="clear" w:color="auto" w:fill="auto"/>
            <w:tcMar>
              <w:top w:w="80" w:type="dxa"/>
              <w:left w:w="80" w:type="dxa"/>
              <w:bottom w:w="80" w:type="dxa"/>
              <w:right w:w="80" w:type="dxa"/>
            </w:tcMar>
          </w:tcPr>
          <w:p w14:paraId="5BA881DE"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4.0×10</w:t>
            </w:r>
            <w:r w:rsidRPr="00C2021A">
              <w:rPr>
                <w:rFonts w:cs="Arial"/>
                <w:color w:val="auto"/>
                <w:sz w:val="12"/>
                <w:szCs w:val="12"/>
                <w:vertAlign w:val="superscript"/>
              </w:rPr>
              <w:t xml:space="preserve">−11 </w:t>
            </w:r>
            <w:r w:rsidRPr="00C2021A">
              <w:rPr>
                <w:rFonts w:cs="Arial"/>
                <w:color w:val="auto"/>
                <w:sz w:val="12"/>
                <w:szCs w:val="12"/>
              </w:rPr>
              <w:t>mol L</w:t>
            </w:r>
            <w:r w:rsidRPr="00C2021A">
              <w:rPr>
                <w:rFonts w:cs="Arial"/>
                <w:color w:val="auto"/>
                <w:sz w:val="12"/>
                <w:szCs w:val="12"/>
                <w:vertAlign w:val="superscript"/>
              </w:rPr>
              <w:t>-1</w:t>
            </w:r>
          </w:p>
        </w:tc>
        <w:tc>
          <w:tcPr>
            <w:tcW w:w="1170" w:type="dxa"/>
            <w:shd w:val="clear" w:color="auto" w:fill="auto"/>
            <w:tcMar>
              <w:top w:w="80" w:type="dxa"/>
              <w:left w:w="80" w:type="dxa"/>
              <w:bottom w:w="80" w:type="dxa"/>
              <w:right w:w="80" w:type="dxa"/>
            </w:tcMar>
          </w:tcPr>
          <w:p w14:paraId="6A8B1AF4"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1.0×10</w:t>
            </w:r>
            <w:r w:rsidRPr="00C2021A">
              <w:rPr>
                <w:rFonts w:cs="Arial"/>
                <w:color w:val="auto"/>
                <w:sz w:val="12"/>
                <w:szCs w:val="12"/>
                <w:vertAlign w:val="superscript"/>
              </w:rPr>
              <w:t xml:space="preserve">−10 </w:t>
            </w:r>
            <w:r w:rsidRPr="00C2021A">
              <w:rPr>
                <w:rFonts w:cs="Arial"/>
                <w:color w:val="auto"/>
                <w:sz w:val="12"/>
                <w:szCs w:val="12"/>
              </w:rPr>
              <w:t>- 4.0×10</w:t>
            </w:r>
            <w:r w:rsidRPr="00C2021A">
              <w:rPr>
                <w:rFonts w:cs="Arial"/>
                <w:color w:val="auto"/>
                <w:sz w:val="12"/>
                <w:szCs w:val="12"/>
                <w:vertAlign w:val="superscript"/>
              </w:rPr>
              <w:t>−5</w:t>
            </w:r>
            <w:r w:rsidRPr="00C2021A">
              <w:rPr>
                <w:rFonts w:cs="Arial"/>
                <w:color w:val="auto"/>
                <w:sz w:val="12"/>
                <w:szCs w:val="12"/>
              </w:rPr>
              <w:t xml:space="preserve"> mol L</w:t>
            </w:r>
            <w:r w:rsidRPr="00C2021A">
              <w:rPr>
                <w:rFonts w:cs="Arial"/>
                <w:color w:val="auto"/>
                <w:sz w:val="12"/>
                <w:szCs w:val="12"/>
                <w:vertAlign w:val="superscript"/>
              </w:rPr>
              <w:t>-1</w:t>
            </w:r>
          </w:p>
        </w:tc>
        <w:tc>
          <w:tcPr>
            <w:tcW w:w="810" w:type="dxa"/>
            <w:shd w:val="clear" w:color="auto" w:fill="auto"/>
            <w:tcMar>
              <w:top w:w="80" w:type="dxa"/>
              <w:left w:w="80" w:type="dxa"/>
              <w:bottom w:w="80" w:type="dxa"/>
              <w:right w:w="80" w:type="dxa"/>
            </w:tcMar>
          </w:tcPr>
          <w:p w14:paraId="759605C3" w14:textId="77777777" w:rsidR="008E41DB" w:rsidRPr="00C2021A" w:rsidRDefault="008E41DB" w:rsidP="00483642">
            <w:pPr>
              <w:spacing w:after="0" w:line="240" w:lineRule="auto"/>
              <w:jc w:val="both"/>
              <w:rPr>
                <w:rFonts w:cs="Arial"/>
                <w:color w:val="auto"/>
                <w:sz w:val="12"/>
                <w:szCs w:val="12"/>
              </w:rPr>
            </w:pPr>
            <w:r w:rsidRPr="00C2021A">
              <w:rPr>
                <w:rFonts w:cs="Arial"/>
                <w:color w:val="auto"/>
                <w:sz w:val="12"/>
                <w:szCs w:val="12"/>
              </w:rPr>
              <w:t>98 - 116%</w:t>
            </w:r>
          </w:p>
        </w:tc>
        <w:tc>
          <w:tcPr>
            <w:tcW w:w="900" w:type="dxa"/>
          </w:tcPr>
          <w:p w14:paraId="1768051A" w14:textId="77777777" w:rsidR="008E41DB" w:rsidRPr="00C2021A" w:rsidRDefault="008E41DB" w:rsidP="00483642">
            <w:pPr>
              <w:spacing w:after="0" w:line="240" w:lineRule="auto"/>
              <w:jc w:val="both"/>
              <w:rPr>
                <w:rFonts w:cs="Arial"/>
                <w:color w:val="auto"/>
                <w:sz w:val="12"/>
                <w:szCs w:val="12"/>
                <w:lang w:val="it-IT"/>
              </w:rPr>
            </w:pPr>
            <w:r w:rsidRPr="00C2021A">
              <w:rPr>
                <w:rFonts w:cs="Arial"/>
                <w:color w:val="auto"/>
                <w:sz w:val="12"/>
                <w:szCs w:val="12"/>
                <w:lang w:val="it-IT"/>
              </w:rPr>
              <w:t>5 min</w:t>
            </w:r>
          </w:p>
        </w:tc>
        <w:tc>
          <w:tcPr>
            <w:tcW w:w="1170" w:type="dxa"/>
          </w:tcPr>
          <w:p w14:paraId="0C986248" w14:textId="77777777" w:rsidR="008E41DB" w:rsidRPr="00C2021A" w:rsidRDefault="008E41DB" w:rsidP="00483642">
            <w:pPr>
              <w:spacing w:after="0" w:line="240" w:lineRule="auto"/>
              <w:jc w:val="both"/>
              <w:rPr>
                <w:rFonts w:cs="Arial"/>
                <w:color w:val="auto"/>
                <w:sz w:val="12"/>
                <w:szCs w:val="12"/>
                <w:lang w:val="it-IT"/>
              </w:rPr>
            </w:pPr>
            <w:r w:rsidRPr="00C2021A">
              <w:rPr>
                <w:rFonts w:cs="Arial"/>
                <w:color w:val="auto"/>
                <w:sz w:val="12"/>
                <w:szCs w:val="12"/>
                <w:lang w:val="it-IT"/>
              </w:rPr>
              <w:t>N/A</w:t>
            </w:r>
          </w:p>
        </w:tc>
        <w:tc>
          <w:tcPr>
            <w:tcW w:w="900" w:type="dxa"/>
          </w:tcPr>
          <w:p w14:paraId="4CFF2199" w14:textId="77777777" w:rsidR="008E41DB" w:rsidRPr="00C2021A" w:rsidRDefault="008E41DB" w:rsidP="00483642">
            <w:pPr>
              <w:spacing w:after="0" w:line="240" w:lineRule="auto"/>
              <w:jc w:val="both"/>
              <w:rPr>
                <w:rFonts w:cs="Arial"/>
                <w:color w:val="auto"/>
                <w:sz w:val="12"/>
                <w:szCs w:val="12"/>
                <w:lang w:val="it-IT"/>
              </w:rPr>
            </w:pPr>
            <w:r w:rsidRPr="00C2021A">
              <w:rPr>
                <w:rFonts w:cs="Arial"/>
                <w:color w:val="auto"/>
                <w:sz w:val="12"/>
                <w:szCs w:val="12"/>
                <w:lang w:val="it-IT"/>
              </w:rPr>
              <w:t>1:10 dilution with DI water</w:t>
            </w:r>
          </w:p>
        </w:tc>
        <w:tc>
          <w:tcPr>
            <w:tcW w:w="900" w:type="dxa"/>
            <w:shd w:val="clear" w:color="auto" w:fill="auto"/>
            <w:tcMar>
              <w:top w:w="80" w:type="dxa"/>
              <w:left w:w="80" w:type="dxa"/>
              <w:bottom w:w="80" w:type="dxa"/>
              <w:right w:w="80" w:type="dxa"/>
            </w:tcMar>
          </w:tcPr>
          <w:p w14:paraId="72B8C252" w14:textId="77777777" w:rsidR="008E41DB" w:rsidRPr="00C2021A" w:rsidRDefault="008E41DB" w:rsidP="00483642">
            <w:pPr>
              <w:spacing w:after="0" w:line="240" w:lineRule="auto"/>
              <w:jc w:val="both"/>
              <w:rPr>
                <w:rFonts w:cs="Arial"/>
                <w:color w:val="auto"/>
                <w:sz w:val="12"/>
                <w:szCs w:val="12"/>
              </w:rPr>
            </w:pPr>
            <w:r w:rsidRPr="00C2021A">
              <w:rPr>
                <w:rFonts w:cs="Arial"/>
                <w:noProof/>
                <w:color w:val="auto"/>
                <w:sz w:val="12"/>
                <w:szCs w:val="12"/>
              </w:rPr>
              <w:t>(Fu et al. 2019)</w:t>
            </w:r>
          </w:p>
        </w:tc>
      </w:tr>
    </w:tbl>
    <w:p w14:paraId="6ACAECE1" w14:textId="77777777" w:rsidR="008E41DB" w:rsidRPr="00C2021A" w:rsidRDefault="008E41DB" w:rsidP="008E41DB">
      <w:pPr>
        <w:spacing w:after="0" w:line="240" w:lineRule="auto"/>
        <w:jc w:val="both"/>
        <w:rPr>
          <w:rFonts w:cs="Arial"/>
          <w:color w:val="auto"/>
        </w:rPr>
      </w:pPr>
      <w:r w:rsidRPr="00C2021A">
        <w:rPr>
          <w:rFonts w:cs="Arial"/>
          <w:color w:val="auto"/>
          <w:u w:color="0070C0"/>
          <w:vertAlign w:val="superscript"/>
        </w:rPr>
        <w:t>a</w:t>
      </w:r>
      <w:r w:rsidRPr="00C2021A">
        <w:rPr>
          <w:rFonts w:cs="Arial"/>
          <w:color w:val="auto"/>
        </w:rPr>
        <w:t xml:space="preserve"> S/N = 3, otherwise differently specified</w:t>
      </w:r>
    </w:p>
    <w:p w14:paraId="05EE6BC7" w14:textId="77777777" w:rsidR="008E41DB" w:rsidRPr="00C2021A" w:rsidRDefault="008E41DB" w:rsidP="008E41DB">
      <w:pPr>
        <w:spacing w:after="0" w:line="240" w:lineRule="auto"/>
        <w:jc w:val="both"/>
        <w:rPr>
          <w:rFonts w:cs="Arial"/>
          <w:color w:val="auto"/>
        </w:rPr>
      </w:pPr>
      <w:r w:rsidRPr="00C2021A">
        <w:rPr>
          <w:rFonts w:cs="Arial"/>
          <w:color w:val="auto"/>
          <w:u w:color="0070C0"/>
          <w:vertAlign w:val="superscript"/>
        </w:rPr>
        <w:t>b</w:t>
      </w:r>
      <w:r w:rsidRPr="00C2021A">
        <w:rPr>
          <w:rFonts w:cs="Arial"/>
          <w:color w:val="auto"/>
        </w:rPr>
        <w:t xml:space="preserve"> values obtained in real saliva samples, otherwise differently </w:t>
      </w:r>
      <w:proofErr w:type="gramStart"/>
      <w:r w:rsidRPr="00C2021A">
        <w:rPr>
          <w:rFonts w:cs="Arial"/>
          <w:color w:val="auto"/>
        </w:rPr>
        <w:t>specified</w:t>
      </w:r>
      <w:proofErr w:type="gramEnd"/>
      <w:r w:rsidRPr="00C2021A">
        <w:rPr>
          <w:rFonts w:cs="Arial"/>
          <w:color w:val="auto"/>
        </w:rPr>
        <w:t xml:space="preserve"> </w:t>
      </w:r>
    </w:p>
    <w:p w14:paraId="26A96479" w14:textId="77777777" w:rsidR="008E41DB" w:rsidRPr="00C2021A" w:rsidRDefault="008E41DB" w:rsidP="008E41DB">
      <w:pPr>
        <w:spacing w:after="0" w:line="240" w:lineRule="auto"/>
        <w:jc w:val="both"/>
        <w:rPr>
          <w:rFonts w:cs="Arial"/>
          <w:color w:val="auto"/>
        </w:rPr>
      </w:pPr>
      <w:r w:rsidRPr="00C2021A">
        <w:rPr>
          <w:rFonts w:cs="Arial"/>
          <w:color w:val="auto"/>
          <w:u w:color="0070C0"/>
          <w:vertAlign w:val="superscript"/>
        </w:rPr>
        <w:t>c</w:t>
      </w:r>
      <w:r w:rsidRPr="00C2021A">
        <w:rPr>
          <w:rFonts w:cs="Arial"/>
          <w:color w:val="auto"/>
        </w:rPr>
        <w:t xml:space="preserve"> in saliva</w:t>
      </w:r>
    </w:p>
    <w:p w14:paraId="4B802BC1" w14:textId="77777777" w:rsidR="008E41DB" w:rsidRPr="00C2021A" w:rsidRDefault="008E41DB" w:rsidP="008E41DB">
      <w:pPr>
        <w:spacing w:after="0" w:line="240" w:lineRule="auto"/>
        <w:jc w:val="both"/>
        <w:rPr>
          <w:rFonts w:cs="Arial"/>
          <w:color w:val="auto"/>
        </w:rPr>
      </w:pPr>
    </w:p>
    <w:p w14:paraId="0F1B74FE" w14:textId="77777777" w:rsidR="008E41DB" w:rsidRPr="00C2021A" w:rsidRDefault="008E41DB" w:rsidP="008E41DB">
      <w:pPr>
        <w:spacing w:after="0" w:line="240" w:lineRule="auto"/>
        <w:jc w:val="both"/>
        <w:rPr>
          <w:rFonts w:cs="Arial"/>
          <w:color w:val="auto"/>
        </w:rPr>
      </w:pPr>
    </w:p>
    <w:p w14:paraId="2B63DAA3" w14:textId="77777777" w:rsidR="008E41DB" w:rsidRPr="00C2021A" w:rsidRDefault="008E41DB" w:rsidP="008E41DB">
      <w:pPr>
        <w:spacing w:after="0" w:line="240" w:lineRule="auto"/>
        <w:jc w:val="both"/>
        <w:rPr>
          <w:rFonts w:cs="Arial"/>
          <w:color w:val="auto"/>
        </w:rPr>
      </w:pPr>
    </w:p>
    <w:p w14:paraId="30C7790E" w14:textId="77777777" w:rsidR="008E41DB" w:rsidRPr="00C2021A" w:rsidRDefault="008E41DB" w:rsidP="008E41DB">
      <w:pPr>
        <w:spacing w:after="0" w:line="240" w:lineRule="auto"/>
        <w:jc w:val="both"/>
        <w:rPr>
          <w:rFonts w:cs="Arial"/>
          <w:color w:val="auto"/>
        </w:rPr>
      </w:pPr>
    </w:p>
    <w:p w14:paraId="6F7BDFC1" w14:textId="77777777" w:rsidR="008E41DB" w:rsidRPr="00C2021A" w:rsidRDefault="008E41DB" w:rsidP="008E41DB">
      <w:pPr>
        <w:spacing w:after="0" w:line="240" w:lineRule="auto"/>
        <w:jc w:val="both"/>
        <w:rPr>
          <w:rFonts w:cs="Arial"/>
          <w:color w:val="auto"/>
        </w:rPr>
      </w:pPr>
    </w:p>
    <w:p w14:paraId="7E43EEDD" w14:textId="77777777" w:rsidR="008E41DB" w:rsidRPr="00C2021A" w:rsidRDefault="008E41DB" w:rsidP="008E41DB">
      <w:pPr>
        <w:spacing w:after="0" w:line="240" w:lineRule="auto"/>
        <w:jc w:val="both"/>
        <w:rPr>
          <w:rFonts w:cs="Arial"/>
          <w:color w:val="auto"/>
        </w:rPr>
      </w:pPr>
    </w:p>
    <w:p w14:paraId="0F2F88F4" w14:textId="77777777" w:rsidR="008E41DB" w:rsidRPr="00C2021A" w:rsidRDefault="008E41DB" w:rsidP="008E41DB">
      <w:pPr>
        <w:spacing w:after="0" w:line="240" w:lineRule="auto"/>
        <w:jc w:val="both"/>
        <w:rPr>
          <w:rFonts w:cs="Arial"/>
          <w:color w:val="auto"/>
        </w:rPr>
      </w:pPr>
    </w:p>
    <w:p w14:paraId="2DA5A513" w14:textId="77777777" w:rsidR="008E41DB" w:rsidRPr="00C2021A" w:rsidRDefault="008E41DB" w:rsidP="008E41DB">
      <w:pPr>
        <w:spacing w:after="0" w:line="240" w:lineRule="auto"/>
        <w:jc w:val="both"/>
        <w:rPr>
          <w:rFonts w:cs="Arial"/>
          <w:color w:val="auto"/>
        </w:rPr>
      </w:pPr>
    </w:p>
    <w:p w14:paraId="46BA98BA" w14:textId="77777777" w:rsidR="008E41DB" w:rsidRPr="00C2021A" w:rsidRDefault="008E41DB" w:rsidP="008E41DB">
      <w:pPr>
        <w:spacing w:after="0" w:line="240" w:lineRule="auto"/>
        <w:jc w:val="both"/>
        <w:rPr>
          <w:rFonts w:cs="Arial"/>
          <w:color w:val="auto"/>
        </w:rPr>
      </w:pPr>
    </w:p>
    <w:p w14:paraId="7F81F4B4" w14:textId="77777777" w:rsidR="008E41DB" w:rsidRPr="00C2021A" w:rsidRDefault="008E41DB" w:rsidP="008E41DB">
      <w:pPr>
        <w:spacing w:after="0" w:line="240" w:lineRule="auto"/>
        <w:jc w:val="both"/>
        <w:rPr>
          <w:rFonts w:cs="Arial"/>
          <w:color w:val="auto"/>
        </w:rPr>
      </w:pPr>
    </w:p>
    <w:p w14:paraId="37959520" w14:textId="77777777" w:rsidR="008E41DB" w:rsidRPr="00C2021A" w:rsidRDefault="008E41DB" w:rsidP="008E41DB">
      <w:pPr>
        <w:spacing w:after="0" w:line="240" w:lineRule="auto"/>
        <w:jc w:val="both"/>
        <w:rPr>
          <w:rFonts w:cs="Arial"/>
          <w:color w:val="auto"/>
        </w:rPr>
      </w:pPr>
    </w:p>
    <w:p w14:paraId="0086D0A9" w14:textId="77777777" w:rsidR="008E41DB" w:rsidRPr="00C2021A" w:rsidRDefault="008E41DB" w:rsidP="008E41DB">
      <w:pPr>
        <w:spacing w:after="0" w:line="240" w:lineRule="auto"/>
        <w:jc w:val="both"/>
        <w:rPr>
          <w:rFonts w:cs="Arial"/>
          <w:color w:val="auto"/>
        </w:rPr>
      </w:pPr>
    </w:p>
    <w:p w14:paraId="4EFF8350" w14:textId="77777777" w:rsidR="008E41DB" w:rsidRPr="00C2021A" w:rsidRDefault="008E41DB" w:rsidP="008E41DB">
      <w:pPr>
        <w:spacing w:after="0" w:line="240" w:lineRule="auto"/>
        <w:jc w:val="both"/>
        <w:rPr>
          <w:rFonts w:cs="Arial"/>
          <w:color w:val="auto"/>
        </w:rPr>
      </w:pPr>
    </w:p>
    <w:p w14:paraId="3B5D7C70" w14:textId="77777777" w:rsidR="008E41DB" w:rsidRPr="00C2021A" w:rsidRDefault="008E41DB" w:rsidP="008E41DB">
      <w:pPr>
        <w:spacing w:after="0" w:line="240" w:lineRule="auto"/>
        <w:jc w:val="both"/>
        <w:rPr>
          <w:rFonts w:cs="Arial"/>
          <w:color w:val="auto"/>
        </w:rPr>
      </w:pPr>
    </w:p>
    <w:p w14:paraId="0C7BBAF8" w14:textId="77777777" w:rsidR="008E41DB" w:rsidRPr="00C2021A" w:rsidRDefault="008E41DB" w:rsidP="008E41DB">
      <w:pPr>
        <w:spacing w:after="0" w:line="240" w:lineRule="auto"/>
        <w:jc w:val="both"/>
        <w:rPr>
          <w:rFonts w:cs="Arial"/>
          <w:color w:val="auto"/>
        </w:rPr>
      </w:pPr>
    </w:p>
    <w:p w14:paraId="01C06D40" w14:textId="77777777" w:rsidR="008E41DB" w:rsidRPr="00C2021A" w:rsidRDefault="008E41DB" w:rsidP="008E41DB">
      <w:pPr>
        <w:spacing w:after="0" w:line="240" w:lineRule="auto"/>
        <w:jc w:val="both"/>
        <w:rPr>
          <w:rFonts w:cs="Arial"/>
          <w:color w:val="auto"/>
        </w:rPr>
      </w:pPr>
    </w:p>
    <w:p w14:paraId="4E2BE9B8" w14:textId="77777777" w:rsidR="008E41DB" w:rsidRPr="00C2021A" w:rsidRDefault="008E41DB" w:rsidP="008E41DB">
      <w:pPr>
        <w:spacing w:after="0" w:line="240" w:lineRule="auto"/>
        <w:jc w:val="both"/>
        <w:rPr>
          <w:rFonts w:cs="Arial"/>
          <w:color w:val="auto"/>
        </w:rPr>
      </w:pPr>
    </w:p>
    <w:p w14:paraId="05B21DE7" w14:textId="77777777" w:rsidR="008E41DB" w:rsidRPr="00C2021A" w:rsidRDefault="008E41DB" w:rsidP="008E41DB">
      <w:pPr>
        <w:spacing w:after="0" w:line="240" w:lineRule="auto"/>
        <w:jc w:val="both"/>
        <w:rPr>
          <w:rFonts w:cs="Arial"/>
          <w:color w:val="auto"/>
        </w:rPr>
      </w:pPr>
    </w:p>
    <w:p w14:paraId="1D31DA2C" w14:textId="77777777" w:rsidR="008E41DB" w:rsidRPr="00C2021A" w:rsidRDefault="008E41DB" w:rsidP="008E41DB">
      <w:pPr>
        <w:spacing w:after="0" w:line="240" w:lineRule="auto"/>
        <w:jc w:val="both"/>
        <w:rPr>
          <w:rFonts w:cs="Arial"/>
          <w:color w:val="auto"/>
        </w:rPr>
      </w:pPr>
    </w:p>
    <w:p w14:paraId="1C8B86C1" w14:textId="77777777" w:rsidR="008E41DB" w:rsidRPr="00C2021A" w:rsidRDefault="008E41DB" w:rsidP="008E41DB">
      <w:pPr>
        <w:spacing w:after="0" w:line="240" w:lineRule="auto"/>
        <w:jc w:val="both"/>
        <w:rPr>
          <w:rFonts w:cs="Arial"/>
          <w:color w:val="auto"/>
        </w:rPr>
      </w:pPr>
    </w:p>
    <w:p w14:paraId="2FBD5981" w14:textId="77777777" w:rsidR="008E41DB" w:rsidRPr="00C2021A" w:rsidRDefault="008E41DB" w:rsidP="008E41DB">
      <w:pPr>
        <w:spacing w:after="0" w:line="240" w:lineRule="auto"/>
        <w:jc w:val="both"/>
        <w:rPr>
          <w:rFonts w:cs="Arial"/>
          <w:color w:val="auto"/>
        </w:rPr>
      </w:pPr>
    </w:p>
    <w:p w14:paraId="0E1F76F8" w14:textId="77777777" w:rsidR="008E41DB" w:rsidRPr="00C2021A" w:rsidRDefault="008E41DB" w:rsidP="008E41DB">
      <w:pPr>
        <w:spacing w:after="0" w:line="240" w:lineRule="auto"/>
        <w:jc w:val="both"/>
        <w:rPr>
          <w:rFonts w:cs="Arial"/>
          <w:color w:val="auto"/>
        </w:rPr>
      </w:pPr>
    </w:p>
    <w:p w14:paraId="6823B80C" w14:textId="77777777" w:rsidR="008E41DB" w:rsidRPr="00C2021A" w:rsidRDefault="008E41DB" w:rsidP="008E41DB">
      <w:pPr>
        <w:spacing w:after="0" w:line="240" w:lineRule="auto"/>
        <w:jc w:val="both"/>
        <w:rPr>
          <w:rFonts w:cs="Arial"/>
          <w:color w:val="auto"/>
        </w:rPr>
      </w:pPr>
    </w:p>
    <w:p w14:paraId="3D5887CA" w14:textId="77777777" w:rsidR="008E41DB" w:rsidRPr="00C2021A" w:rsidRDefault="008E41DB" w:rsidP="008E41DB">
      <w:pPr>
        <w:spacing w:after="0" w:line="240" w:lineRule="auto"/>
        <w:jc w:val="both"/>
        <w:rPr>
          <w:rFonts w:cs="Arial"/>
          <w:color w:val="auto"/>
        </w:rPr>
      </w:pPr>
    </w:p>
    <w:p w14:paraId="085E2BA6" w14:textId="77777777" w:rsidR="008E41DB" w:rsidRPr="00C2021A" w:rsidRDefault="008E41DB" w:rsidP="008E41DB">
      <w:pPr>
        <w:spacing w:after="0" w:line="240" w:lineRule="auto"/>
        <w:jc w:val="both"/>
        <w:rPr>
          <w:rFonts w:cs="Arial"/>
          <w:color w:val="auto"/>
        </w:rPr>
      </w:pPr>
    </w:p>
    <w:p w14:paraId="1FBD3BED" w14:textId="77777777" w:rsidR="008E41DB" w:rsidRPr="00C2021A" w:rsidRDefault="008E41DB" w:rsidP="008E41DB">
      <w:pPr>
        <w:spacing w:after="0" w:line="240" w:lineRule="auto"/>
        <w:jc w:val="both"/>
        <w:rPr>
          <w:rFonts w:cs="Arial"/>
          <w:color w:val="auto"/>
        </w:rPr>
      </w:pPr>
    </w:p>
    <w:p w14:paraId="39B0A48D" w14:textId="77777777" w:rsidR="008E41DB" w:rsidRPr="00C2021A" w:rsidRDefault="008E41DB" w:rsidP="008E41DB">
      <w:pPr>
        <w:spacing w:after="0" w:line="240" w:lineRule="auto"/>
        <w:jc w:val="both"/>
        <w:rPr>
          <w:rFonts w:cs="Arial"/>
          <w:color w:val="auto"/>
        </w:rPr>
      </w:pPr>
    </w:p>
    <w:p w14:paraId="48A58A91" w14:textId="77777777" w:rsidR="008E41DB" w:rsidRPr="00C2021A" w:rsidRDefault="008E41DB" w:rsidP="008E41DB">
      <w:pPr>
        <w:spacing w:after="0" w:line="240" w:lineRule="auto"/>
        <w:jc w:val="both"/>
        <w:rPr>
          <w:rFonts w:cs="Arial"/>
          <w:color w:val="auto"/>
        </w:rPr>
      </w:pPr>
    </w:p>
    <w:p w14:paraId="11C1B23F" w14:textId="77777777" w:rsidR="008E41DB" w:rsidRPr="00C2021A" w:rsidRDefault="008E41DB" w:rsidP="008E41DB">
      <w:pPr>
        <w:spacing w:after="0" w:line="240" w:lineRule="auto"/>
        <w:jc w:val="both"/>
        <w:rPr>
          <w:rFonts w:cs="Arial"/>
          <w:color w:val="auto"/>
        </w:rPr>
      </w:pPr>
    </w:p>
    <w:p w14:paraId="4EDFDEFF" w14:textId="77777777" w:rsidR="008E41DB" w:rsidRPr="00C2021A" w:rsidRDefault="008E41DB" w:rsidP="008E41DB">
      <w:pPr>
        <w:spacing w:after="0" w:line="240" w:lineRule="auto"/>
        <w:jc w:val="both"/>
        <w:rPr>
          <w:rFonts w:cs="Arial"/>
          <w:color w:val="auto"/>
        </w:rPr>
      </w:pPr>
    </w:p>
    <w:p w14:paraId="7D7ABABE" w14:textId="77777777" w:rsidR="008E41DB" w:rsidRPr="00C2021A" w:rsidRDefault="008E41DB" w:rsidP="008E41DB">
      <w:pPr>
        <w:spacing w:after="0" w:line="240" w:lineRule="auto"/>
        <w:jc w:val="both"/>
        <w:rPr>
          <w:rFonts w:cs="Arial"/>
          <w:color w:val="auto"/>
        </w:rPr>
      </w:pPr>
    </w:p>
    <w:p w14:paraId="685B109E" w14:textId="77777777" w:rsidR="008E41DB" w:rsidRPr="00C2021A" w:rsidRDefault="008E41DB" w:rsidP="008E41DB">
      <w:pPr>
        <w:spacing w:after="0" w:line="240" w:lineRule="auto"/>
        <w:jc w:val="both"/>
        <w:rPr>
          <w:rFonts w:cs="Arial"/>
          <w:color w:val="auto"/>
        </w:rPr>
      </w:pPr>
    </w:p>
    <w:p w14:paraId="08997882" w14:textId="77777777" w:rsidR="008E41DB" w:rsidRPr="00C2021A" w:rsidRDefault="008E41DB" w:rsidP="008E41DB">
      <w:pPr>
        <w:spacing w:after="0" w:line="240" w:lineRule="auto"/>
        <w:jc w:val="both"/>
        <w:rPr>
          <w:rFonts w:cs="Arial"/>
          <w:color w:val="auto"/>
        </w:rPr>
      </w:pPr>
    </w:p>
    <w:p w14:paraId="02B0D76A" w14:textId="77777777" w:rsidR="008E41DB" w:rsidRPr="00C2021A" w:rsidRDefault="008E41DB" w:rsidP="008E41DB">
      <w:pPr>
        <w:spacing w:after="0" w:line="240" w:lineRule="auto"/>
        <w:jc w:val="both"/>
        <w:rPr>
          <w:rFonts w:cs="Arial"/>
          <w:color w:val="auto"/>
        </w:rPr>
      </w:pPr>
    </w:p>
    <w:p w14:paraId="5544BC39" w14:textId="77777777" w:rsidR="008E41DB" w:rsidRPr="00C2021A" w:rsidRDefault="008E41DB" w:rsidP="008E41DB">
      <w:pPr>
        <w:spacing w:after="0" w:line="240" w:lineRule="auto"/>
        <w:jc w:val="both"/>
        <w:rPr>
          <w:rFonts w:cs="Arial"/>
          <w:color w:val="auto"/>
        </w:rPr>
      </w:pPr>
    </w:p>
    <w:p w14:paraId="48F5B1D2" w14:textId="77777777" w:rsidR="008E41DB" w:rsidRPr="00C2021A" w:rsidRDefault="008E41DB" w:rsidP="008E41DB">
      <w:pPr>
        <w:spacing w:after="0" w:line="240" w:lineRule="auto"/>
        <w:jc w:val="both"/>
        <w:rPr>
          <w:rFonts w:cs="Arial"/>
          <w:color w:val="auto"/>
        </w:rPr>
      </w:pPr>
      <w:r w:rsidRPr="00C2021A">
        <w:rPr>
          <w:rFonts w:cs="Arial"/>
          <w:b/>
          <w:bCs/>
          <w:color w:val="auto"/>
        </w:rPr>
        <w:lastRenderedPageBreak/>
        <w:t>Table 6.</w:t>
      </w:r>
      <w:r w:rsidRPr="00C2021A">
        <w:rPr>
          <w:rFonts w:cs="Arial"/>
          <w:color w:val="auto"/>
        </w:rPr>
        <w:t xml:space="preserve"> Graphene biosensors for the detection of health-indicating analytes in saliva</w:t>
      </w:r>
    </w:p>
    <w:p w14:paraId="14B3B157" w14:textId="77777777" w:rsidR="008E41DB" w:rsidRPr="00C2021A" w:rsidRDefault="008E41DB" w:rsidP="008E41DB">
      <w:pPr>
        <w:spacing w:after="0" w:line="240" w:lineRule="auto"/>
        <w:jc w:val="both"/>
        <w:rPr>
          <w:rFonts w:cs="Arial"/>
          <w:color w:val="auto"/>
        </w:rPr>
      </w:pPr>
    </w:p>
    <w:tbl>
      <w:tblPr>
        <w:tblW w:w="10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DD4E9"/>
        <w:tblLayout w:type="fixed"/>
        <w:tblLook w:val="04A0" w:firstRow="1" w:lastRow="0" w:firstColumn="1" w:lastColumn="0" w:noHBand="0" w:noVBand="1"/>
      </w:tblPr>
      <w:tblGrid>
        <w:gridCol w:w="805"/>
        <w:gridCol w:w="1170"/>
        <w:gridCol w:w="1170"/>
        <w:gridCol w:w="810"/>
        <w:gridCol w:w="1350"/>
        <w:gridCol w:w="810"/>
        <w:gridCol w:w="810"/>
        <w:gridCol w:w="900"/>
        <w:gridCol w:w="1170"/>
        <w:gridCol w:w="900"/>
        <w:gridCol w:w="810"/>
      </w:tblGrid>
      <w:tr w:rsidR="00C2021A" w:rsidRPr="00C2021A" w14:paraId="03A1B77D" w14:textId="77777777" w:rsidTr="00483642">
        <w:trPr>
          <w:trHeight w:val="20"/>
          <w:jc w:val="center"/>
        </w:trPr>
        <w:tc>
          <w:tcPr>
            <w:tcW w:w="805" w:type="dxa"/>
            <w:shd w:val="clear" w:color="auto" w:fill="auto"/>
            <w:tcMar>
              <w:top w:w="80" w:type="dxa"/>
              <w:left w:w="80" w:type="dxa"/>
              <w:bottom w:w="80" w:type="dxa"/>
              <w:right w:w="80" w:type="dxa"/>
            </w:tcMar>
            <w:vAlign w:val="center"/>
          </w:tcPr>
          <w:p w14:paraId="4CA7073C"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Biomarker</w:t>
            </w:r>
          </w:p>
        </w:tc>
        <w:tc>
          <w:tcPr>
            <w:tcW w:w="1170" w:type="dxa"/>
            <w:shd w:val="clear" w:color="auto" w:fill="auto"/>
            <w:tcMar>
              <w:top w:w="80" w:type="dxa"/>
              <w:left w:w="80" w:type="dxa"/>
              <w:bottom w:w="80" w:type="dxa"/>
              <w:right w:w="80" w:type="dxa"/>
            </w:tcMar>
            <w:vAlign w:val="center"/>
          </w:tcPr>
          <w:p w14:paraId="3ECD5E37"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Sensing Platform</w:t>
            </w:r>
          </w:p>
        </w:tc>
        <w:tc>
          <w:tcPr>
            <w:tcW w:w="1170" w:type="dxa"/>
            <w:shd w:val="clear" w:color="auto" w:fill="auto"/>
            <w:tcMar>
              <w:top w:w="80" w:type="dxa"/>
              <w:left w:w="80" w:type="dxa"/>
              <w:bottom w:w="80" w:type="dxa"/>
              <w:right w:w="80" w:type="dxa"/>
            </w:tcMar>
            <w:vAlign w:val="center"/>
          </w:tcPr>
          <w:p w14:paraId="67A44084"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Detection Method</w:t>
            </w:r>
          </w:p>
        </w:tc>
        <w:tc>
          <w:tcPr>
            <w:tcW w:w="810" w:type="dxa"/>
            <w:shd w:val="clear" w:color="auto" w:fill="auto"/>
            <w:tcMar>
              <w:top w:w="80" w:type="dxa"/>
              <w:left w:w="80" w:type="dxa"/>
              <w:bottom w:w="80" w:type="dxa"/>
              <w:right w:w="80" w:type="dxa"/>
            </w:tcMar>
            <w:vAlign w:val="center"/>
          </w:tcPr>
          <w:p w14:paraId="234BEE4F"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LOD</w:t>
            </w:r>
            <w:r w:rsidRPr="00C2021A">
              <w:rPr>
                <w:rFonts w:cs="Arial"/>
                <w:color w:val="auto"/>
                <w:sz w:val="12"/>
                <w:szCs w:val="12"/>
                <w:u w:color="0070C0"/>
                <w:vertAlign w:val="superscript"/>
                <w:lang w:val="it-IT"/>
              </w:rPr>
              <w:t>a</w:t>
            </w:r>
          </w:p>
        </w:tc>
        <w:tc>
          <w:tcPr>
            <w:tcW w:w="1350" w:type="dxa"/>
            <w:shd w:val="clear" w:color="auto" w:fill="auto"/>
            <w:tcMar>
              <w:top w:w="80" w:type="dxa"/>
              <w:left w:w="80" w:type="dxa"/>
              <w:bottom w:w="80" w:type="dxa"/>
              <w:right w:w="80" w:type="dxa"/>
            </w:tcMar>
            <w:vAlign w:val="center"/>
          </w:tcPr>
          <w:p w14:paraId="330204D2"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Detection Range</w:t>
            </w:r>
          </w:p>
        </w:tc>
        <w:tc>
          <w:tcPr>
            <w:tcW w:w="810" w:type="dxa"/>
            <w:shd w:val="clear" w:color="auto" w:fill="auto"/>
            <w:tcMar>
              <w:top w:w="80" w:type="dxa"/>
              <w:left w:w="80" w:type="dxa"/>
              <w:bottom w:w="80" w:type="dxa"/>
              <w:right w:w="80" w:type="dxa"/>
            </w:tcMar>
            <w:vAlign w:val="center"/>
          </w:tcPr>
          <w:p w14:paraId="6F7FC800" w14:textId="77777777" w:rsidR="008E41DB" w:rsidRPr="00C2021A" w:rsidRDefault="008E41DB" w:rsidP="00483642">
            <w:pPr>
              <w:spacing w:after="0" w:line="240" w:lineRule="auto"/>
              <w:jc w:val="center"/>
              <w:rPr>
                <w:rFonts w:cs="Arial"/>
                <w:color w:val="auto"/>
                <w:sz w:val="12"/>
                <w:szCs w:val="12"/>
              </w:rPr>
            </w:pPr>
            <w:proofErr w:type="spellStart"/>
            <w:r w:rsidRPr="00C2021A">
              <w:rPr>
                <w:rFonts w:cs="Arial"/>
                <w:b/>
                <w:bCs/>
                <w:color w:val="auto"/>
                <w:sz w:val="12"/>
                <w:szCs w:val="12"/>
              </w:rPr>
              <w:t>Recovery</w:t>
            </w:r>
            <w:r w:rsidRPr="00C2021A">
              <w:rPr>
                <w:rFonts w:cs="Arial"/>
                <w:color w:val="auto"/>
                <w:sz w:val="12"/>
                <w:szCs w:val="12"/>
                <w:u w:color="0070C0"/>
                <w:vertAlign w:val="superscript"/>
              </w:rPr>
              <w:t>b</w:t>
            </w:r>
            <w:proofErr w:type="spellEnd"/>
          </w:p>
        </w:tc>
        <w:tc>
          <w:tcPr>
            <w:tcW w:w="810" w:type="dxa"/>
            <w:shd w:val="clear" w:color="auto" w:fill="auto"/>
            <w:tcMar>
              <w:top w:w="80" w:type="dxa"/>
              <w:left w:w="80" w:type="dxa"/>
              <w:bottom w:w="80" w:type="dxa"/>
              <w:right w:w="80" w:type="dxa"/>
            </w:tcMar>
            <w:vAlign w:val="center"/>
          </w:tcPr>
          <w:p w14:paraId="14288E6E"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Validation</w:t>
            </w:r>
          </w:p>
        </w:tc>
        <w:tc>
          <w:tcPr>
            <w:tcW w:w="900" w:type="dxa"/>
          </w:tcPr>
          <w:p w14:paraId="72ECD11F" w14:textId="77777777" w:rsidR="008E41DB" w:rsidRPr="00C2021A" w:rsidRDefault="008E41DB" w:rsidP="00483642">
            <w:pPr>
              <w:spacing w:after="0" w:line="240" w:lineRule="auto"/>
              <w:rPr>
                <w:rFonts w:cs="Arial"/>
                <w:b/>
                <w:bCs/>
                <w:color w:val="auto"/>
                <w:sz w:val="12"/>
                <w:szCs w:val="12"/>
              </w:rPr>
            </w:pPr>
            <w:r w:rsidRPr="00C2021A">
              <w:rPr>
                <w:rFonts w:cs="Arial"/>
                <w:b/>
                <w:bCs/>
                <w:color w:val="auto"/>
                <w:sz w:val="12"/>
                <w:szCs w:val="12"/>
              </w:rPr>
              <w:t>Assay Time</w:t>
            </w:r>
          </w:p>
        </w:tc>
        <w:tc>
          <w:tcPr>
            <w:tcW w:w="1170" w:type="dxa"/>
          </w:tcPr>
          <w:p w14:paraId="021F9730" w14:textId="77777777" w:rsidR="008E41DB" w:rsidRPr="00C2021A" w:rsidRDefault="008E41DB" w:rsidP="00483642">
            <w:pPr>
              <w:spacing w:after="0" w:line="240" w:lineRule="auto"/>
              <w:jc w:val="center"/>
              <w:rPr>
                <w:rFonts w:cs="Arial"/>
                <w:b/>
                <w:bCs/>
                <w:color w:val="auto"/>
                <w:sz w:val="12"/>
                <w:szCs w:val="12"/>
              </w:rPr>
            </w:pPr>
            <w:r w:rsidRPr="00C2021A">
              <w:rPr>
                <w:rFonts w:cs="Arial"/>
                <w:b/>
                <w:bCs/>
                <w:color w:val="auto"/>
                <w:sz w:val="12"/>
                <w:szCs w:val="12"/>
              </w:rPr>
              <w:t>Sample Volume</w:t>
            </w:r>
          </w:p>
        </w:tc>
        <w:tc>
          <w:tcPr>
            <w:tcW w:w="900" w:type="dxa"/>
          </w:tcPr>
          <w:p w14:paraId="10F7C8E8" w14:textId="77777777" w:rsidR="008E41DB" w:rsidRPr="00C2021A" w:rsidRDefault="008E41DB" w:rsidP="00483642">
            <w:pPr>
              <w:spacing w:after="0" w:line="240" w:lineRule="auto"/>
              <w:jc w:val="center"/>
              <w:rPr>
                <w:rFonts w:cs="Arial"/>
                <w:b/>
                <w:bCs/>
                <w:color w:val="auto"/>
                <w:sz w:val="12"/>
                <w:szCs w:val="12"/>
              </w:rPr>
            </w:pPr>
            <w:r w:rsidRPr="00C2021A">
              <w:rPr>
                <w:rFonts w:cs="Arial"/>
                <w:b/>
                <w:bCs/>
                <w:color w:val="auto"/>
                <w:sz w:val="12"/>
                <w:szCs w:val="12"/>
              </w:rPr>
              <w:t>Preparation</w:t>
            </w:r>
          </w:p>
        </w:tc>
        <w:tc>
          <w:tcPr>
            <w:tcW w:w="810" w:type="dxa"/>
            <w:shd w:val="clear" w:color="auto" w:fill="auto"/>
            <w:tcMar>
              <w:top w:w="80" w:type="dxa"/>
              <w:left w:w="80" w:type="dxa"/>
              <w:bottom w:w="80" w:type="dxa"/>
              <w:right w:w="80" w:type="dxa"/>
            </w:tcMar>
            <w:vAlign w:val="center"/>
          </w:tcPr>
          <w:p w14:paraId="0CE3362B" w14:textId="77777777" w:rsidR="008E41DB" w:rsidRPr="00C2021A" w:rsidRDefault="008E41DB" w:rsidP="00483642">
            <w:pPr>
              <w:spacing w:after="0" w:line="240" w:lineRule="auto"/>
              <w:jc w:val="center"/>
              <w:rPr>
                <w:rFonts w:cs="Arial"/>
                <w:color w:val="auto"/>
                <w:sz w:val="12"/>
                <w:szCs w:val="12"/>
              </w:rPr>
            </w:pPr>
            <w:r w:rsidRPr="00C2021A">
              <w:rPr>
                <w:rFonts w:cs="Arial"/>
                <w:b/>
                <w:bCs/>
                <w:color w:val="auto"/>
                <w:sz w:val="12"/>
                <w:szCs w:val="12"/>
              </w:rPr>
              <w:t>Reference</w:t>
            </w:r>
          </w:p>
        </w:tc>
      </w:tr>
      <w:tr w:rsidR="00C2021A" w:rsidRPr="00C2021A" w14:paraId="17E80AB9" w14:textId="77777777" w:rsidTr="00483642">
        <w:trPr>
          <w:trHeight w:val="90"/>
          <w:jc w:val="center"/>
        </w:trPr>
        <w:tc>
          <w:tcPr>
            <w:tcW w:w="805" w:type="dxa"/>
            <w:shd w:val="clear" w:color="auto" w:fill="auto"/>
            <w:tcMar>
              <w:top w:w="80" w:type="dxa"/>
              <w:left w:w="80" w:type="dxa"/>
              <w:bottom w:w="80" w:type="dxa"/>
              <w:right w:w="80" w:type="dxa"/>
            </w:tcMar>
          </w:tcPr>
          <w:p w14:paraId="6E08DBC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lang w:val="it-IT"/>
              </w:rPr>
              <w:t>Cardiac troponin (cTnI)</w:t>
            </w:r>
          </w:p>
        </w:tc>
        <w:tc>
          <w:tcPr>
            <w:tcW w:w="1170" w:type="dxa"/>
            <w:shd w:val="clear" w:color="auto" w:fill="auto"/>
            <w:tcMar>
              <w:top w:w="80" w:type="dxa"/>
              <w:left w:w="80" w:type="dxa"/>
              <w:bottom w:w="80" w:type="dxa"/>
              <w:right w:w="80" w:type="dxa"/>
            </w:tcMar>
          </w:tcPr>
          <w:p w14:paraId="64E51373"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w:t>
            </w:r>
            <w:proofErr w:type="spellStart"/>
            <w:r w:rsidRPr="00C2021A">
              <w:rPr>
                <w:rFonts w:cs="Arial"/>
                <w:color w:val="auto"/>
                <w:sz w:val="12"/>
                <w:szCs w:val="12"/>
              </w:rPr>
              <w:t>prGO</w:t>
            </w:r>
            <w:proofErr w:type="spellEnd"/>
            <w:r w:rsidRPr="00C2021A">
              <w:rPr>
                <w:rFonts w:cs="Arial"/>
                <w:color w:val="auto"/>
                <w:sz w:val="12"/>
                <w:szCs w:val="12"/>
              </w:rPr>
              <w:t>-(</w:t>
            </w:r>
            <w:proofErr w:type="spellStart"/>
            <w:r w:rsidRPr="00C2021A">
              <w:rPr>
                <w:rFonts w:cs="Arial"/>
                <w:color w:val="auto"/>
                <w:sz w:val="12"/>
                <w:szCs w:val="12"/>
              </w:rPr>
              <w:t>py</w:t>
            </w:r>
            <w:proofErr w:type="spellEnd"/>
            <w:r w:rsidRPr="00C2021A">
              <w:rPr>
                <w:rFonts w:cs="Arial"/>
                <w:color w:val="auto"/>
                <w:sz w:val="12"/>
                <w:szCs w:val="12"/>
              </w:rPr>
              <w:t>-PEG/</w:t>
            </w:r>
            <w:proofErr w:type="spellStart"/>
            <w:r w:rsidRPr="00C2021A">
              <w:rPr>
                <w:rFonts w:cs="Arial"/>
                <w:color w:val="auto"/>
                <w:sz w:val="12"/>
                <w:szCs w:val="12"/>
              </w:rPr>
              <w:t>Py</w:t>
            </w:r>
            <w:proofErr w:type="spellEnd"/>
            <w:r w:rsidRPr="00C2021A">
              <w:rPr>
                <w:rFonts w:cs="Arial"/>
                <w:color w:val="auto"/>
                <w:sz w:val="12"/>
                <w:szCs w:val="12"/>
              </w:rPr>
              <w:t>-COOH=20:1)/GCE</w:t>
            </w:r>
          </w:p>
        </w:tc>
        <w:tc>
          <w:tcPr>
            <w:tcW w:w="1170" w:type="dxa"/>
            <w:shd w:val="clear" w:color="auto" w:fill="auto"/>
            <w:tcMar>
              <w:top w:w="80" w:type="dxa"/>
              <w:left w:w="80" w:type="dxa"/>
              <w:bottom w:w="80" w:type="dxa"/>
              <w:right w:w="80" w:type="dxa"/>
            </w:tcMar>
          </w:tcPr>
          <w:p w14:paraId="432803CF"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DPV</w:t>
            </w:r>
          </w:p>
          <w:p w14:paraId="7126FEA7"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00044070"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 </w:t>
            </w:r>
            <w:proofErr w:type="spellStart"/>
            <w:r w:rsidRPr="00C2021A">
              <w:rPr>
                <w:rFonts w:cs="Arial"/>
                <w:color w:val="auto"/>
                <w:sz w:val="12"/>
                <w:szCs w:val="12"/>
              </w:rPr>
              <w:t>pg</w:t>
            </w:r>
            <w:proofErr w:type="spellEnd"/>
            <w:r w:rsidRPr="00C2021A">
              <w:rPr>
                <w:rFonts w:cs="Arial"/>
                <w:color w:val="auto"/>
                <w:sz w:val="12"/>
                <w:szCs w:val="12"/>
              </w:rPr>
              <w:t xml:space="preserve"> </w:t>
            </w:r>
            <w:proofErr w:type="gramStart"/>
            <w:r w:rsidRPr="00C2021A">
              <w:rPr>
                <w:rFonts w:cs="Arial"/>
                <w:color w:val="auto"/>
                <w:sz w:val="12"/>
                <w:szCs w:val="12"/>
              </w:rPr>
              <w:t>mL</w:t>
            </w:r>
            <w:r w:rsidRPr="00C2021A">
              <w:rPr>
                <w:rFonts w:cs="Arial"/>
                <w:color w:val="auto"/>
                <w:sz w:val="12"/>
                <w:szCs w:val="12"/>
                <w:vertAlign w:val="superscript"/>
              </w:rPr>
              <w:t>−1</w:t>
            </w:r>
            <w:proofErr w:type="gramEnd"/>
          </w:p>
          <w:p w14:paraId="3E28AE3A" w14:textId="77777777" w:rsidR="008E41DB" w:rsidRPr="00C2021A" w:rsidRDefault="008E41DB" w:rsidP="00483642">
            <w:pPr>
              <w:spacing w:after="0" w:line="240" w:lineRule="auto"/>
              <w:rPr>
                <w:rFonts w:cs="Arial"/>
                <w:color w:val="auto"/>
                <w:sz w:val="12"/>
                <w:szCs w:val="12"/>
              </w:rPr>
            </w:pPr>
          </w:p>
          <w:p w14:paraId="39B0C0FD" w14:textId="77777777" w:rsidR="008E41DB" w:rsidRPr="00C2021A" w:rsidRDefault="008E41DB" w:rsidP="00483642">
            <w:pPr>
              <w:spacing w:after="0" w:line="240" w:lineRule="auto"/>
              <w:rPr>
                <w:rFonts w:cs="Arial"/>
                <w:color w:val="auto"/>
                <w:sz w:val="12"/>
                <w:szCs w:val="12"/>
                <w:lang w:val="it-IT"/>
              </w:rPr>
            </w:pPr>
          </w:p>
        </w:tc>
        <w:tc>
          <w:tcPr>
            <w:tcW w:w="1350" w:type="dxa"/>
            <w:shd w:val="clear" w:color="auto" w:fill="auto"/>
            <w:tcMar>
              <w:top w:w="80" w:type="dxa"/>
              <w:left w:w="80" w:type="dxa"/>
              <w:bottom w:w="80" w:type="dxa"/>
              <w:right w:w="80" w:type="dxa"/>
            </w:tcMar>
          </w:tcPr>
          <w:p w14:paraId="4CE86A0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0.001 - 100 ng mL</w:t>
            </w:r>
            <w:r w:rsidRPr="00C2021A">
              <w:rPr>
                <w:rFonts w:cs="Arial"/>
                <w:color w:val="auto"/>
                <w:sz w:val="12"/>
                <w:szCs w:val="12"/>
                <w:vertAlign w:val="superscript"/>
              </w:rPr>
              <w:t>-1</w:t>
            </w:r>
          </w:p>
          <w:p w14:paraId="0B393AC9"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2D90DE21"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N/A</w:t>
            </w:r>
          </w:p>
          <w:p w14:paraId="29A658CE"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6DA98EE1"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ELFA</w:t>
            </w:r>
          </w:p>
          <w:p w14:paraId="1CDB48D9" w14:textId="77777777" w:rsidR="008E41DB" w:rsidRPr="00C2021A" w:rsidRDefault="008E41DB" w:rsidP="00483642">
            <w:pPr>
              <w:spacing w:after="0" w:line="240" w:lineRule="auto"/>
              <w:rPr>
                <w:rFonts w:cs="Arial"/>
                <w:color w:val="auto"/>
                <w:sz w:val="12"/>
                <w:szCs w:val="12"/>
              </w:rPr>
            </w:pPr>
          </w:p>
        </w:tc>
        <w:tc>
          <w:tcPr>
            <w:tcW w:w="900" w:type="dxa"/>
          </w:tcPr>
          <w:p w14:paraId="23867118"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77AD6B66"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52FE2569"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Whole saliva</w:t>
            </w:r>
          </w:p>
        </w:tc>
        <w:tc>
          <w:tcPr>
            <w:tcW w:w="810" w:type="dxa"/>
            <w:shd w:val="clear" w:color="auto" w:fill="auto"/>
            <w:tcMar>
              <w:top w:w="80" w:type="dxa"/>
              <w:left w:w="80" w:type="dxa"/>
              <w:bottom w:w="80" w:type="dxa"/>
              <w:right w:w="80" w:type="dxa"/>
            </w:tcMar>
          </w:tcPr>
          <w:p w14:paraId="7AEE02A2" w14:textId="77777777" w:rsidR="008E41DB" w:rsidRPr="00C2021A" w:rsidRDefault="008E41DB" w:rsidP="00483642">
            <w:pPr>
              <w:spacing w:after="0" w:line="240" w:lineRule="auto"/>
              <w:rPr>
                <w:rFonts w:cs="Arial"/>
                <w:color w:val="auto"/>
                <w:sz w:val="12"/>
                <w:szCs w:val="12"/>
                <w:lang w:val="it-IT"/>
              </w:rPr>
            </w:pPr>
            <w:r w:rsidRPr="00C2021A">
              <w:rPr>
                <w:rFonts w:cs="Arial"/>
                <w:noProof/>
                <w:color w:val="auto"/>
                <w:sz w:val="12"/>
                <w:szCs w:val="12"/>
              </w:rPr>
              <w:t>(Chekin et al. 2018b)</w:t>
            </w:r>
          </w:p>
        </w:tc>
      </w:tr>
      <w:tr w:rsidR="00C2021A" w:rsidRPr="00C2021A" w14:paraId="4773BF6C" w14:textId="77777777" w:rsidTr="00483642">
        <w:trPr>
          <w:trHeight w:val="18"/>
          <w:jc w:val="center"/>
        </w:trPr>
        <w:tc>
          <w:tcPr>
            <w:tcW w:w="805" w:type="dxa"/>
            <w:shd w:val="clear" w:color="auto" w:fill="auto"/>
            <w:tcMar>
              <w:top w:w="80" w:type="dxa"/>
              <w:left w:w="80" w:type="dxa"/>
              <w:bottom w:w="80" w:type="dxa"/>
              <w:right w:w="80" w:type="dxa"/>
            </w:tcMar>
          </w:tcPr>
          <w:p w14:paraId="3BF01713"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Cortisol</w:t>
            </w:r>
          </w:p>
          <w:p w14:paraId="04B212C4" w14:textId="77777777" w:rsidR="008E41DB" w:rsidRPr="00C2021A" w:rsidRDefault="008E41DB" w:rsidP="00483642">
            <w:pPr>
              <w:spacing w:after="0" w:line="240" w:lineRule="auto"/>
              <w:rPr>
                <w:rFonts w:cs="Arial"/>
                <w:color w:val="auto"/>
                <w:sz w:val="12"/>
                <w:szCs w:val="12"/>
                <w:lang w:val="it-IT"/>
              </w:rPr>
            </w:pPr>
          </w:p>
        </w:tc>
        <w:tc>
          <w:tcPr>
            <w:tcW w:w="1170" w:type="dxa"/>
            <w:shd w:val="clear" w:color="auto" w:fill="auto"/>
            <w:tcMar>
              <w:top w:w="80" w:type="dxa"/>
              <w:left w:w="80" w:type="dxa"/>
              <w:bottom w:w="80" w:type="dxa"/>
              <w:right w:w="80" w:type="dxa"/>
            </w:tcMar>
          </w:tcPr>
          <w:p w14:paraId="3E869B08"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GNPs and PS</w:t>
            </w:r>
            <w:r w:rsidRPr="00C2021A">
              <w:rPr>
                <w:rFonts w:cs="Arial"/>
                <w:color w:val="auto"/>
                <w:sz w:val="12"/>
                <w:szCs w:val="12"/>
                <w:vertAlign w:val="subscript"/>
              </w:rPr>
              <w:t>67</w:t>
            </w:r>
            <w:r w:rsidRPr="00C2021A">
              <w:rPr>
                <w:rFonts w:cs="Arial"/>
                <w:color w:val="auto"/>
                <w:sz w:val="12"/>
                <w:szCs w:val="12"/>
              </w:rPr>
              <w:t>-b-PAA</w:t>
            </w:r>
            <w:r w:rsidRPr="00C2021A">
              <w:rPr>
                <w:rFonts w:cs="Arial"/>
                <w:color w:val="auto"/>
                <w:sz w:val="12"/>
                <w:szCs w:val="12"/>
                <w:vertAlign w:val="subscript"/>
              </w:rPr>
              <w:t>27</w:t>
            </w:r>
            <w:r w:rsidRPr="00C2021A">
              <w:rPr>
                <w:rFonts w:cs="Arial"/>
                <w:color w:val="auto"/>
                <w:sz w:val="12"/>
                <w:szCs w:val="12"/>
              </w:rPr>
              <w:t xml:space="preserve"> on Whatman filter paper</w:t>
            </w:r>
          </w:p>
        </w:tc>
        <w:tc>
          <w:tcPr>
            <w:tcW w:w="1170" w:type="dxa"/>
            <w:shd w:val="clear" w:color="auto" w:fill="auto"/>
            <w:tcMar>
              <w:top w:w="80" w:type="dxa"/>
              <w:left w:w="80" w:type="dxa"/>
              <w:bottom w:w="80" w:type="dxa"/>
              <w:right w:w="80" w:type="dxa"/>
            </w:tcMar>
          </w:tcPr>
          <w:p w14:paraId="4CF653BA"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EIS</w:t>
            </w:r>
          </w:p>
        </w:tc>
        <w:tc>
          <w:tcPr>
            <w:tcW w:w="810" w:type="dxa"/>
            <w:shd w:val="clear" w:color="auto" w:fill="auto"/>
            <w:tcMar>
              <w:top w:w="80" w:type="dxa"/>
              <w:left w:w="80" w:type="dxa"/>
              <w:bottom w:w="80" w:type="dxa"/>
              <w:right w:w="80" w:type="dxa"/>
            </w:tcMar>
          </w:tcPr>
          <w:p w14:paraId="20F6EDE6"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 </w:t>
            </w:r>
            <w:proofErr w:type="spellStart"/>
            <w:r w:rsidRPr="00C2021A">
              <w:rPr>
                <w:rFonts w:cs="Arial"/>
                <w:color w:val="auto"/>
                <w:sz w:val="12"/>
                <w:szCs w:val="12"/>
              </w:rPr>
              <w:t>pg</w:t>
            </w:r>
            <w:proofErr w:type="spellEnd"/>
            <w:r w:rsidRPr="00C2021A">
              <w:rPr>
                <w:rFonts w:cs="Arial"/>
                <w:color w:val="auto"/>
                <w:sz w:val="12"/>
                <w:szCs w:val="12"/>
              </w:rPr>
              <w:t xml:space="preserve"> </w:t>
            </w:r>
            <w:proofErr w:type="gramStart"/>
            <w:r w:rsidRPr="00C2021A">
              <w:rPr>
                <w:rFonts w:cs="Arial"/>
                <w:color w:val="auto"/>
                <w:sz w:val="12"/>
                <w:szCs w:val="12"/>
              </w:rPr>
              <w:t>mL</w:t>
            </w:r>
            <w:r w:rsidRPr="00C2021A">
              <w:rPr>
                <w:rFonts w:cs="Arial"/>
                <w:color w:val="auto"/>
                <w:sz w:val="12"/>
                <w:szCs w:val="12"/>
                <w:vertAlign w:val="superscript"/>
              </w:rPr>
              <w:t>-1</w:t>
            </w:r>
            <w:proofErr w:type="gramEnd"/>
          </w:p>
        </w:tc>
        <w:tc>
          <w:tcPr>
            <w:tcW w:w="1350" w:type="dxa"/>
            <w:shd w:val="clear" w:color="auto" w:fill="auto"/>
            <w:tcMar>
              <w:top w:w="80" w:type="dxa"/>
              <w:left w:w="80" w:type="dxa"/>
              <w:bottom w:w="80" w:type="dxa"/>
              <w:right w:w="80" w:type="dxa"/>
            </w:tcMar>
          </w:tcPr>
          <w:p w14:paraId="3C11568A"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 </w:t>
            </w:r>
            <w:proofErr w:type="spellStart"/>
            <w:r w:rsidRPr="00C2021A">
              <w:rPr>
                <w:rFonts w:cs="Arial"/>
                <w:color w:val="auto"/>
                <w:sz w:val="12"/>
                <w:szCs w:val="12"/>
              </w:rPr>
              <w:t>pg</w:t>
            </w:r>
            <w:proofErr w:type="spellEnd"/>
            <w:r w:rsidRPr="00C2021A">
              <w:rPr>
                <w:rFonts w:cs="Arial"/>
                <w:color w:val="auto"/>
                <w:sz w:val="12"/>
                <w:szCs w:val="12"/>
              </w:rPr>
              <w:t xml:space="preserve"> mL</w:t>
            </w:r>
            <w:r w:rsidRPr="00C2021A">
              <w:rPr>
                <w:rFonts w:cs="Arial"/>
                <w:color w:val="auto"/>
                <w:sz w:val="12"/>
                <w:szCs w:val="12"/>
                <w:vertAlign w:val="superscript"/>
              </w:rPr>
              <w:t>-1</w:t>
            </w:r>
            <w:r w:rsidRPr="00C2021A">
              <w:rPr>
                <w:rFonts w:cs="Arial"/>
                <w:color w:val="auto"/>
                <w:sz w:val="12"/>
                <w:szCs w:val="12"/>
              </w:rPr>
              <w:t xml:space="preserve"> - 10 ng mL</w:t>
            </w:r>
            <w:r w:rsidRPr="00C2021A">
              <w:rPr>
                <w:rFonts w:cs="Arial"/>
                <w:color w:val="auto"/>
                <w:sz w:val="12"/>
                <w:szCs w:val="12"/>
                <w:vertAlign w:val="superscript"/>
              </w:rPr>
              <w:t>-1</w:t>
            </w:r>
          </w:p>
        </w:tc>
        <w:tc>
          <w:tcPr>
            <w:tcW w:w="810" w:type="dxa"/>
            <w:shd w:val="clear" w:color="auto" w:fill="auto"/>
            <w:tcMar>
              <w:top w:w="80" w:type="dxa"/>
              <w:left w:w="80" w:type="dxa"/>
              <w:bottom w:w="80" w:type="dxa"/>
              <w:right w:w="80" w:type="dxa"/>
            </w:tcMar>
          </w:tcPr>
          <w:p w14:paraId="0031B8A4"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N/A</w:t>
            </w:r>
          </w:p>
        </w:tc>
        <w:tc>
          <w:tcPr>
            <w:tcW w:w="810" w:type="dxa"/>
            <w:shd w:val="clear" w:color="auto" w:fill="auto"/>
            <w:tcMar>
              <w:top w:w="80" w:type="dxa"/>
              <w:left w:w="80" w:type="dxa"/>
              <w:bottom w:w="80" w:type="dxa"/>
              <w:right w:w="80" w:type="dxa"/>
            </w:tcMar>
          </w:tcPr>
          <w:p w14:paraId="0E850A27"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ELISA RE62011 kit</w:t>
            </w:r>
            <w:r w:rsidRPr="00C2021A">
              <w:rPr>
                <w:rFonts w:cs="Arial"/>
                <w:color w:val="auto"/>
                <w:sz w:val="12"/>
                <w:szCs w:val="12"/>
                <w:lang w:val="it-IT"/>
              </w:rPr>
              <w:br/>
              <w:t>R</w:t>
            </w:r>
            <w:r w:rsidRPr="00C2021A">
              <w:rPr>
                <w:rFonts w:cs="Arial"/>
                <w:color w:val="auto"/>
                <w:sz w:val="12"/>
                <w:szCs w:val="12"/>
                <w:vertAlign w:val="superscript"/>
                <w:lang w:val="it-IT"/>
              </w:rPr>
              <w:t>2</w:t>
            </w:r>
            <w:r w:rsidRPr="00C2021A">
              <w:rPr>
                <w:rFonts w:cs="Arial"/>
                <w:color w:val="auto"/>
                <w:sz w:val="12"/>
                <w:szCs w:val="12"/>
                <w:lang w:val="it-IT"/>
              </w:rPr>
              <w:t xml:space="preserve"> = 0.9386</w:t>
            </w:r>
          </w:p>
        </w:tc>
        <w:tc>
          <w:tcPr>
            <w:tcW w:w="900" w:type="dxa"/>
          </w:tcPr>
          <w:p w14:paraId="20E331D8"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10 min</w:t>
            </w:r>
          </w:p>
        </w:tc>
        <w:tc>
          <w:tcPr>
            <w:tcW w:w="1170" w:type="dxa"/>
          </w:tcPr>
          <w:p w14:paraId="46FBEBBD"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20 µL</w:t>
            </w:r>
          </w:p>
        </w:tc>
        <w:tc>
          <w:tcPr>
            <w:tcW w:w="900" w:type="dxa"/>
          </w:tcPr>
          <w:p w14:paraId="498F8D86"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1:10 dilution</w:t>
            </w:r>
          </w:p>
        </w:tc>
        <w:tc>
          <w:tcPr>
            <w:tcW w:w="810" w:type="dxa"/>
            <w:shd w:val="clear" w:color="auto" w:fill="auto"/>
            <w:tcMar>
              <w:top w:w="80" w:type="dxa"/>
              <w:left w:w="80" w:type="dxa"/>
              <w:bottom w:w="80" w:type="dxa"/>
              <w:right w:w="80" w:type="dxa"/>
            </w:tcMar>
          </w:tcPr>
          <w:p w14:paraId="23351BAF"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(Khan et al. 2017a)</w:t>
            </w:r>
          </w:p>
        </w:tc>
      </w:tr>
      <w:tr w:rsidR="00C2021A" w:rsidRPr="00C2021A" w14:paraId="75EAFECD" w14:textId="77777777" w:rsidTr="00483642">
        <w:trPr>
          <w:trHeight w:val="495"/>
          <w:jc w:val="center"/>
        </w:trPr>
        <w:tc>
          <w:tcPr>
            <w:tcW w:w="805" w:type="dxa"/>
            <w:shd w:val="clear" w:color="auto" w:fill="auto"/>
            <w:tcMar>
              <w:top w:w="80" w:type="dxa"/>
              <w:left w:w="80" w:type="dxa"/>
              <w:bottom w:w="80" w:type="dxa"/>
              <w:right w:w="80" w:type="dxa"/>
            </w:tcMar>
          </w:tcPr>
          <w:p w14:paraId="3E836A93"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Cortisol</w:t>
            </w:r>
          </w:p>
          <w:p w14:paraId="529C6929" w14:textId="77777777" w:rsidR="008E41DB" w:rsidRPr="00C2021A" w:rsidRDefault="008E41DB" w:rsidP="00483642">
            <w:pPr>
              <w:spacing w:after="0" w:line="240" w:lineRule="auto"/>
              <w:rPr>
                <w:rFonts w:cs="Arial"/>
                <w:color w:val="auto"/>
                <w:sz w:val="12"/>
                <w:szCs w:val="12"/>
                <w:lang w:val="it-IT"/>
              </w:rPr>
            </w:pPr>
          </w:p>
          <w:p w14:paraId="557B28FA" w14:textId="77777777" w:rsidR="008E41DB" w:rsidRPr="00C2021A" w:rsidRDefault="008E41DB" w:rsidP="00483642">
            <w:pPr>
              <w:spacing w:after="0" w:line="240" w:lineRule="auto"/>
              <w:rPr>
                <w:rFonts w:cs="Arial"/>
                <w:color w:val="auto"/>
                <w:sz w:val="12"/>
                <w:szCs w:val="12"/>
                <w:lang w:val="it-IT"/>
              </w:rPr>
            </w:pPr>
          </w:p>
          <w:p w14:paraId="70DFEBEA" w14:textId="77777777" w:rsidR="008E41DB" w:rsidRPr="00C2021A" w:rsidRDefault="008E41DB" w:rsidP="00483642">
            <w:pPr>
              <w:spacing w:after="0" w:line="240" w:lineRule="auto"/>
              <w:rPr>
                <w:rFonts w:cs="Arial"/>
                <w:color w:val="auto"/>
                <w:sz w:val="12"/>
                <w:szCs w:val="12"/>
                <w:lang w:val="it-IT"/>
              </w:rPr>
            </w:pPr>
          </w:p>
        </w:tc>
        <w:tc>
          <w:tcPr>
            <w:tcW w:w="1170" w:type="dxa"/>
            <w:shd w:val="clear" w:color="auto" w:fill="auto"/>
            <w:tcMar>
              <w:top w:w="80" w:type="dxa"/>
              <w:left w:w="80" w:type="dxa"/>
              <w:bottom w:w="80" w:type="dxa"/>
              <w:right w:w="80" w:type="dxa"/>
            </w:tcMar>
          </w:tcPr>
          <w:p w14:paraId="596A5BD4"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GNPs and PS</w:t>
            </w:r>
            <w:r w:rsidRPr="00C2021A">
              <w:rPr>
                <w:rFonts w:cs="Arial"/>
                <w:color w:val="auto"/>
                <w:sz w:val="12"/>
                <w:szCs w:val="12"/>
                <w:vertAlign w:val="subscript"/>
              </w:rPr>
              <w:t>67</w:t>
            </w:r>
            <w:r w:rsidRPr="00C2021A">
              <w:rPr>
                <w:rFonts w:cs="Arial"/>
                <w:color w:val="auto"/>
                <w:sz w:val="12"/>
                <w:szCs w:val="12"/>
              </w:rPr>
              <w:t>-b-PAA</w:t>
            </w:r>
            <w:r w:rsidRPr="00C2021A">
              <w:rPr>
                <w:rFonts w:cs="Arial"/>
                <w:color w:val="auto"/>
                <w:sz w:val="12"/>
                <w:szCs w:val="12"/>
                <w:vertAlign w:val="subscript"/>
              </w:rPr>
              <w:t>27</w:t>
            </w:r>
            <w:r w:rsidRPr="00C2021A">
              <w:rPr>
                <w:rFonts w:cs="Arial"/>
                <w:color w:val="auto"/>
                <w:sz w:val="12"/>
                <w:szCs w:val="12"/>
              </w:rPr>
              <w:t xml:space="preserve"> on Whatman filter paper</w:t>
            </w:r>
          </w:p>
        </w:tc>
        <w:tc>
          <w:tcPr>
            <w:tcW w:w="1170" w:type="dxa"/>
            <w:shd w:val="clear" w:color="auto" w:fill="auto"/>
            <w:tcMar>
              <w:top w:w="80" w:type="dxa"/>
              <w:left w:w="80" w:type="dxa"/>
              <w:bottom w:w="80" w:type="dxa"/>
              <w:right w:w="80" w:type="dxa"/>
            </w:tcMar>
          </w:tcPr>
          <w:p w14:paraId="6051BC8A"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Chemi</w:t>
            </w:r>
            <w:proofErr w:type="spellEnd"/>
            <w:r w:rsidRPr="00C2021A">
              <w:rPr>
                <w:rFonts w:cs="Arial"/>
                <w:color w:val="auto"/>
                <w:sz w:val="12"/>
                <w:szCs w:val="12"/>
              </w:rPr>
              <w:t>-resistive</w:t>
            </w:r>
          </w:p>
          <w:p w14:paraId="3ABAE2E2" w14:textId="77777777" w:rsidR="008E41DB" w:rsidRPr="00C2021A" w:rsidRDefault="008E41DB" w:rsidP="00483642">
            <w:pPr>
              <w:spacing w:after="0" w:line="240" w:lineRule="auto"/>
              <w:rPr>
                <w:rFonts w:cs="Arial"/>
                <w:color w:val="auto"/>
                <w:sz w:val="12"/>
                <w:szCs w:val="12"/>
              </w:rPr>
            </w:pPr>
          </w:p>
          <w:p w14:paraId="2E9ECF65"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1D87209F" w14:textId="77777777" w:rsidR="008E41DB" w:rsidRPr="00C2021A" w:rsidRDefault="008E41DB" w:rsidP="00483642">
            <w:pPr>
              <w:spacing w:after="0" w:line="240" w:lineRule="auto"/>
              <w:rPr>
                <w:rFonts w:cs="Arial"/>
                <w:color w:val="auto"/>
                <w:sz w:val="12"/>
                <w:szCs w:val="12"/>
                <w:vertAlign w:val="superscript"/>
              </w:rPr>
            </w:pPr>
            <w:r w:rsidRPr="00C2021A">
              <w:rPr>
                <w:rFonts w:cs="Arial"/>
                <w:color w:val="auto"/>
                <w:sz w:val="12"/>
                <w:szCs w:val="12"/>
              </w:rPr>
              <w:t xml:space="preserve">3 </w:t>
            </w:r>
            <w:proofErr w:type="spellStart"/>
            <w:r w:rsidRPr="00C2021A">
              <w:rPr>
                <w:rFonts w:cs="Arial"/>
                <w:color w:val="auto"/>
                <w:sz w:val="12"/>
                <w:szCs w:val="12"/>
              </w:rPr>
              <w:t>pg</w:t>
            </w:r>
            <w:proofErr w:type="spellEnd"/>
            <w:r w:rsidRPr="00C2021A">
              <w:rPr>
                <w:rFonts w:cs="Arial"/>
                <w:color w:val="auto"/>
                <w:sz w:val="12"/>
                <w:szCs w:val="12"/>
              </w:rPr>
              <w:t xml:space="preserve"> mL</w:t>
            </w:r>
            <w:r w:rsidRPr="00C2021A">
              <w:rPr>
                <w:rFonts w:cs="Arial"/>
                <w:color w:val="auto"/>
                <w:sz w:val="12"/>
                <w:szCs w:val="12"/>
                <w:vertAlign w:val="superscript"/>
              </w:rPr>
              <w:t>-1</w:t>
            </w:r>
            <w:r w:rsidRPr="00C2021A">
              <w:rPr>
                <w:rFonts w:cs="Arial"/>
                <w:color w:val="auto"/>
                <w:sz w:val="12"/>
                <w:szCs w:val="12"/>
              </w:rPr>
              <w:t xml:space="preserve"> </w:t>
            </w:r>
            <w:r w:rsidRPr="00C2021A">
              <w:rPr>
                <w:rFonts w:cs="Arial"/>
                <w:color w:val="auto"/>
                <w:sz w:val="12"/>
                <w:szCs w:val="12"/>
                <w:u w:color="0070C0"/>
                <w:vertAlign w:val="superscript"/>
              </w:rPr>
              <w:t>c</w:t>
            </w:r>
          </w:p>
          <w:p w14:paraId="63FB3FD0" w14:textId="77777777" w:rsidR="008E41DB" w:rsidRPr="00C2021A" w:rsidRDefault="008E41DB" w:rsidP="00483642">
            <w:pPr>
              <w:spacing w:after="0" w:line="240" w:lineRule="auto"/>
              <w:rPr>
                <w:rFonts w:cs="Arial"/>
                <w:color w:val="auto"/>
                <w:sz w:val="12"/>
                <w:szCs w:val="12"/>
              </w:rPr>
            </w:pPr>
          </w:p>
          <w:p w14:paraId="38CBF66A" w14:textId="77777777" w:rsidR="008E41DB" w:rsidRPr="00C2021A" w:rsidRDefault="008E41DB" w:rsidP="00483642">
            <w:pPr>
              <w:spacing w:after="0" w:line="240" w:lineRule="auto"/>
              <w:rPr>
                <w:rFonts w:cs="Arial"/>
                <w:color w:val="auto"/>
                <w:sz w:val="12"/>
                <w:szCs w:val="12"/>
              </w:rPr>
            </w:pPr>
          </w:p>
          <w:p w14:paraId="03B910E9" w14:textId="77777777" w:rsidR="008E41DB" w:rsidRPr="00C2021A" w:rsidRDefault="008E41DB" w:rsidP="00483642">
            <w:pPr>
              <w:spacing w:after="0" w:line="240" w:lineRule="auto"/>
              <w:rPr>
                <w:rFonts w:cs="Arial"/>
                <w:color w:val="auto"/>
                <w:sz w:val="12"/>
                <w:szCs w:val="12"/>
              </w:rPr>
            </w:pPr>
          </w:p>
        </w:tc>
        <w:tc>
          <w:tcPr>
            <w:tcW w:w="1350" w:type="dxa"/>
            <w:shd w:val="clear" w:color="auto" w:fill="auto"/>
            <w:tcMar>
              <w:top w:w="80" w:type="dxa"/>
              <w:left w:w="80" w:type="dxa"/>
              <w:bottom w:w="80" w:type="dxa"/>
              <w:right w:w="80" w:type="dxa"/>
            </w:tcMar>
          </w:tcPr>
          <w:p w14:paraId="6DCA6A4C" w14:textId="77777777" w:rsidR="008E41DB" w:rsidRPr="00C2021A" w:rsidRDefault="008E41DB" w:rsidP="00483642">
            <w:pPr>
              <w:spacing w:after="0" w:line="240" w:lineRule="auto"/>
              <w:rPr>
                <w:rFonts w:cs="Arial"/>
                <w:color w:val="auto"/>
                <w:sz w:val="12"/>
                <w:szCs w:val="12"/>
                <w:vertAlign w:val="superscript"/>
              </w:rPr>
            </w:pPr>
            <w:r w:rsidRPr="00C2021A">
              <w:rPr>
                <w:rFonts w:cs="Arial"/>
                <w:color w:val="auto"/>
                <w:sz w:val="12"/>
                <w:szCs w:val="12"/>
              </w:rPr>
              <w:t>0.018 - 4.552 ng mL</w:t>
            </w:r>
            <w:r w:rsidRPr="00C2021A">
              <w:rPr>
                <w:rFonts w:cs="Arial"/>
                <w:color w:val="auto"/>
                <w:sz w:val="12"/>
                <w:szCs w:val="12"/>
                <w:vertAlign w:val="superscript"/>
              </w:rPr>
              <w:t>-1</w:t>
            </w:r>
            <w:r w:rsidRPr="00C2021A">
              <w:rPr>
                <w:rFonts w:cs="Arial"/>
                <w:color w:val="auto"/>
                <w:sz w:val="12"/>
                <w:szCs w:val="12"/>
                <w:u w:color="0070C0"/>
                <w:vertAlign w:val="superscript"/>
              </w:rPr>
              <w:t>c</w:t>
            </w:r>
          </w:p>
          <w:p w14:paraId="095CD388"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3 </w:t>
            </w:r>
            <w:proofErr w:type="spellStart"/>
            <w:r w:rsidRPr="00C2021A">
              <w:rPr>
                <w:rFonts w:cs="Arial"/>
                <w:color w:val="auto"/>
                <w:sz w:val="12"/>
                <w:szCs w:val="12"/>
              </w:rPr>
              <w:t>pg</w:t>
            </w:r>
            <w:proofErr w:type="spellEnd"/>
            <w:r w:rsidRPr="00C2021A">
              <w:rPr>
                <w:rFonts w:cs="Arial"/>
                <w:color w:val="auto"/>
                <w:sz w:val="12"/>
                <w:szCs w:val="12"/>
              </w:rPr>
              <w:t xml:space="preserve"> mL</w:t>
            </w:r>
            <w:r w:rsidRPr="00C2021A">
              <w:rPr>
                <w:rFonts w:cs="Arial"/>
                <w:color w:val="auto"/>
                <w:sz w:val="12"/>
                <w:szCs w:val="12"/>
                <w:vertAlign w:val="superscript"/>
              </w:rPr>
              <w:t>-1</w:t>
            </w:r>
            <w:r w:rsidRPr="00C2021A">
              <w:rPr>
                <w:rFonts w:cs="Arial"/>
                <w:color w:val="auto"/>
                <w:sz w:val="12"/>
                <w:szCs w:val="12"/>
              </w:rPr>
              <w:t xml:space="preserve"> - 10 µg mL</w:t>
            </w:r>
            <w:r w:rsidRPr="00C2021A">
              <w:rPr>
                <w:rFonts w:cs="Arial"/>
                <w:color w:val="auto"/>
                <w:sz w:val="12"/>
                <w:szCs w:val="12"/>
                <w:vertAlign w:val="superscript"/>
              </w:rPr>
              <w:t>-1</w:t>
            </w:r>
            <w:r w:rsidRPr="00C2021A">
              <w:rPr>
                <w:rFonts w:cs="Arial"/>
                <w:color w:val="auto"/>
                <w:sz w:val="12"/>
                <w:szCs w:val="12"/>
                <w:u w:color="0070C0"/>
                <w:vertAlign w:val="superscript"/>
              </w:rPr>
              <w:t>d</w:t>
            </w:r>
          </w:p>
        </w:tc>
        <w:tc>
          <w:tcPr>
            <w:tcW w:w="810" w:type="dxa"/>
            <w:shd w:val="clear" w:color="auto" w:fill="auto"/>
            <w:tcMar>
              <w:top w:w="80" w:type="dxa"/>
              <w:left w:w="80" w:type="dxa"/>
              <w:bottom w:w="80" w:type="dxa"/>
              <w:right w:w="80" w:type="dxa"/>
            </w:tcMar>
          </w:tcPr>
          <w:p w14:paraId="492BCDDD"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N/A</w:t>
            </w:r>
          </w:p>
          <w:p w14:paraId="30857FBD" w14:textId="77777777" w:rsidR="008E41DB" w:rsidRPr="00C2021A" w:rsidRDefault="008E41DB" w:rsidP="00483642">
            <w:pPr>
              <w:spacing w:after="0" w:line="240" w:lineRule="auto"/>
              <w:rPr>
                <w:rFonts w:cs="Arial"/>
                <w:color w:val="auto"/>
                <w:sz w:val="12"/>
                <w:szCs w:val="12"/>
              </w:rPr>
            </w:pPr>
          </w:p>
          <w:p w14:paraId="0C823115" w14:textId="77777777" w:rsidR="008E41DB" w:rsidRPr="00C2021A" w:rsidRDefault="008E41DB" w:rsidP="00483642">
            <w:pPr>
              <w:spacing w:after="0" w:line="240" w:lineRule="auto"/>
              <w:rPr>
                <w:rFonts w:cs="Arial"/>
                <w:color w:val="auto"/>
                <w:sz w:val="12"/>
                <w:szCs w:val="12"/>
              </w:rPr>
            </w:pPr>
          </w:p>
          <w:p w14:paraId="79A1A7AD"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49AA88C4"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ELISA RE62011 kit</w:t>
            </w:r>
            <w:r w:rsidRPr="00C2021A">
              <w:rPr>
                <w:rFonts w:cs="Arial"/>
                <w:color w:val="auto"/>
                <w:sz w:val="12"/>
                <w:szCs w:val="12"/>
                <w:lang w:val="it-IT"/>
              </w:rPr>
              <w:br/>
              <w:t>R</w:t>
            </w:r>
            <w:r w:rsidRPr="00C2021A">
              <w:rPr>
                <w:rFonts w:cs="Arial"/>
                <w:color w:val="auto"/>
                <w:sz w:val="12"/>
                <w:szCs w:val="12"/>
                <w:vertAlign w:val="superscript"/>
                <w:lang w:val="it-IT"/>
              </w:rPr>
              <w:t>2</w:t>
            </w:r>
            <w:r w:rsidRPr="00C2021A">
              <w:rPr>
                <w:rFonts w:cs="Arial"/>
                <w:color w:val="auto"/>
                <w:sz w:val="12"/>
                <w:szCs w:val="12"/>
                <w:lang w:val="it-IT"/>
              </w:rPr>
              <w:t xml:space="preserve"> = 0.9951</w:t>
            </w:r>
          </w:p>
        </w:tc>
        <w:tc>
          <w:tcPr>
            <w:tcW w:w="900" w:type="dxa"/>
          </w:tcPr>
          <w:p w14:paraId="2E4D96DA"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12 min</w:t>
            </w:r>
          </w:p>
        </w:tc>
        <w:tc>
          <w:tcPr>
            <w:tcW w:w="1170" w:type="dxa"/>
          </w:tcPr>
          <w:p w14:paraId="71A10641"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5 µL</w:t>
            </w:r>
          </w:p>
        </w:tc>
        <w:tc>
          <w:tcPr>
            <w:tcW w:w="900" w:type="dxa"/>
          </w:tcPr>
          <w:p w14:paraId="4979DC61"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Whole saliva</w:t>
            </w:r>
          </w:p>
        </w:tc>
        <w:tc>
          <w:tcPr>
            <w:tcW w:w="810" w:type="dxa"/>
            <w:shd w:val="clear" w:color="auto" w:fill="auto"/>
            <w:tcMar>
              <w:top w:w="80" w:type="dxa"/>
              <w:left w:w="80" w:type="dxa"/>
              <w:bottom w:w="80" w:type="dxa"/>
              <w:right w:w="80" w:type="dxa"/>
            </w:tcMar>
          </w:tcPr>
          <w:p w14:paraId="63085D50"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(Khan et al. 2017b)</w:t>
            </w:r>
          </w:p>
          <w:p w14:paraId="52F0AB5D" w14:textId="77777777" w:rsidR="008E41DB" w:rsidRPr="00C2021A" w:rsidRDefault="008E41DB" w:rsidP="00483642">
            <w:pPr>
              <w:spacing w:after="0" w:line="240" w:lineRule="auto"/>
              <w:rPr>
                <w:rFonts w:cs="Arial"/>
                <w:color w:val="auto"/>
                <w:sz w:val="12"/>
                <w:szCs w:val="12"/>
              </w:rPr>
            </w:pPr>
          </w:p>
        </w:tc>
      </w:tr>
      <w:tr w:rsidR="00C2021A" w:rsidRPr="00C2021A" w14:paraId="29859782" w14:textId="77777777" w:rsidTr="00483642">
        <w:trPr>
          <w:trHeight w:val="396"/>
          <w:jc w:val="center"/>
        </w:trPr>
        <w:tc>
          <w:tcPr>
            <w:tcW w:w="805" w:type="dxa"/>
            <w:shd w:val="clear" w:color="auto" w:fill="auto"/>
            <w:tcMar>
              <w:top w:w="80" w:type="dxa"/>
              <w:left w:w="80" w:type="dxa"/>
              <w:bottom w:w="80" w:type="dxa"/>
              <w:right w:w="80" w:type="dxa"/>
            </w:tcMar>
          </w:tcPr>
          <w:p w14:paraId="533DED84"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Cortisol</w:t>
            </w:r>
          </w:p>
          <w:p w14:paraId="09CDC24A" w14:textId="77777777" w:rsidR="008E41DB" w:rsidRPr="00C2021A" w:rsidRDefault="008E41DB" w:rsidP="00483642">
            <w:pPr>
              <w:spacing w:after="0" w:line="240" w:lineRule="auto"/>
              <w:rPr>
                <w:rFonts w:cs="Arial"/>
                <w:color w:val="auto"/>
                <w:sz w:val="12"/>
                <w:szCs w:val="12"/>
                <w:lang w:val="it-IT"/>
              </w:rPr>
            </w:pPr>
          </w:p>
          <w:p w14:paraId="35A3427C" w14:textId="77777777" w:rsidR="008E41DB" w:rsidRPr="00C2021A" w:rsidRDefault="008E41DB" w:rsidP="00483642">
            <w:pPr>
              <w:spacing w:after="0" w:line="240" w:lineRule="auto"/>
              <w:rPr>
                <w:rFonts w:cs="Arial"/>
                <w:color w:val="auto"/>
                <w:sz w:val="12"/>
                <w:szCs w:val="12"/>
                <w:lang w:val="it-IT"/>
              </w:rPr>
            </w:pPr>
          </w:p>
        </w:tc>
        <w:tc>
          <w:tcPr>
            <w:tcW w:w="1170" w:type="dxa"/>
            <w:shd w:val="clear" w:color="auto" w:fill="auto"/>
            <w:tcMar>
              <w:top w:w="80" w:type="dxa"/>
              <w:left w:w="80" w:type="dxa"/>
              <w:bottom w:w="80" w:type="dxa"/>
              <w:right w:w="80" w:type="dxa"/>
            </w:tcMar>
          </w:tcPr>
          <w:p w14:paraId="533A7253"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c-Mab conjugated </w:t>
            </w:r>
            <w:proofErr w:type="spellStart"/>
            <w:r w:rsidRPr="00C2021A">
              <w:rPr>
                <w:rFonts w:cs="Arial"/>
                <w:color w:val="auto"/>
                <w:sz w:val="12"/>
                <w:szCs w:val="12"/>
              </w:rPr>
              <w:t>rGO</w:t>
            </w:r>
            <w:proofErr w:type="spellEnd"/>
            <w:r w:rsidRPr="00C2021A">
              <w:rPr>
                <w:rFonts w:cs="Arial"/>
                <w:color w:val="auto"/>
                <w:sz w:val="12"/>
                <w:szCs w:val="12"/>
              </w:rPr>
              <w:t xml:space="preserve"> sheet/ITO/glass</w:t>
            </w:r>
          </w:p>
        </w:tc>
        <w:tc>
          <w:tcPr>
            <w:tcW w:w="1170" w:type="dxa"/>
            <w:shd w:val="clear" w:color="auto" w:fill="auto"/>
            <w:tcMar>
              <w:top w:w="80" w:type="dxa"/>
              <w:left w:w="80" w:type="dxa"/>
              <w:bottom w:w="80" w:type="dxa"/>
              <w:right w:w="80" w:type="dxa"/>
            </w:tcMar>
          </w:tcPr>
          <w:p w14:paraId="0440CDD8"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Chemi</w:t>
            </w:r>
            <w:proofErr w:type="spellEnd"/>
            <w:r w:rsidRPr="00C2021A">
              <w:rPr>
                <w:rFonts w:cs="Arial"/>
                <w:color w:val="auto"/>
                <w:sz w:val="12"/>
                <w:szCs w:val="12"/>
              </w:rPr>
              <w:t>-resistive</w:t>
            </w:r>
          </w:p>
          <w:p w14:paraId="45259C54"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4EEB1995"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10 </w:t>
            </w:r>
            <w:proofErr w:type="spellStart"/>
            <w:r w:rsidRPr="00C2021A">
              <w:rPr>
                <w:rFonts w:cs="Arial"/>
                <w:color w:val="auto"/>
                <w:sz w:val="12"/>
                <w:szCs w:val="12"/>
              </w:rPr>
              <w:t>pg</w:t>
            </w:r>
            <w:proofErr w:type="spellEnd"/>
            <w:r w:rsidRPr="00C2021A">
              <w:rPr>
                <w:rFonts w:cs="Arial"/>
                <w:color w:val="auto"/>
                <w:sz w:val="12"/>
                <w:szCs w:val="12"/>
              </w:rPr>
              <w:t xml:space="preserve"> mL</w:t>
            </w:r>
            <w:r w:rsidRPr="00C2021A">
              <w:rPr>
                <w:rFonts w:cs="Arial"/>
                <w:color w:val="auto"/>
                <w:sz w:val="12"/>
                <w:szCs w:val="12"/>
                <w:vertAlign w:val="superscript"/>
              </w:rPr>
              <w:t xml:space="preserve">-1 </w:t>
            </w:r>
            <w:r w:rsidRPr="00C2021A">
              <w:rPr>
                <w:rFonts w:cs="Arial"/>
                <w:color w:val="auto"/>
                <w:sz w:val="12"/>
                <w:szCs w:val="12"/>
              </w:rPr>
              <w:t xml:space="preserve">(27.6 </w:t>
            </w:r>
            <w:proofErr w:type="spellStart"/>
            <w:r w:rsidRPr="00C2021A">
              <w:rPr>
                <w:rFonts w:cs="Arial"/>
                <w:color w:val="auto"/>
                <w:sz w:val="12"/>
                <w:szCs w:val="12"/>
              </w:rPr>
              <w:t>pM</w:t>
            </w:r>
            <w:proofErr w:type="spellEnd"/>
            <w:r w:rsidRPr="00C2021A">
              <w:rPr>
                <w:rFonts w:cs="Arial"/>
                <w:color w:val="auto"/>
                <w:sz w:val="12"/>
                <w:szCs w:val="12"/>
              </w:rPr>
              <w:t>)</w:t>
            </w:r>
          </w:p>
        </w:tc>
        <w:tc>
          <w:tcPr>
            <w:tcW w:w="1350" w:type="dxa"/>
            <w:shd w:val="clear" w:color="auto" w:fill="auto"/>
            <w:tcMar>
              <w:top w:w="80" w:type="dxa"/>
              <w:left w:w="80" w:type="dxa"/>
              <w:bottom w:w="80" w:type="dxa"/>
              <w:right w:w="80" w:type="dxa"/>
            </w:tcMar>
          </w:tcPr>
          <w:p w14:paraId="2C414584"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1 - 10 ng mL</w:t>
            </w:r>
            <w:r w:rsidRPr="00C2021A">
              <w:rPr>
                <w:rFonts w:cs="Arial"/>
                <w:color w:val="auto"/>
                <w:sz w:val="12"/>
                <w:szCs w:val="12"/>
                <w:vertAlign w:val="superscript"/>
              </w:rPr>
              <w:t>-1</w:t>
            </w:r>
          </w:p>
        </w:tc>
        <w:tc>
          <w:tcPr>
            <w:tcW w:w="810" w:type="dxa"/>
            <w:shd w:val="clear" w:color="auto" w:fill="auto"/>
            <w:tcMar>
              <w:top w:w="80" w:type="dxa"/>
              <w:left w:w="80" w:type="dxa"/>
              <w:bottom w:w="80" w:type="dxa"/>
              <w:right w:w="80" w:type="dxa"/>
            </w:tcMar>
          </w:tcPr>
          <w:p w14:paraId="5F14B15E"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N/A</w:t>
            </w:r>
          </w:p>
          <w:p w14:paraId="37E549E0"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724FF156"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 xml:space="preserve">ELISA </w:t>
            </w:r>
          </w:p>
        </w:tc>
        <w:tc>
          <w:tcPr>
            <w:tcW w:w="900" w:type="dxa"/>
          </w:tcPr>
          <w:p w14:paraId="7FEA5DB5"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5D19F77E"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483877A9"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1:1 dilution with buffer solution</w:t>
            </w:r>
          </w:p>
        </w:tc>
        <w:tc>
          <w:tcPr>
            <w:tcW w:w="810" w:type="dxa"/>
            <w:shd w:val="clear" w:color="auto" w:fill="auto"/>
            <w:tcMar>
              <w:top w:w="80" w:type="dxa"/>
              <w:left w:w="80" w:type="dxa"/>
              <w:bottom w:w="80" w:type="dxa"/>
              <w:right w:w="80" w:type="dxa"/>
            </w:tcMar>
          </w:tcPr>
          <w:p w14:paraId="395374E6"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(Kim et al. 2017c)</w:t>
            </w:r>
          </w:p>
          <w:p w14:paraId="51B8619D" w14:textId="77777777" w:rsidR="008E41DB" w:rsidRPr="00C2021A" w:rsidRDefault="008E41DB" w:rsidP="00483642">
            <w:pPr>
              <w:spacing w:after="0" w:line="240" w:lineRule="auto"/>
              <w:rPr>
                <w:rFonts w:cs="Arial"/>
                <w:color w:val="auto"/>
                <w:sz w:val="12"/>
                <w:szCs w:val="12"/>
              </w:rPr>
            </w:pPr>
          </w:p>
        </w:tc>
      </w:tr>
      <w:tr w:rsidR="00C2021A" w:rsidRPr="00C2021A" w14:paraId="71EABB46" w14:textId="77777777" w:rsidTr="00483642">
        <w:trPr>
          <w:trHeight w:val="17"/>
          <w:jc w:val="center"/>
        </w:trPr>
        <w:tc>
          <w:tcPr>
            <w:tcW w:w="805" w:type="dxa"/>
            <w:shd w:val="clear" w:color="auto" w:fill="auto"/>
            <w:tcMar>
              <w:top w:w="80" w:type="dxa"/>
              <w:left w:w="80" w:type="dxa"/>
              <w:bottom w:w="80" w:type="dxa"/>
              <w:right w:w="80" w:type="dxa"/>
            </w:tcMar>
          </w:tcPr>
          <w:p w14:paraId="0512170B"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Cortisol</w:t>
            </w:r>
          </w:p>
        </w:tc>
        <w:tc>
          <w:tcPr>
            <w:tcW w:w="1170" w:type="dxa"/>
            <w:shd w:val="clear" w:color="auto" w:fill="auto"/>
            <w:tcMar>
              <w:top w:w="80" w:type="dxa"/>
              <w:left w:w="80" w:type="dxa"/>
              <w:bottom w:w="80" w:type="dxa"/>
              <w:right w:w="80" w:type="dxa"/>
            </w:tcMar>
          </w:tcPr>
          <w:p w14:paraId="220AB90B"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anti-cortisol antibody/</w:t>
            </w:r>
          </w:p>
          <w:p w14:paraId="1069AFBE"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d-BSA/rGO/quartz</w:t>
            </w:r>
          </w:p>
        </w:tc>
        <w:tc>
          <w:tcPr>
            <w:tcW w:w="1170" w:type="dxa"/>
            <w:shd w:val="clear" w:color="auto" w:fill="auto"/>
            <w:tcMar>
              <w:top w:w="80" w:type="dxa"/>
              <w:left w:w="80" w:type="dxa"/>
              <w:bottom w:w="80" w:type="dxa"/>
              <w:right w:w="80" w:type="dxa"/>
            </w:tcMar>
          </w:tcPr>
          <w:p w14:paraId="4187D035"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EIS</w:t>
            </w:r>
          </w:p>
        </w:tc>
        <w:tc>
          <w:tcPr>
            <w:tcW w:w="810" w:type="dxa"/>
            <w:shd w:val="clear" w:color="auto" w:fill="auto"/>
            <w:tcMar>
              <w:top w:w="80" w:type="dxa"/>
              <w:left w:w="80" w:type="dxa"/>
              <w:bottom w:w="80" w:type="dxa"/>
              <w:right w:w="80" w:type="dxa"/>
            </w:tcMar>
          </w:tcPr>
          <w:p w14:paraId="124B6656"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10 </w:t>
            </w:r>
            <w:proofErr w:type="spellStart"/>
            <w:r w:rsidRPr="00C2021A">
              <w:rPr>
                <w:rFonts w:cs="Arial"/>
                <w:color w:val="auto"/>
                <w:sz w:val="12"/>
                <w:szCs w:val="12"/>
              </w:rPr>
              <w:t>pM</w:t>
            </w:r>
            <w:proofErr w:type="spellEnd"/>
          </w:p>
        </w:tc>
        <w:tc>
          <w:tcPr>
            <w:tcW w:w="1350" w:type="dxa"/>
            <w:shd w:val="clear" w:color="auto" w:fill="auto"/>
            <w:tcMar>
              <w:top w:w="80" w:type="dxa"/>
              <w:left w:w="80" w:type="dxa"/>
              <w:bottom w:w="80" w:type="dxa"/>
              <w:right w:w="80" w:type="dxa"/>
            </w:tcMar>
          </w:tcPr>
          <w:p w14:paraId="71A1A5FD"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10 </w:t>
            </w:r>
            <w:proofErr w:type="spellStart"/>
            <w:r w:rsidRPr="00C2021A">
              <w:rPr>
                <w:rFonts w:cs="Arial"/>
                <w:color w:val="auto"/>
                <w:sz w:val="12"/>
                <w:szCs w:val="12"/>
              </w:rPr>
              <w:t>pM</w:t>
            </w:r>
            <w:proofErr w:type="spellEnd"/>
            <w:r w:rsidRPr="00C2021A">
              <w:rPr>
                <w:rFonts w:cs="Arial"/>
                <w:color w:val="auto"/>
                <w:sz w:val="12"/>
                <w:szCs w:val="12"/>
              </w:rPr>
              <w:t xml:space="preserve"> - 100 </w:t>
            </w:r>
            <w:proofErr w:type="spellStart"/>
            <w:r w:rsidRPr="00C2021A">
              <w:rPr>
                <w:rFonts w:cs="Arial"/>
                <w:color w:val="auto"/>
                <w:sz w:val="12"/>
                <w:szCs w:val="12"/>
              </w:rPr>
              <w:t>nM</w:t>
            </w:r>
            <w:proofErr w:type="spellEnd"/>
          </w:p>
        </w:tc>
        <w:tc>
          <w:tcPr>
            <w:tcW w:w="810" w:type="dxa"/>
            <w:shd w:val="clear" w:color="auto" w:fill="auto"/>
            <w:tcMar>
              <w:top w:w="80" w:type="dxa"/>
              <w:left w:w="80" w:type="dxa"/>
              <w:bottom w:w="80" w:type="dxa"/>
              <w:right w:w="80" w:type="dxa"/>
            </w:tcMar>
          </w:tcPr>
          <w:p w14:paraId="6169D651"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92 - 103%</w:t>
            </w:r>
          </w:p>
        </w:tc>
        <w:tc>
          <w:tcPr>
            <w:tcW w:w="810" w:type="dxa"/>
            <w:shd w:val="clear" w:color="auto" w:fill="auto"/>
            <w:tcMar>
              <w:top w:w="80" w:type="dxa"/>
              <w:left w:w="80" w:type="dxa"/>
              <w:bottom w:w="80" w:type="dxa"/>
              <w:right w:w="80" w:type="dxa"/>
            </w:tcMar>
          </w:tcPr>
          <w:p w14:paraId="344FC18F"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N/A</w:t>
            </w:r>
          </w:p>
        </w:tc>
        <w:tc>
          <w:tcPr>
            <w:tcW w:w="900" w:type="dxa"/>
          </w:tcPr>
          <w:p w14:paraId="72C16682"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30 min</w:t>
            </w:r>
          </w:p>
        </w:tc>
        <w:tc>
          <w:tcPr>
            <w:tcW w:w="1170" w:type="dxa"/>
          </w:tcPr>
          <w:p w14:paraId="00868816"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 mL</w:t>
            </w:r>
          </w:p>
        </w:tc>
        <w:tc>
          <w:tcPr>
            <w:tcW w:w="900" w:type="dxa"/>
          </w:tcPr>
          <w:p w14:paraId="441F5509"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Whole saliva</w:t>
            </w:r>
          </w:p>
        </w:tc>
        <w:tc>
          <w:tcPr>
            <w:tcW w:w="810" w:type="dxa"/>
            <w:shd w:val="clear" w:color="auto" w:fill="auto"/>
            <w:tcMar>
              <w:top w:w="80" w:type="dxa"/>
              <w:left w:w="80" w:type="dxa"/>
              <w:bottom w:w="80" w:type="dxa"/>
              <w:right w:w="80" w:type="dxa"/>
            </w:tcMar>
          </w:tcPr>
          <w:p w14:paraId="010E1816"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(Kim et al. 2017b)</w:t>
            </w:r>
          </w:p>
          <w:p w14:paraId="14BEAC75" w14:textId="77777777" w:rsidR="008E41DB" w:rsidRPr="00C2021A" w:rsidRDefault="008E41DB" w:rsidP="00483642">
            <w:pPr>
              <w:spacing w:after="0" w:line="240" w:lineRule="auto"/>
              <w:rPr>
                <w:rFonts w:cs="Arial"/>
                <w:color w:val="auto"/>
                <w:sz w:val="12"/>
                <w:szCs w:val="12"/>
              </w:rPr>
            </w:pPr>
          </w:p>
        </w:tc>
      </w:tr>
      <w:tr w:rsidR="00C2021A" w:rsidRPr="00C2021A" w14:paraId="779B1B33" w14:textId="77777777" w:rsidTr="00483642">
        <w:trPr>
          <w:trHeight w:val="126"/>
          <w:jc w:val="center"/>
        </w:trPr>
        <w:tc>
          <w:tcPr>
            <w:tcW w:w="805" w:type="dxa"/>
            <w:shd w:val="clear" w:color="auto" w:fill="auto"/>
            <w:tcMar>
              <w:top w:w="80" w:type="dxa"/>
              <w:left w:w="80" w:type="dxa"/>
              <w:bottom w:w="80" w:type="dxa"/>
              <w:right w:w="80" w:type="dxa"/>
            </w:tcMar>
          </w:tcPr>
          <w:p w14:paraId="551F6FAA"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Cortisol</w:t>
            </w:r>
          </w:p>
          <w:p w14:paraId="320BBF53" w14:textId="77777777" w:rsidR="008E41DB" w:rsidRPr="00C2021A" w:rsidRDefault="008E41DB" w:rsidP="00483642">
            <w:pPr>
              <w:spacing w:after="0" w:line="240" w:lineRule="auto"/>
              <w:rPr>
                <w:rFonts w:cs="Arial"/>
                <w:color w:val="auto"/>
                <w:sz w:val="12"/>
                <w:szCs w:val="12"/>
              </w:rPr>
            </w:pPr>
          </w:p>
          <w:p w14:paraId="07B7A295" w14:textId="77777777" w:rsidR="008E41DB" w:rsidRPr="00C2021A" w:rsidRDefault="008E41DB" w:rsidP="00483642">
            <w:pPr>
              <w:spacing w:after="0" w:line="240" w:lineRule="auto"/>
              <w:rPr>
                <w:rFonts w:cs="Arial"/>
                <w:color w:val="auto"/>
                <w:sz w:val="12"/>
                <w:szCs w:val="12"/>
                <w:lang w:val="it-IT"/>
              </w:rPr>
            </w:pPr>
          </w:p>
        </w:tc>
        <w:tc>
          <w:tcPr>
            <w:tcW w:w="1170" w:type="dxa"/>
            <w:shd w:val="clear" w:color="auto" w:fill="auto"/>
            <w:tcMar>
              <w:top w:w="80" w:type="dxa"/>
              <w:left w:w="80" w:type="dxa"/>
              <w:bottom w:w="80" w:type="dxa"/>
              <w:right w:w="80" w:type="dxa"/>
            </w:tcMar>
          </w:tcPr>
          <w:p w14:paraId="2AE4CFEC"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BSA/anti-Cab/SAM/CBµE/</w:t>
            </w:r>
          </w:p>
          <w:p w14:paraId="27096781"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PS_b_PAA</w:t>
            </w:r>
            <w:proofErr w:type="spellEnd"/>
            <w:r w:rsidRPr="00C2021A">
              <w:rPr>
                <w:rFonts w:cs="Arial"/>
                <w:color w:val="auto"/>
                <w:sz w:val="12"/>
                <w:szCs w:val="12"/>
              </w:rPr>
              <w:t>/GRP/Paper</w:t>
            </w:r>
          </w:p>
        </w:tc>
        <w:tc>
          <w:tcPr>
            <w:tcW w:w="1170" w:type="dxa"/>
            <w:shd w:val="clear" w:color="auto" w:fill="auto"/>
            <w:tcMar>
              <w:top w:w="80" w:type="dxa"/>
              <w:left w:w="80" w:type="dxa"/>
              <w:bottom w:w="80" w:type="dxa"/>
              <w:right w:w="80" w:type="dxa"/>
            </w:tcMar>
          </w:tcPr>
          <w:p w14:paraId="2ED48061"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EIS</w:t>
            </w:r>
          </w:p>
          <w:p w14:paraId="294DCBC7"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288F5029"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0.87 </w:t>
            </w:r>
          </w:p>
          <w:p w14:paraId="1D02F795" w14:textId="77777777" w:rsidR="008E41DB" w:rsidRPr="00C2021A" w:rsidRDefault="008E41DB" w:rsidP="00483642">
            <w:pPr>
              <w:spacing w:after="0" w:line="240" w:lineRule="auto"/>
              <w:rPr>
                <w:rFonts w:cs="Arial"/>
                <w:color w:val="auto"/>
                <w:sz w:val="12"/>
                <w:szCs w:val="12"/>
              </w:rPr>
            </w:pPr>
            <w:proofErr w:type="spellStart"/>
            <w:r w:rsidRPr="00C2021A">
              <w:rPr>
                <w:rFonts w:cs="Arial"/>
                <w:color w:val="auto"/>
                <w:sz w:val="12"/>
                <w:szCs w:val="12"/>
              </w:rPr>
              <w:t>pg</w:t>
            </w:r>
            <w:proofErr w:type="spellEnd"/>
            <w:r w:rsidRPr="00C2021A">
              <w:rPr>
                <w:rFonts w:cs="Arial"/>
                <w:color w:val="auto"/>
                <w:sz w:val="12"/>
                <w:szCs w:val="12"/>
              </w:rPr>
              <w:t xml:space="preserve"> </w:t>
            </w:r>
            <w:proofErr w:type="gramStart"/>
            <w:r w:rsidRPr="00C2021A">
              <w:rPr>
                <w:rFonts w:cs="Arial"/>
                <w:color w:val="auto"/>
                <w:sz w:val="12"/>
                <w:szCs w:val="12"/>
              </w:rPr>
              <w:t>mL</w:t>
            </w:r>
            <w:r w:rsidRPr="00C2021A">
              <w:rPr>
                <w:rFonts w:cs="Arial"/>
                <w:color w:val="auto"/>
                <w:sz w:val="12"/>
                <w:szCs w:val="12"/>
                <w:vertAlign w:val="superscript"/>
              </w:rPr>
              <w:t>-1</w:t>
            </w:r>
            <w:proofErr w:type="gramEnd"/>
          </w:p>
        </w:tc>
        <w:tc>
          <w:tcPr>
            <w:tcW w:w="1350" w:type="dxa"/>
            <w:shd w:val="clear" w:color="auto" w:fill="auto"/>
            <w:tcMar>
              <w:top w:w="80" w:type="dxa"/>
              <w:left w:w="80" w:type="dxa"/>
              <w:bottom w:w="80" w:type="dxa"/>
              <w:right w:w="80" w:type="dxa"/>
            </w:tcMar>
          </w:tcPr>
          <w:p w14:paraId="15E0DBEF"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 </w:t>
            </w:r>
            <w:proofErr w:type="spellStart"/>
            <w:r w:rsidRPr="00C2021A">
              <w:rPr>
                <w:rFonts w:cs="Arial"/>
                <w:color w:val="auto"/>
                <w:sz w:val="12"/>
                <w:szCs w:val="12"/>
              </w:rPr>
              <w:t>pg</w:t>
            </w:r>
            <w:proofErr w:type="spellEnd"/>
            <w:r w:rsidRPr="00C2021A">
              <w:rPr>
                <w:rFonts w:cs="Arial"/>
                <w:color w:val="auto"/>
                <w:sz w:val="12"/>
                <w:szCs w:val="12"/>
              </w:rPr>
              <w:t xml:space="preserve"> mL</w:t>
            </w:r>
            <w:r w:rsidRPr="00C2021A">
              <w:rPr>
                <w:rFonts w:cs="Arial"/>
                <w:color w:val="auto"/>
                <w:sz w:val="12"/>
                <w:szCs w:val="12"/>
                <w:vertAlign w:val="superscript"/>
              </w:rPr>
              <w:t>−1</w:t>
            </w:r>
            <w:r w:rsidRPr="00C2021A">
              <w:rPr>
                <w:rFonts w:cs="Arial"/>
                <w:color w:val="auto"/>
                <w:sz w:val="12"/>
                <w:szCs w:val="12"/>
              </w:rPr>
              <w:t xml:space="preserve"> - 10 ng mL</w:t>
            </w:r>
            <w:r w:rsidRPr="00C2021A">
              <w:rPr>
                <w:rFonts w:cs="Arial"/>
                <w:color w:val="auto"/>
                <w:sz w:val="12"/>
                <w:szCs w:val="12"/>
                <w:vertAlign w:val="superscript"/>
              </w:rPr>
              <w:t>−1</w:t>
            </w:r>
          </w:p>
        </w:tc>
        <w:tc>
          <w:tcPr>
            <w:tcW w:w="810" w:type="dxa"/>
            <w:shd w:val="clear" w:color="auto" w:fill="auto"/>
            <w:tcMar>
              <w:top w:w="80" w:type="dxa"/>
              <w:left w:w="80" w:type="dxa"/>
              <w:bottom w:w="80" w:type="dxa"/>
              <w:right w:w="80" w:type="dxa"/>
            </w:tcMar>
          </w:tcPr>
          <w:p w14:paraId="6E621A44"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91 - 113%</w:t>
            </w:r>
          </w:p>
        </w:tc>
        <w:tc>
          <w:tcPr>
            <w:tcW w:w="810" w:type="dxa"/>
            <w:shd w:val="clear" w:color="auto" w:fill="auto"/>
            <w:tcMar>
              <w:top w:w="80" w:type="dxa"/>
              <w:left w:w="80" w:type="dxa"/>
              <w:bottom w:w="80" w:type="dxa"/>
              <w:right w:w="80" w:type="dxa"/>
            </w:tcMar>
          </w:tcPr>
          <w:p w14:paraId="4496969E"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ELISA</w:t>
            </w:r>
          </w:p>
          <w:p w14:paraId="601D053C"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96.3% accuracy</w:t>
            </w:r>
          </w:p>
        </w:tc>
        <w:tc>
          <w:tcPr>
            <w:tcW w:w="900" w:type="dxa"/>
          </w:tcPr>
          <w:p w14:paraId="545EC6D5"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12 min</w:t>
            </w:r>
          </w:p>
        </w:tc>
        <w:tc>
          <w:tcPr>
            <w:tcW w:w="1170" w:type="dxa"/>
          </w:tcPr>
          <w:p w14:paraId="52FEB2C4"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5 µL</w:t>
            </w:r>
          </w:p>
        </w:tc>
        <w:tc>
          <w:tcPr>
            <w:tcW w:w="900" w:type="dxa"/>
          </w:tcPr>
          <w:p w14:paraId="101CFDCB"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Whole saliva</w:t>
            </w:r>
          </w:p>
        </w:tc>
        <w:tc>
          <w:tcPr>
            <w:tcW w:w="810" w:type="dxa"/>
            <w:shd w:val="clear" w:color="auto" w:fill="auto"/>
            <w:tcMar>
              <w:top w:w="80" w:type="dxa"/>
              <w:left w:w="80" w:type="dxa"/>
              <w:bottom w:w="80" w:type="dxa"/>
              <w:right w:w="80" w:type="dxa"/>
            </w:tcMar>
          </w:tcPr>
          <w:p w14:paraId="43412080" w14:textId="77777777" w:rsidR="008E41DB" w:rsidRPr="00C2021A" w:rsidRDefault="008E41DB" w:rsidP="00483642">
            <w:pPr>
              <w:spacing w:after="0" w:line="240" w:lineRule="auto"/>
              <w:rPr>
                <w:rFonts w:cs="Arial"/>
                <w:color w:val="auto"/>
                <w:sz w:val="12"/>
                <w:szCs w:val="12"/>
                <w:lang w:val="it-IT"/>
              </w:rPr>
            </w:pPr>
            <w:r w:rsidRPr="00C2021A">
              <w:rPr>
                <w:rFonts w:cs="Arial"/>
                <w:noProof/>
                <w:color w:val="auto"/>
                <w:sz w:val="12"/>
                <w:szCs w:val="12"/>
              </w:rPr>
              <w:t>(Khan et al. 2019)</w:t>
            </w:r>
          </w:p>
          <w:p w14:paraId="34889A7A" w14:textId="77777777" w:rsidR="008E41DB" w:rsidRPr="00C2021A" w:rsidRDefault="008E41DB" w:rsidP="00483642">
            <w:pPr>
              <w:spacing w:after="0" w:line="240" w:lineRule="auto"/>
              <w:rPr>
                <w:rFonts w:cs="Arial"/>
                <w:color w:val="auto"/>
                <w:sz w:val="12"/>
                <w:szCs w:val="12"/>
              </w:rPr>
            </w:pPr>
          </w:p>
        </w:tc>
      </w:tr>
      <w:tr w:rsidR="00C2021A" w:rsidRPr="00C2021A" w14:paraId="3430A2E6" w14:textId="77777777" w:rsidTr="00483642">
        <w:trPr>
          <w:trHeight w:val="17"/>
          <w:jc w:val="center"/>
        </w:trPr>
        <w:tc>
          <w:tcPr>
            <w:tcW w:w="805" w:type="dxa"/>
            <w:shd w:val="clear" w:color="auto" w:fill="auto"/>
            <w:tcMar>
              <w:top w:w="80" w:type="dxa"/>
              <w:left w:w="80" w:type="dxa"/>
              <w:bottom w:w="80" w:type="dxa"/>
              <w:right w:w="80" w:type="dxa"/>
            </w:tcMar>
          </w:tcPr>
          <w:p w14:paraId="146F6E6A"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Ghrelin (GHRL)</w:t>
            </w:r>
          </w:p>
        </w:tc>
        <w:tc>
          <w:tcPr>
            <w:tcW w:w="1170" w:type="dxa"/>
            <w:shd w:val="clear" w:color="auto" w:fill="auto"/>
            <w:tcMar>
              <w:top w:w="80" w:type="dxa"/>
              <w:left w:w="80" w:type="dxa"/>
              <w:bottom w:w="80" w:type="dxa"/>
              <w:right w:w="80" w:type="dxa"/>
            </w:tcMar>
          </w:tcPr>
          <w:p w14:paraId="11EB87CA"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anti-GHRL-</w:t>
            </w:r>
            <w:proofErr w:type="spellStart"/>
            <w:r w:rsidRPr="00C2021A">
              <w:rPr>
                <w:rFonts w:cs="Arial"/>
                <w:color w:val="auto"/>
                <w:sz w:val="12"/>
                <w:szCs w:val="12"/>
              </w:rPr>
              <w:t>Phe</w:t>
            </w:r>
            <w:proofErr w:type="spellEnd"/>
            <w:r w:rsidRPr="00C2021A">
              <w:rPr>
                <w:rFonts w:cs="Arial"/>
                <w:color w:val="auto"/>
                <w:sz w:val="12"/>
                <w:szCs w:val="12"/>
              </w:rPr>
              <w:t>-</w:t>
            </w:r>
            <w:proofErr w:type="spellStart"/>
            <w:r w:rsidRPr="00C2021A">
              <w:rPr>
                <w:rFonts w:cs="Arial"/>
                <w:color w:val="auto"/>
                <w:sz w:val="12"/>
                <w:szCs w:val="12"/>
              </w:rPr>
              <w:t>rGO</w:t>
            </w:r>
            <w:proofErr w:type="spellEnd"/>
            <w:r w:rsidRPr="00C2021A">
              <w:rPr>
                <w:rFonts w:cs="Arial"/>
                <w:color w:val="auto"/>
                <w:sz w:val="12"/>
                <w:szCs w:val="12"/>
              </w:rPr>
              <w:t>/SPCE</w:t>
            </w:r>
          </w:p>
        </w:tc>
        <w:tc>
          <w:tcPr>
            <w:tcW w:w="1170" w:type="dxa"/>
            <w:shd w:val="clear" w:color="auto" w:fill="auto"/>
            <w:tcMar>
              <w:top w:w="80" w:type="dxa"/>
              <w:left w:w="80" w:type="dxa"/>
              <w:bottom w:w="80" w:type="dxa"/>
              <w:right w:w="80" w:type="dxa"/>
            </w:tcMar>
          </w:tcPr>
          <w:p w14:paraId="13C51B77"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DPV</w:t>
            </w:r>
          </w:p>
        </w:tc>
        <w:tc>
          <w:tcPr>
            <w:tcW w:w="810" w:type="dxa"/>
            <w:shd w:val="clear" w:color="auto" w:fill="auto"/>
            <w:tcMar>
              <w:top w:w="80" w:type="dxa"/>
              <w:left w:w="80" w:type="dxa"/>
              <w:bottom w:w="80" w:type="dxa"/>
              <w:right w:w="80" w:type="dxa"/>
            </w:tcMar>
          </w:tcPr>
          <w:p w14:paraId="0BBB57DC" w14:textId="77777777" w:rsidR="008E41DB" w:rsidRPr="00C2021A" w:rsidRDefault="008E41DB" w:rsidP="00483642">
            <w:pPr>
              <w:spacing w:after="0" w:line="240" w:lineRule="auto"/>
              <w:rPr>
                <w:rFonts w:cs="Arial"/>
                <w:color w:val="auto"/>
                <w:sz w:val="12"/>
                <w:szCs w:val="12"/>
                <w:vertAlign w:val="superscript"/>
                <w:lang w:val="it-IT"/>
              </w:rPr>
            </w:pPr>
            <w:r w:rsidRPr="00C2021A">
              <w:rPr>
                <w:rFonts w:cs="Arial"/>
                <w:color w:val="auto"/>
                <w:sz w:val="12"/>
                <w:szCs w:val="12"/>
                <w:lang w:val="it-IT"/>
              </w:rPr>
              <w:t>1 pg mL</w:t>
            </w:r>
            <w:r w:rsidRPr="00C2021A">
              <w:rPr>
                <w:rFonts w:cs="Arial"/>
                <w:color w:val="auto"/>
                <w:sz w:val="12"/>
                <w:szCs w:val="12"/>
                <w:vertAlign w:val="superscript"/>
                <w:lang w:val="it-IT"/>
              </w:rPr>
              <w:t>-1</w:t>
            </w:r>
            <w:r w:rsidRPr="00C2021A">
              <w:rPr>
                <w:rFonts w:cs="Arial"/>
                <w:color w:val="auto"/>
                <w:sz w:val="12"/>
                <w:szCs w:val="12"/>
                <w:u w:color="0070C0"/>
                <w:vertAlign w:val="superscript"/>
                <w:lang w:val="it-IT"/>
              </w:rPr>
              <w:t>e</w:t>
            </w:r>
          </w:p>
        </w:tc>
        <w:tc>
          <w:tcPr>
            <w:tcW w:w="1350" w:type="dxa"/>
            <w:shd w:val="clear" w:color="auto" w:fill="auto"/>
            <w:tcMar>
              <w:top w:w="80" w:type="dxa"/>
              <w:left w:w="80" w:type="dxa"/>
              <w:bottom w:w="80" w:type="dxa"/>
              <w:right w:w="80" w:type="dxa"/>
            </w:tcMar>
          </w:tcPr>
          <w:p w14:paraId="2D264C2B"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10</w:t>
            </w:r>
            <w:r w:rsidRPr="00C2021A">
              <w:rPr>
                <w:rFonts w:cs="Arial"/>
                <w:color w:val="auto"/>
                <w:sz w:val="12"/>
                <w:szCs w:val="12"/>
                <w:vertAlign w:val="superscript"/>
              </w:rPr>
              <w:t>-3</w:t>
            </w:r>
            <w:r w:rsidRPr="00C2021A">
              <w:rPr>
                <w:rFonts w:cs="Arial"/>
                <w:color w:val="auto"/>
                <w:sz w:val="12"/>
                <w:szCs w:val="12"/>
              </w:rPr>
              <w:t xml:space="preserve"> - 100 ng/mL</w:t>
            </w:r>
          </w:p>
        </w:tc>
        <w:tc>
          <w:tcPr>
            <w:tcW w:w="810" w:type="dxa"/>
            <w:shd w:val="clear" w:color="auto" w:fill="auto"/>
            <w:tcMar>
              <w:top w:w="80" w:type="dxa"/>
              <w:left w:w="80" w:type="dxa"/>
              <w:bottom w:w="80" w:type="dxa"/>
              <w:right w:w="80" w:type="dxa"/>
            </w:tcMar>
          </w:tcPr>
          <w:p w14:paraId="3144DEC5"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97%</w:t>
            </w:r>
          </w:p>
        </w:tc>
        <w:tc>
          <w:tcPr>
            <w:tcW w:w="810" w:type="dxa"/>
            <w:shd w:val="clear" w:color="auto" w:fill="auto"/>
            <w:tcMar>
              <w:top w:w="80" w:type="dxa"/>
              <w:left w:w="80" w:type="dxa"/>
              <w:bottom w:w="80" w:type="dxa"/>
              <w:right w:w="80" w:type="dxa"/>
            </w:tcMar>
          </w:tcPr>
          <w:p w14:paraId="3A22FA8B"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ELISA</w:t>
            </w:r>
          </w:p>
          <w:p w14:paraId="6AF26B34"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LOD = 161 pg/mL</w:t>
            </w:r>
          </w:p>
        </w:tc>
        <w:tc>
          <w:tcPr>
            <w:tcW w:w="900" w:type="dxa"/>
          </w:tcPr>
          <w:p w14:paraId="71079962"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4B94293B"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3 µL</w:t>
            </w:r>
          </w:p>
        </w:tc>
        <w:tc>
          <w:tcPr>
            <w:tcW w:w="900" w:type="dxa"/>
          </w:tcPr>
          <w:p w14:paraId="0DFE942E"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810" w:type="dxa"/>
            <w:shd w:val="clear" w:color="auto" w:fill="auto"/>
            <w:tcMar>
              <w:top w:w="80" w:type="dxa"/>
              <w:left w:w="80" w:type="dxa"/>
              <w:bottom w:w="80" w:type="dxa"/>
              <w:right w:w="80" w:type="dxa"/>
            </w:tcMar>
          </w:tcPr>
          <w:p w14:paraId="7A8750B8" w14:textId="77777777" w:rsidR="008E41DB" w:rsidRPr="00C2021A" w:rsidRDefault="008E41DB" w:rsidP="00483642">
            <w:pPr>
              <w:spacing w:after="0" w:line="240" w:lineRule="auto"/>
              <w:rPr>
                <w:rFonts w:cs="Arial"/>
                <w:color w:val="auto"/>
                <w:sz w:val="12"/>
                <w:szCs w:val="12"/>
                <w:lang w:val="it-IT"/>
              </w:rPr>
            </w:pPr>
            <w:r w:rsidRPr="00C2021A">
              <w:rPr>
                <w:rFonts w:cs="Arial"/>
                <w:noProof/>
                <w:color w:val="auto"/>
                <w:sz w:val="12"/>
                <w:szCs w:val="12"/>
              </w:rPr>
              <w:t>(Martínez-García et al. 2016)</w:t>
            </w:r>
          </w:p>
        </w:tc>
      </w:tr>
      <w:tr w:rsidR="00C2021A" w:rsidRPr="00C2021A" w14:paraId="059F0515" w14:textId="77777777" w:rsidTr="00483642">
        <w:trPr>
          <w:trHeight w:val="17"/>
          <w:jc w:val="center"/>
        </w:trPr>
        <w:tc>
          <w:tcPr>
            <w:tcW w:w="805" w:type="dxa"/>
            <w:shd w:val="clear" w:color="auto" w:fill="auto"/>
            <w:tcMar>
              <w:top w:w="80" w:type="dxa"/>
              <w:left w:w="80" w:type="dxa"/>
              <w:bottom w:w="80" w:type="dxa"/>
              <w:right w:w="80" w:type="dxa"/>
            </w:tcMar>
          </w:tcPr>
          <w:p w14:paraId="48E6155D"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Glucose</w:t>
            </w:r>
          </w:p>
        </w:tc>
        <w:tc>
          <w:tcPr>
            <w:tcW w:w="1170" w:type="dxa"/>
            <w:shd w:val="clear" w:color="auto" w:fill="auto"/>
            <w:tcMar>
              <w:top w:w="80" w:type="dxa"/>
              <w:left w:w="80" w:type="dxa"/>
              <w:bottom w:w="80" w:type="dxa"/>
              <w:right w:w="80" w:type="dxa"/>
            </w:tcMar>
          </w:tcPr>
          <w:p w14:paraId="3DCE7963"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CuO/rGO/CNF/GCE</w:t>
            </w:r>
          </w:p>
        </w:tc>
        <w:tc>
          <w:tcPr>
            <w:tcW w:w="1170" w:type="dxa"/>
            <w:shd w:val="clear" w:color="auto" w:fill="auto"/>
            <w:tcMar>
              <w:top w:w="80" w:type="dxa"/>
              <w:left w:w="80" w:type="dxa"/>
              <w:bottom w:w="80" w:type="dxa"/>
              <w:right w:w="80" w:type="dxa"/>
            </w:tcMar>
          </w:tcPr>
          <w:p w14:paraId="35139452"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Chronoamperometric</w:t>
            </w:r>
          </w:p>
        </w:tc>
        <w:tc>
          <w:tcPr>
            <w:tcW w:w="810" w:type="dxa"/>
            <w:shd w:val="clear" w:color="auto" w:fill="auto"/>
            <w:tcMar>
              <w:top w:w="80" w:type="dxa"/>
              <w:left w:w="80" w:type="dxa"/>
              <w:bottom w:w="80" w:type="dxa"/>
              <w:right w:w="80" w:type="dxa"/>
            </w:tcMar>
          </w:tcPr>
          <w:p w14:paraId="4B2DE0F6"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 xml:space="preserve">0.1 </w:t>
            </w:r>
            <w:r w:rsidRPr="00C2021A">
              <w:rPr>
                <w:rFonts w:cs="Arial"/>
                <w:color w:val="auto"/>
                <w:sz w:val="12"/>
                <w:szCs w:val="12"/>
              </w:rPr>
              <w:t>μ</w:t>
            </w:r>
            <w:r w:rsidRPr="00C2021A">
              <w:rPr>
                <w:rFonts w:cs="Arial"/>
                <w:color w:val="auto"/>
                <w:sz w:val="12"/>
                <w:szCs w:val="12"/>
                <w:lang w:val="it-IT"/>
              </w:rPr>
              <w:t>M</w:t>
            </w:r>
          </w:p>
        </w:tc>
        <w:tc>
          <w:tcPr>
            <w:tcW w:w="1350" w:type="dxa"/>
            <w:shd w:val="clear" w:color="auto" w:fill="auto"/>
            <w:tcMar>
              <w:top w:w="80" w:type="dxa"/>
              <w:left w:w="80" w:type="dxa"/>
              <w:bottom w:w="80" w:type="dxa"/>
              <w:right w:w="80" w:type="dxa"/>
            </w:tcMar>
          </w:tcPr>
          <w:p w14:paraId="3A1C08A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1 </w:t>
            </w:r>
            <w:proofErr w:type="spellStart"/>
            <w:r w:rsidRPr="00C2021A">
              <w:rPr>
                <w:rFonts w:cs="Arial"/>
                <w:color w:val="auto"/>
                <w:sz w:val="12"/>
                <w:szCs w:val="12"/>
              </w:rPr>
              <w:t>μM</w:t>
            </w:r>
            <w:proofErr w:type="spellEnd"/>
            <w:r w:rsidRPr="00C2021A">
              <w:rPr>
                <w:rFonts w:cs="Arial"/>
                <w:color w:val="auto"/>
                <w:sz w:val="12"/>
                <w:szCs w:val="12"/>
              </w:rPr>
              <w:t xml:space="preserve"> - 5.3 mM</w:t>
            </w:r>
          </w:p>
        </w:tc>
        <w:tc>
          <w:tcPr>
            <w:tcW w:w="810" w:type="dxa"/>
            <w:shd w:val="clear" w:color="auto" w:fill="auto"/>
            <w:tcMar>
              <w:top w:w="80" w:type="dxa"/>
              <w:left w:w="80" w:type="dxa"/>
              <w:bottom w:w="80" w:type="dxa"/>
              <w:right w:w="80" w:type="dxa"/>
            </w:tcMar>
          </w:tcPr>
          <w:p w14:paraId="60857703"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99.7 - 101.3%</w:t>
            </w:r>
          </w:p>
        </w:tc>
        <w:tc>
          <w:tcPr>
            <w:tcW w:w="810" w:type="dxa"/>
            <w:shd w:val="clear" w:color="auto" w:fill="auto"/>
            <w:tcMar>
              <w:top w:w="80" w:type="dxa"/>
              <w:left w:w="80" w:type="dxa"/>
              <w:bottom w:w="80" w:type="dxa"/>
              <w:right w:w="80" w:type="dxa"/>
            </w:tcMar>
          </w:tcPr>
          <w:p w14:paraId="7B33A7B2"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N/A</w:t>
            </w:r>
          </w:p>
        </w:tc>
        <w:tc>
          <w:tcPr>
            <w:tcW w:w="900" w:type="dxa"/>
          </w:tcPr>
          <w:p w14:paraId="07B5504D"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3 s</w:t>
            </w:r>
          </w:p>
        </w:tc>
        <w:tc>
          <w:tcPr>
            <w:tcW w:w="1170" w:type="dxa"/>
          </w:tcPr>
          <w:p w14:paraId="51D65E88"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27F568F7"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1:10 dilution</w:t>
            </w:r>
          </w:p>
        </w:tc>
        <w:tc>
          <w:tcPr>
            <w:tcW w:w="810" w:type="dxa"/>
            <w:shd w:val="clear" w:color="auto" w:fill="auto"/>
            <w:tcMar>
              <w:top w:w="80" w:type="dxa"/>
              <w:left w:w="80" w:type="dxa"/>
              <w:bottom w:w="80" w:type="dxa"/>
              <w:right w:w="80" w:type="dxa"/>
            </w:tcMar>
          </w:tcPr>
          <w:p w14:paraId="0CC8923E" w14:textId="77777777" w:rsidR="008E41DB" w:rsidRPr="00C2021A" w:rsidRDefault="008E41DB" w:rsidP="00483642">
            <w:pPr>
              <w:spacing w:after="0" w:line="240" w:lineRule="auto"/>
              <w:rPr>
                <w:rFonts w:cs="Arial"/>
                <w:color w:val="auto"/>
                <w:sz w:val="12"/>
                <w:szCs w:val="12"/>
                <w:lang w:val="it-IT"/>
              </w:rPr>
            </w:pPr>
            <w:r w:rsidRPr="00C2021A">
              <w:rPr>
                <w:rFonts w:cs="Arial"/>
                <w:noProof/>
                <w:color w:val="auto"/>
                <w:sz w:val="12"/>
                <w:szCs w:val="12"/>
              </w:rPr>
              <w:t>(Ye et al. 2013)</w:t>
            </w:r>
          </w:p>
        </w:tc>
      </w:tr>
      <w:tr w:rsidR="00C2021A" w:rsidRPr="00C2021A" w14:paraId="7C5EDF01" w14:textId="77777777" w:rsidTr="00483642">
        <w:trPr>
          <w:trHeight w:val="17"/>
          <w:jc w:val="center"/>
        </w:trPr>
        <w:tc>
          <w:tcPr>
            <w:tcW w:w="805" w:type="dxa"/>
            <w:shd w:val="clear" w:color="auto" w:fill="auto"/>
            <w:tcMar>
              <w:top w:w="80" w:type="dxa"/>
              <w:left w:w="80" w:type="dxa"/>
              <w:bottom w:w="80" w:type="dxa"/>
              <w:right w:w="80" w:type="dxa"/>
            </w:tcMar>
          </w:tcPr>
          <w:p w14:paraId="40929EB7"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rPr>
              <w:t>L-tryptophan (Try)</w:t>
            </w:r>
          </w:p>
        </w:tc>
        <w:tc>
          <w:tcPr>
            <w:tcW w:w="1170" w:type="dxa"/>
            <w:shd w:val="clear" w:color="auto" w:fill="auto"/>
            <w:tcMar>
              <w:top w:w="80" w:type="dxa"/>
              <w:left w:w="80" w:type="dxa"/>
              <w:bottom w:w="80" w:type="dxa"/>
              <w:right w:w="80" w:type="dxa"/>
            </w:tcMar>
          </w:tcPr>
          <w:p w14:paraId="53DFB323"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lang w:val="it-IT"/>
              </w:rPr>
              <w:t>AuNPs/rGO/SPE</w:t>
            </w:r>
          </w:p>
        </w:tc>
        <w:tc>
          <w:tcPr>
            <w:tcW w:w="1170" w:type="dxa"/>
            <w:shd w:val="clear" w:color="auto" w:fill="auto"/>
            <w:tcMar>
              <w:top w:w="80" w:type="dxa"/>
              <w:left w:w="80" w:type="dxa"/>
              <w:bottom w:w="80" w:type="dxa"/>
              <w:right w:w="80" w:type="dxa"/>
            </w:tcMar>
          </w:tcPr>
          <w:p w14:paraId="47E82BB1"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DPV</w:t>
            </w:r>
          </w:p>
          <w:p w14:paraId="30E1074F"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43E22BA7"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lang w:val="it-IT"/>
              </w:rPr>
              <w:t xml:space="preserve">0.39 </w:t>
            </w:r>
            <w:r w:rsidRPr="00C2021A">
              <w:rPr>
                <w:rFonts w:cs="Arial"/>
                <w:color w:val="auto"/>
                <w:sz w:val="12"/>
                <w:szCs w:val="12"/>
              </w:rPr>
              <w:t>μ</w:t>
            </w:r>
            <w:r w:rsidRPr="00C2021A">
              <w:rPr>
                <w:rFonts w:cs="Arial"/>
                <w:color w:val="auto"/>
                <w:sz w:val="12"/>
                <w:szCs w:val="12"/>
                <w:lang w:val="it-IT"/>
              </w:rPr>
              <w:t>mol/L</w:t>
            </w:r>
          </w:p>
        </w:tc>
        <w:tc>
          <w:tcPr>
            <w:tcW w:w="1350" w:type="dxa"/>
            <w:shd w:val="clear" w:color="auto" w:fill="auto"/>
            <w:tcMar>
              <w:top w:w="80" w:type="dxa"/>
              <w:left w:w="80" w:type="dxa"/>
              <w:bottom w:w="80" w:type="dxa"/>
              <w:right w:w="80" w:type="dxa"/>
            </w:tcMar>
          </w:tcPr>
          <w:p w14:paraId="56B18A38"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0.5 - 500 </w:t>
            </w:r>
            <w:proofErr w:type="spellStart"/>
            <w:r w:rsidRPr="00C2021A">
              <w:rPr>
                <w:rFonts w:cs="Arial"/>
                <w:color w:val="auto"/>
                <w:sz w:val="12"/>
                <w:szCs w:val="12"/>
              </w:rPr>
              <w:t>μmol</w:t>
            </w:r>
            <w:proofErr w:type="spellEnd"/>
            <w:r w:rsidRPr="00C2021A">
              <w:rPr>
                <w:rFonts w:cs="Arial"/>
                <w:color w:val="auto"/>
                <w:sz w:val="12"/>
                <w:szCs w:val="12"/>
              </w:rPr>
              <w:t>/L</w:t>
            </w:r>
          </w:p>
          <w:p w14:paraId="74107D67"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37A7CA4F"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94.6 -107.6%</w:t>
            </w:r>
          </w:p>
          <w:p w14:paraId="3B091623"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66A30398"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N/A</w:t>
            </w:r>
          </w:p>
        </w:tc>
        <w:tc>
          <w:tcPr>
            <w:tcW w:w="900" w:type="dxa"/>
          </w:tcPr>
          <w:p w14:paraId="16CDD7FB"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71E37207"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3D9A5913"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Whole saliva</w:t>
            </w:r>
          </w:p>
        </w:tc>
        <w:tc>
          <w:tcPr>
            <w:tcW w:w="810" w:type="dxa"/>
            <w:shd w:val="clear" w:color="auto" w:fill="auto"/>
            <w:tcMar>
              <w:top w:w="80" w:type="dxa"/>
              <w:left w:w="80" w:type="dxa"/>
              <w:bottom w:w="80" w:type="dxa"/>
              <w:right w:w="80" w:type="dxa"/>
            </w:tcMar>
          </w:tcPr>
          <w:p w14:paraId="65580258"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(Nazarpour et al. 2020)</w:t>
            </w:r>
          </w:p>
        </w:tc>
      </w:tr>
      <w:tr w:rsidR="00C2021A" w:rsidRPr="00C2021A" w14:paraId="7F93128E" w14:textId="77777777" w:rsidTr="00483642">
        <w:trPr>
          <w:trHeight w:val="17"/>
          <w:jc w:val="center"/>
        </w:trPr>
        <w:tc>
          <w:tcPr>
            <w:tcW w:w="805" w:type="dxa"/>
            <w:shd w:val="clear" w:color="auto" w:fill="auto"/>
            <w:tcMar>
              <w:top w:w="80" w:type="dxa"/>
              <w:left w:w="80" w:type="dxa"/>
              <w:bottom w:w="80" w:type="dxa"/>
              <w:right w:w="80" w:type="dxa"/>
            </w:tcMar>
          </w:tcPr>
          <w:p w14:paraId="5E9E1EED"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Myoglobin (Mb)</w:t>
            </w:r>
          </w:p>
        </w:tc>
        <w:tc>
          <w:tcPr>
            <w:tcW w:w="1170" w:type="dxa"/>
            <w:shd w:val="clear" w:color="auto" w:fill="auto"/>
            <w:tcMar>
              <w:top w:w="80" w:type="dxa"/>
              <w:left w:w="80" w:type="dxa"/>
              <w:bottom w:w="80" w:type="dxa"/>
              <w:right w:w="80" w:type="dxa"/>
            </w:tcMar>
          </w:tcPr>
          <w:p w14:paraId="731543C9"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anti-Mb-Ab/d-BSA/r-HGO/quartz</w:t>
            </w:r>
          </w:p>
        </w:tc>
        <w:tc>
          <w:tcPr>
            <w:tcW w:w="1170" w:type="dxa"/>
            <w:shd w:val="clear" w:color="auto" w:fill="auto"/>
            <w:tcMar>
              <w:top w:w="80" w:type="dxa"/>
              <w:left w:w="80" w:type="dxa"/>
              <w:bottom w:w="80" w:type="dxa"/>
              <w:right w:w="80" w:type="dxa"/>
            </w:tcMar>
          </w:tcPr>
          <w:p w14:paraId="11D6601F"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EIS</w:t>
            </w:r>
          </w:p>
        </w:tc>
        <w:tc>
          <w:tcPr>
            <w:tcW w:w="810" w:type="dxa"/>
            <w:shd w:val="clear" w:color="auto" w:fill="auto"/>
            <w:tcMar>
              <w:top w:w="80" w:type="dxa"/>
              <w:left w:w="80" w:type="dxa"/>
              <w:bottom w:w="80" w:type="dxa"/>
              <w:right w:w="80" w:type="dxa"/>
            </w:tcMar>
          </w:tcPr>
          <w:p w14:paraId="68324087"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2.37 pM</w:t>
            </w:r>
          </w:p>
        </w:tc>
        <w:tc>
          <w:tcPr>
            <w:tcW w:w="1350" w:type="dxa"/>
            <w:shd w:val="clear" w:color="auto" w:fill="auto"/>
            <w:tcMar>
              <w:top w:w="80" w:type="dxa"/>
              <w:left w:w="80" w:type="dxa"/>
              <w:bottom w:w="80" w:type="dxa"/>
              <w:right w:w="80" w:type="dxa"/>
            </w:tcMar>
          </w:tcPr>
          <w:p w14:paraId="6AE26EE1"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5 pM - 10 nM</w:t>
            </w:r>
          </w:p>
        </w:tc>
        <w:tc>
          <w:tcPr>
            <w:tcW w:w="810" w:type="dxa"/>
            <w:shd w:val="clear" w:color="auto" w:fill="auto"/>
            <w:tcMar>
              <w:top w:w="80" w:type="dxa"/>
              <w:left w:w="80" w:type="dxa"/>
              <w:bottom w:w="80" w:type="dxa"/>
              <w:right w:w="80" w:type="dxa"/>
            </w:tcMar>
          </w:tcPr>
          <w:p w14:paraId="0BC4A6E7"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90.9-111.3%</w:t>
            </w:r>
          </w:p>
        </w:tc>
        <w:tc>
          <w:tcPr>
            <w:tcW w:w="810" w:type="dxa"/>
            <w:shd w:val="clear" w:color="auto" w:fill="auto"/>
            <w:tcMar>
              <w:top w:w="80" w:type="dxa"/>
              <w:left w:w="80" w:type="dxa"/>
              <w:bottom w:w="80" w:type="dxa"/>
              <w:right w:w="80" w:type="dxa"/>
            </w:tcMar>
          </w:tcPr>
          <w:p w14:paraId="12439475"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N/A</w:t>
            </w:r>
          </w:p>
          <w:p w14:paraId="45A30A3F" w14:textId="77777777" w:rsidR="008E41DB" w:rsidRPr="00C2021A" w:rsidRDefault="008E41DB" w:rsidP="00483642">
            <w:pPr>
              <w:spacing w:after="0" w:line="240" w:lineRule="auto"/>
              <w:rPr>
                <w:rFonts w:cs="Arial"/>
                <w:color w:val="auto"/>
                <w:sz w:val="12"/>
                <w:szCs w:val="12"/>
                <w:lang w:val="it-IT"/>
              </w:rPr>
            </w:pPr>
          </w:p>
        </w:tc>
        <w:tc>
          <w:tcPr>
            <w:tcW w:w="900" w:type="dxa"/>
          </w:tcPr>
          <w:p w14:paraId="1ACCE024"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40BF82F8"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0E103F49"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Whole saliva</w:t>
            </w:r>
          </w:p>
        </w:tc>
        <w:tc>
          <w:tcPr>
            <w:tcW w:w="810" w:type="dxa"/>
            <w:shd w:val="clear" w:color="auto" w:fill="auto"/>
            <w:tcMar>
              <w:top w:w="80" w:type="dxa"/>
              <w:left w:w="80" w:type="dxa"/>
              <w:bottom w:w="80" w:type="dxa"/>
              <w:right w:w="80" w:type="dxa"/>
            </w:tcMar>
          </w:tcPr>
          <w:p w14:paraId="2058892C" w14:textId="77777777" w:rsidR="008E41DB" w:rsidRPr="00C2021A" w:rsidRDefault="008E41DB" w:rsidP="00483642">
            <w:pPr>
              <w:spacing w:after="0" w:line="240" w:lineRule="auto"/>
              <w:rPr>
                <w:rFonts w:cs="Arial"/>
                <w:color w:val="auto"/>
                <w:sz w:val="12"/>
                <w:szCs w:val="12"/>
                <w:lang w:val="it-IT"/>
              </w:rPr>
            </w:pPr>
            <w:r w:rsidRPr="00C2021A">
              <w:rPr>
                <w:rFonts w:cs="Arial"/>
                <w:noProof/>
                <w:color w:val="auto"/>
                <w:sz w:val="12"/>
                <w:szCs w:val="12"/>
              </w:rPr>
              <w:t>(Yoo et al. 2020)</w:t>
            </w:r>
          </w:p>
        </w:tc>
      </w:tr>
      <w:tr w:rsidR="00C2021A" w:rsidRPr="00C2021A" w14:paraId="5C97B355" w14:textId="77777777" w:rsidTr="00483642">
        <w:trPr>
          <w:trHeight w:val="207"/>
          <w:jc w:val="center"/>
        </w:trPr>
        <w:tc>
          <w:tcPr>
            <w:tcW w:w="805" w:type="dxa"/>
            <w:shd w:val="clear" w:color="auto" w:fill="auto"/>
            <w:tcMar>
              <w:top w:w="80" w:type="dxa"/>
              <w:left w:w="80" w:type="dxa"/>
              <w:bottom w:w="80" w:type="dxa"/>
              <w:right w:w="80" w:type="dxa"/>
            </w:tcMar>
          </w:tcPr>
          <w:p w14:paraId="483BCCEB"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Nitrite (NIT)</w:t>
            </w:r>
          </w:p>
          <w:p w14:paraId="39312C9D" w14:textId="77777777" w:rsidR="008E41DB" w:rsidRPr="00C2021A" w:rsidRDefault="008E41DB" w:rsidP="00483642">
            <w:pPr>
              <w:spacing w:after="0" w:line="240" w:lineRule="auto"/>
              <w:rPr>
                <w:rFonts w:cs="Arial"/>
                <w:color w:val="auto"/>
                <w:sz w:val="12"/>
                <w:szCs w:val="12"/>
              </w:rPr>
            </w:pPr>
          </w:p>
          <w:p w14:paraId="2E894353" w14:textId="77777777" w:rsidR="008E41DB" w:rsidRPr="00C2021A" w:rsidRDefault="008E41DB" w:rsidP="00483642">
            <w:pPr>
              <w:spacing w:after="0" w:line="240" w:lineRule="auto"/>
              <w:rPr>
                <w:rFonts w:cs="Arial"/>
                <w:color w:val="auto"/>
                <w:sz w:val="12"/>
                <w:szCs w:val="12"/>
              </w:rPr>
            </w:pPr>
          </w:p>
          <w:p w14:paraId="62E89B25" w14:textId="77777777" w:rsidR="008E41DB" w:rsidRPr="00C2021A" w:rsidRDefault="008E41DB" w:rsidP="00483642">
            <w:pPr>
              <w:spacing w:after="0" w:line="240" w:lineRule="auto"/>
              <w:rPr>
                <w:rFonts w:cs="Arial"/>
                <w:color w:val="auto"/>
                <w:sz w:val="12"/>
                <w:szCs w:val="12"/>
              </w:rPr>
            </w:pPr>
          </w:p>
          <w:p w14:paraId="1094CC09" w14:textId="77777777" w:rsidR="008E41DB" w:rsidRPr="00C2021A" w:rsidRDefault="008E41DB" w:rsidP="00483642">
            <w:pPr>
              <w:spacing w:after="0" w:line="240" w:lineRule="auto"/>
              <w:rPr>
                <w:rFonts w:cs="Arial"/>
                <w:color w:val="auto"/>
                <w:sz w:val="12"/>
                <w:szCs w:val="12"/>
                <w:lang w:val="it-IT"/>
              </w:rPr>
            </w:pPr>
          </w:p>
        </w:tc>
        <w:tc>
          <w:tcPr>
            <w:tcW w:w="1170" w:type="dxa"/>
            <w:shd w:val="clear" w:color="auto" w:fill="auto"/>
            <w:tcMar>
              <w:top w:w="80" w:type="dxa"/>
              <w:left w:w="80" w:type="dxa"/>
              <w:bottom w:w="80" w:type="dxa"/>
              <w:right w:w="80" w:type="dxa"/>
            </w:tcMar>
          </w:tcPr>
          <w:p w14:paraId="376436D5"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3D printed polylactic acid containing graphene (G-PLA) electrodes</w:t>
            </w:r>
          </w:p>
        </w:tc>
        <w:tc>
          <w:tcPr>
            <w:tcW w:w="1170" w:type="dxa"/>
            <w:shd w:val="clear" w:color="auto" w:fill="auto"/>
            <w:tcMar>
              <w:top w:w="80" w:type="dxa"/>
              <w:left w:w="80" w:type="dxa"/>
              <w:bottom w:w="80" w:type="dxa"/>
              <w:right w:w="80" w:type="dxa"/>
            </w:tcMar>
          </w:tcPr>
          <w:p w14:paraId="1A9860BF"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DPV</w:t>
            </w:r>
          </w:p>
          <w:p w14:paraId="62C45148"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BIA-MPA</w:t>
            </w:r>
          </w:p>
          <w:p w14:paraId="206F2574"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62FC9500"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BIA-MPA:</w:t>
            </w:r>
          </w:p>
          <w:p w14:paraId="0EED143E"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 xml:space="preserve">0.03 </w:t>
            </w:r>
            <w:r w:rsidRPr="00C2021A">
              <w:rPr>
                <w:rFonts w:cs="Arial"/>
                <w:color w:val="auto"/>
                <w:sz w:val="12"/>
                <w:szCs w:val="12"/>
              </w:rPr>
              <w:t>μ</w:t>
            </w:r>
            <w:r w:rsidRPr="00C2021A">
              <w:rPr>
                <w:rFonts w:cs="Arial"/>
                <w:color w:val="auto"/>
                <w:sz w:val="12"/>
                <w:szCs w:val="12"/>
                <w:lang w:val="it-IT"/>
              </w:rPr>
              <w:t xml:space="preserve">mol/L </w:t>
            </w:r>
          </w:p>
          <w:p w14:paraId="382E4FF0"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DPV:</w:t>
            </w:r>
          </w:p>
          <w:p w14:paraId="63BD739E"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 xml:space="preserve">30 </w:t>
            </w:r>
            <w:r w:rsidRPr="00C2021A">
              <w:rPr>
                <w:rFonts w:cs="Arial"/>
                <w:color w:val="auto"/>
                <w:sz w:val="12"/>
                <w:szCs w:val="12"/>
              </w:rPr>
              <w:t>μ</w:t>
            </w:r>
            <w:r w:rsidRPr="00C2021A">
              <w:rPr>
                <w:rFonts w:cs="Arial"/>
                <w:color w:val="auto"/>
                <w:sz w:val="12"/>
                <w:szCs w:val="12"/>
                <w:lang w:val="it-IT"/>
              </w:rPr>
              <w:t>mol/L</w:t>
            </w:r>
          </w:p>
        </w:tc>
        <w:tc>
          <w:tcPr>
            <w:tcW w:w="1350" w:type="dxa"/>
            <w:shd w:val="clear" w:color="auto" w:fill="auto"/>
            <w:tcMar>
              <w:top w:w="80" w:type="dxa"/>
              <w:left w:w="80" w:type="dxa"/>
              <w:bottom w:w="80" w:type="dxa"/>
              <w:right w:w="80" w:type="dxa"/>
            </w:tcMar>
          </w:tcPr>
          <w:p w14:paraId="76094E89"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BIA-MPA:</w:t>
            </w:r>
          </w:p>
          <w:p w14:paraId="5E16CB50"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 xml:space="preserve">0.5–250 </w:t>
            </w:r>
            <w:r w:rsidRPr="00C2021A">
              <w:rPr>
                <w:rFonts w:cs="Arial"/>
                <w:color w:val="auto"/>
                <w:sz w:val="12"/>
                <w:szCs w:val="12"/>
              </w:rPr>
              <w:t>μ</w:t>
            </w:r>
            <w:r w:rsidRPr="00C2021A">
              <w:rPr>
                <w:rFonts w:cs="Arial"/>
                <w:color w:val="auto"/>
                <w:sz w:val="12"/>
                <w:szCs w:val="12"/>
                <w:lang w:val="it-IT"/>
              </w:rPr>
              <w:t xml:space="preserve">mol/L </w:t>
            </w:r>
          </w:p>
          <w:p w14:paraId="2B82AB7C"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DPV:</w:t>
            </w:r>
          </w:p>
          <w:p w14:paraId="4EF96B58"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lang w:val="it-IT"/>
              </w:rPr>
              <w:t xml:space="preserve">50-1300 </w:t>
            </w:r>
            <w:r w:rsidRPr="00C2021A">
              <w:rPr>
                <w:rFonts w:cs="Arial"/>
                <w:color w:val="auto"/>
                <w:sz w:val="12"/>
                <w:szCs w:val="12"/>
              </w:rPr>
              <w:t>μ</w:t>
            </w:r>
            <w:r w:rsidRPr="00C2021A">
              <w:rPr>
                <w:rFonts w:cs="Arial"/>
                <w:color w:val="auto"/>
                <w:sz w:val="12"/>
                <w:szCs w:val="12"/>
                <w:lang w:val="it-IT"/>
              </w:rPr>
              <w:t>mol/L</w:t>
            </w:r>
          </w:p>
        </w:tc>
        <w:tc>
          <w:tcPr>
            <w:tcW w:w="810" w:type="dxa"/>
            <w:shd w:val="clear" w:color="auto" w:fill="auto"/>
            <w:tcMar>
              <w:top w:w="80" w:type="dxa"/>
              <w:left w:w="80" w:type="dxa"/>
              <w:bottom w:w="80" w:type="dxa"/>
              <w:right w:w="80" w:type="dxa"/>
            </w:tcMar>
          </w:tcPr>
          <w:p w14:paraId="5197EAC1"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lang w:val="it-IT"/>
              </w:rPr>
              <w:t>100 - 110%</w:t>
            </w:r>
          </w:p>
          <w:p w14:paraId="4C15DB82" w14:textId="77777777" w:rsidR="008E41DB" w:rsidRPr="00C2021A" w:rsidRDefault="008E41DB" w:rsidP="00483642">
            <w:pPr>
              <w:spacing w:after="0" w:line="240" w:lineRule="auto"/>
              <w:rPr>
                <w:rFonts w:cs="Arial"/>
                <w:color w:val="auto"/>
                <w:sz w:val="12"/>
                <w:szCs w:val="12"/>
              </w:rPr>
            </w:pPr>
          </w:p>
          <w:p w14:paraId="7D92EB8E" w14:textId="77777777" w:rsidR="008E41DB" w:rsidRPr="00C2021A" w:rsidRDefault="008E41DB" w:rsidP="00483642">
            <w:pPr>
              <w:spacing w:after="0" w:line="240" w:lineRule="auto"/>
              <w:rPr>
                <w:rFonts w:cs="Arial"/>
                <w:color w:val="auto"/>
                <w:sz w:val="12"/>
                <w:szCs w:val="12"/>
              </w:rPr>
            </w:pPr>
          </w:p>
          <w:p w14:paraId="0863A4EB" w14:textId="77777777" w:rsidR="008E41DB" w:rsidRPr="00C2021A" w:rsidRDefault="008E41DB" w:rsidP="00483642">
            <w:pPr>
              <w:spacing w:after="0" w:line="240" w:lineRule="auto"/>
              <w:rPr>
                <w:rFonts w:cs="Arial"/>
                <w:color w:val="auto"/>
                <w:sz w:val="12"/>
                <w:szCs w:val="12"/>
              </w:rPr>
            </w:pPr>
          </w:p>
          <w:p w14:paraId="71BA886F"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1C110BF4"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N/A</w:t>
            </w:r>
          </w:p>
          <w:p w14:paraId="55044C68" w14:textId="77777777" w:rsidR="008E41DB" w:rsidRPr="00C2021A" w:rsidRDefault="008E41DB" w:rsidP="00483642">
            <w:pPr>
              <w:spacing w:after="0" w:line="240" w:lineRule="auto"/>
              <w:rPr>
                <w:rFonts w:cs="Arial"/>
                <w:color w:val="auto"/>
                <w:sz w:val="12"/>
                <w:szCs w:val="12"/>
                <w:lang w:val="it-IT"/>
              </w:rPr>
            </w:pPr>
          </w:p>
          <w:p w14:paraId="20F41789" w14:textId="77777777" w:rsidR="008E41DB" w:rsidRPr="00C2021A" w:rsidRDefault="008E41DB" w:rsidP="00483642">
            <w:pPr>
              <w:spacing w:after="0" w:line="240" w:lineRule="auto"/>
              <w:rPr>
                <w:rFonts w:cs="Arial"/>
                <w:color w:val="auto"/>
                <w:sz w:val="12"/>
                <w:szCs w:val="12"/>
                <w:lang w:val="it-IT"/>
              </w:rPr>
            </w:pPr>
          </w:p>
          <w:p w14:paraId="4F37AFDF" w14:textId="77777777" w:rsidR="008E41DB" w:rsidRPr="00C2021A" w:rsidRDefault="008E41DB" w:rsidP="00483642">
            <w:pPr>
              <w:spacing w:after="0" w:line="240" w:lineRule="auto"/>
              <w:rPr>
                <w:rFonts w:cs="Arial"/>
                <w:color w:val="auto"/>
                <w:sz w:val="12"/>
                <w:szCs w:val="12"/>
                <w:lang w:val="it-IT"/>
              </w:rPr>
            </w:pPr>
          </w:p>
        </w:tc>
        <w:tc>
          <w:tcPr>
            <w:tcW w:w="900" w:type="dxa"/>
          </w:tcPr>
          <w:p w14:paraId="2662D455"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38787DF2"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0184882E"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Dilution</w:t>
            </w:r>
          </w:p>
        </w:tc>
        <w:tc>
          <w:tcPr>
            <w:tcW w:w="810" w:type="dxa"/>
            <w:shd w:val="clear" w:color="auto" w:fill="auto"/>
            <w:tcMar>
              <w:top w:w="80" w:type="dxa"/>
              <w:left w:w="80" w:type="dxa"/>
              <w:bottom w:w="80" w:type="dxa"/>
              <w:right w:w="80" w:type="dxa"/>
            </w:tcMar>
          </w:tcPr>
          <w:p w14:paraId="54690954"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(Cardoso et al. 2020)</w:t>
            </w:r>
          </w:p>
        </w:tc>
      </w:tr>
      <w:tr w:rsidR="00C2021A" w:rsidRPr="00C2021A" w14:paraId="002C24F7" w14:textId="77777777" w:rsidTr="00483642">
        <w:trPr>
          <w:trHeight w:val="17"/>
          <w:jc w:val="center"/>
        </w:trPr>
        <w:tc>
          <w:tcPr>
            <w:tcW w:w="805" w:type="dxa"/>
            <w:shd w:val="clear" w:color="auto" w:fill="auto"/>
            <w:tcMar>
              <w:top w:w="80" w:type="dxa"/>
              <w:left w:w="80" w:type="dxa"/>
              <w:bottom w:w="80" w:type="dxa"/>
              <w:right w:w="80" w:type="dxa"/>
            </w:tcMar>
          </w:tcPr>
          <w:p w14:paraId="42C7A4B0"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Peptide YY (PYY)</w:t>
            </w:r>
          </w:p>
        </w:tc>
        <w:tc>
          <w:tcPr>
            <w:tcW w:w="1170" w:type="dxa"/>
            <w:shd w:val="clear" w:color="auto" w:fill="auto"/>
            <w:tcMar>
              <w:top w:w="80" w:type="dxa"/>
              <w:left w:w="80" w:type="dxa"/>
              <w:bottom w:w="80" w:type="dxa"/>
              <w:right w:w="80" w:type="dxa"/>
            </w:tcMar>
          </w:tcPr>
          <w:p w14:paraId="0005C17E"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anti-PYY-</w:t>
            </w:r>
            <w:proofErr w:type="spellStart"/>
            <w:r w:rsidRPr="00C2021A">
              <w:rPr>
                <w:rFonts w:cs="Arial"/>
                <w:color w:val="auto"/>
                <w:sz w:val="12"/>
                <w:szCs w:val="12"/>
              </w:rPr>
              <w:t>Phe</w:t>
            </w:r>
            <w:proofErr w:type="spellEnd"/>
            <w:r w:rsidRPr="00C2021A">
              <w:rPr>
                <w:rFonts w:cs="Arial"/>
                <w:color w:val="auto"/>
                <w:sz w:val="12"/>
                <w:szCs w:val="12"/>
              </w:rPr>
              <w:t>-</w:t>
            </w:r>
            <w:proofErr w:type="spellStart"/>
            <w:r w:rsidRPr="00C2021A">
              <w:rPr>
                <w:rFonts w:cs="Arial"/>
                <w:color w:val="auto"/>
                <w:sz w:val="12"/>
                <w:szCs w:val="12"/>
              </w:rPr>
              <w:t>rGO</w:t>
            </w:r>
            <w:proofErr w:type="spellEnd"/>
            <w:r w:rsidRPr="00C2021A">
              <w:rPr>
                <w:rFonts w:cs="Arial"/>
                <w:color w:val="auto"/>
                <w:sz w:val="12"/>
                <w:szCs w:val="12"/>
              </w:rPr>
              <w:t>/SPCE</w:t>
            </w:r>
          </w:p>
        </w:tc>
        <w:tc>
          <w:tcPr>
            <w:tcW w:w="1170" w:type="dxa"/>
            <w:shd w:val="clear" w:color="auto" w:fill="auto"/>
            <w:tcMar>
              <w:top w:w="80" w:type="dxa"/>
              <w:left w:w="80" w:type="dxa"/>
              <w:bottom w:w="80" w:type="dxa"/>
              <w:right w:w="80" w:type="dxa"/>
            </w:tcMar>
          </w:tcPr>
          <w:p w14:paraId="77DCB22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lang w:val="it-IT"/>
              </w:rPr>
              <w:t>DPV</w:t>
            </w:r>
          </w:p>
        </w:tc>
        <w:tc>
          <w:tcPr>
            <w:tcW w:w="810" w:type="dxa"/>
            <w:shd w:val="clear" w:color="auto" w:fill="auto"/>
            <w:tcMar>
              <w:top w:w="80" w:type="dxa"/>
              <w:left w:w="80" w:type="dxa"/>
              <w:bottom w:w="80" w:type="dxa"/>
              <w:right w:w="80" w:type="dxa"/>
            </w:tcMar>
          </w:tcPr>
          <w:p w14:paraId="68AC330D"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0.02 pg/mL</w:t>
            </w:r>
            <w:r w:rsidRPr="00C2021A">
              <w:rPr>
                <w:rFonts w:cs="Arial"/>
                <w:color w:val="auto"/>
                <w:sz w:val="12"/>
                <w:szCs w:val="12"/>
                <w:u w:color="0070C0"/>
                <w:vertAlign w:val="superscript"/>
                <w:lang w:val="it-IT"/>
              </w:rPr>
              <w:t>e</w:t>
            </w:r>
          </w:p>
        </w:tc>
        <w:tc>
          <w:tcPr>
            <w:tcW w:w="1350" w:type="dxa"/>
            <w:shd w:val="clear" w:color="auto" w:fill="auto"/>
            <w:tcMar>
              <w:top w:w="80" w:type="dxa"/>
              <w:left w:w="80" w:type="dxa"/>
              <w:bottom w:w="80" w:type="dxa"/>
              <w:right w:w="80" w:type="dxa"/>
            </w:tcMar>
          </w:tcPr>
          <w:p w14:paraId="312F6519"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10</w:t>
            </w:r>
            <w:r w:rsidRPr="00C2021A">
              <w:rPr>
                <w:rFonts w:cs="Arial"/>
                <w:color w:val="auto"/>
                <w:sz w:val="12"/>
                <w:szCs w:val="12"/>
                <w:vertAlign w:val="superscript"/>
                <w:lang w:val="it-IT"/>
              </w:rPr>
              <w:t>-4</w:t>
            </w:r>
            <w:r w:rsidRPr="00C2021A">
              <w:rPr>
                <w:rFonts w:cs="Arial"/>
                <w:color w:val="auto"/>
                <w:sz w:val="12"/>
                <w:szCs w:val="12"/>
                <w:lang w:val="it-IT"/>
              </w:rPr>
              <w:t xml:space="preserve"> - 10 ng/mL</w:t>
            </w:r>
          </w:p>
        </w:tc>
        <w:tc>
          <w:tcPr>
            <w:tcW w:w="810" w:type="dxa"/>
            <w:shd w:val="clear" w:color="auto" w:fill="auto"/>
            <w:tcMar>
              <w:top w:w="80" w:type="dxa"/>
              <w:left w:w="80" w:type="dxa"/>
              <w:bottom w:w="80" w:type="dxa"/>
              <w:right w:w="80" w:type="dxa"/>
            </w:tcMar>
          </w:tcPr>
          <w:p w14:paraId="02462EBA"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lang w:val="it-IT"/>
              </w:rPr>
              <w:t>99%</w:t>
            </w:r>
          </w:p>
        </w:tc>
        <w:tc>
          <w:tcPr>
            <w:tcW w:w="810" w:type="dxa"/>
            <w:shd w:val="clear" w:color="auto" w:fill="auto"/>
            <w:tcMar>
              <w:top w:w="80" w:type="dxa"/>
              <w:left w:w="80" w:type="dxa"/>
              <w:bottom w:w="80" w:type="dxa"/>
              <w:right w:w="80" w:type="dxa"/>
            </w:tcMar>
          </w:tcPr>
          <w:p w14:paraId="597B435A"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ELISA</w:t>
            </w:r>
          </w:p>
          <w:p w14:paraId="68D3ACD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 xml:space="preserve">LOD = 2.84 </w:t>
            </w:r>
            <w:proofErr w:type="spellStart"/>
            <w:r w:rsidRPr="00C2021A">
              <w:rPr>
                <w:rFonts w:cs="Arial"/>
                <w:color w:val="auto"/>
                <w:sz w:val="12"/>
                <w:szCs w:val="12"/>
              </w:rPr>
              <w:t>pg</w:t>
            </w:r>
            <w:proofErr w:type="spellEnd"/>
            <w:r w:rsidRPr="00C2021A">
              <w:rPr>
                <w:rFonts w:cs="Arial"/>
                <w:color w:val="auto"/>
                <w:sz w:val="12"/>
                <w:szCs w:val="12"/>
              </w:rPr>
              <w:t>/mL</w:t>
            </w:r>
          </w:p>
        </w:tc>
        <w:tc>
          <w:tcPr>
            <w:tcW w:w="900" w:type="dxa"/>
          </w:tcPr>
          <w:p w14:paraId="1B9B6A9C"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3455B1B9"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3 µL</w:t>
            </w:r>
          </w:p>
        </w:tc>
        <w:tc>
          <w:tcPr>
            <w:tcW w:w="900" w:type="dxa"/>
          </w:tcPr>
          <w:p w14:paraId="568FD1E2"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810" w:type="dxa"/>
            <w:shd w:val="clear" w:color="auto" w:fill="auto"/>
            <w:tcMar>
              <w:top w:w="80" w:type="dxa"/>
              <w:left w:w="80" w:type="dxa"/>
              <w:bottom w:w="80" w:type="dxa"/>
              <w:right w:w="80" w:type="dxa"/>
            </w:tcMar>
          </w:tcPr>
          <w:p w14:paraId="6673B679" w14:textId="77777777" w:rsidR="008E41DB" w:rsidRPr="00C2021A" w:rsidRDefault="008E41DB" w:rsidP="00483642">
            <w:pPr>
              <w:spacing w:after="0" w:line="240" w:lineRule="auto"/>
              <w:rPr>
                <w:rFonts w:cs="Arial"/>
                <w:color w:val="auto"/>
                <w:sz w:val="12"/>
                <w:szCs w:val="12"/>
                <w:lang w:val="it-IT"/>
              </w:rPr>
            </w:pPr>
            <w:r w:rsidRPr="00C2021A">
              <w:rPr>
                <w:rFonts w:cs="Arial"/>
                <w:noProof/>
                <w:color w:val="auto"/>
                <w:sz w:val="12"/>
                <w:szCs w:val="12"/>
              </w:rPr>
              <w:t>(Martínez-García et al. 2016)</w:t>
            </w:r>
          </w:p>
        </w:tc>
      </w:tr>
      <w:tr w:rsidR="00C2021A" w:rsidRPr="00C2021A" w14:paraId="604F9EE2" w14:textId="77777777" w:rsidTr="00483642">
        <w:trPr>
          <w:trHeight w:val="17"/>
          <w:jc w:val="center"/>
        </w:trPr>
        <w:tc>
          <w:tcPr>
            <w:tcW w:w="805" w:type="dxa"/>
            <w:shd w:val="clear" w:color="auto" w:fill="auto"/>
            <w:tcMar>
              <w:top w:w="80" w:type="dxa"/>
              <w:left w:w="80" w:type="dxa"/>
              <w:bottom w:w="80" w:type="dxa"/>
              <w:right w:w="80" w:type="dxa"/>
            </w:tcMar>
          </w:tcPr>
          <w:p w14:paraId="3892C583"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lang w:val="it-IT"/>
              </w:rPr>
              <w:t>Serotonin</w:t>
            </w:r>
          </w:p>
        </w:tc>
        <w:tc>
          <w:tcPr>
            <w:tcW w:w="1170" w:type="dxa"/>
            <w:shd w:val="clear" w:color="auto" w:fill="auto"/>
            <w:tcMar>
              <w:top w:w="80" w:type="dxa"/>
              <w:left w:w="80" w:type="dxa"/>
              <w:bottom w:w="80" w:type="dxa"/>
              <w:right w:w="80" w:type="dxa"/>
            </w:tcMar>
          </w:tcPr>
          <w:p w14:paraId="71B00BC1"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GO-chitosan modified GSPE</w:t>
            </w:r>
          </w:p>
        </w:tc>
        <w:tc>
          <w:tcPr>
            <w:tcW w:w="1170" w:type="dxa"/>
            <w:shd w:val="clear" w:color="auto" w:fill="auto"/>
            <w:tcMar>
              <w:top w:w="80" w:type="dxa"/>
              <w:left w:w="80" w:type="dxa"/>
              <w:bottom w:w="80" w:type="dxa"/>
              <w:right w:w="80" w:type="dxa"/>
            </w:tcMar>
          </w:tcPr>
          <w:p w14:paraId="09BFD930"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lang w:val="it-IT"/>
              </w:rPr>
              <w:t>DPV</w:t>
            </w:r>
          </w:p>
        </w:tc>
        <w:tc>
          <w:tcPr>
            <w:tcW w:w="810" w:type="dxa"/>
            <w:shd w:val="clear" w:color="auto" w:fill="auto"/>
            <w:tcMar>
              <w:top w:w="80" w:type="dxa"/>
              <w:left w:w="80" w:type="dxa"/>
              <w:bottom w:w="80" w:type="dxa"/>
              <w:right w:w="80" w:type="dxa"/>
            </w:tcMar>
          </w:tcPr>
          <w:p w14:paraId="1FFBB379"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3.2 Nm</w:t>
            </w:r>
          </w:p>
          <w:p w14:paraId="1620E2CE" w14:textId="77777777" w:rsidR="008E41DB" w:rsidRPr="00C2021A" w:rsidRDefault="008E41DB" w:rsidP="00483642">
            <w:pPr>
              <w:spacing w:after="0" w:line="240" w:lineRule="auto"/>
              <w:rPr>
                <w:rFonts w:cs="Arial"/>
                <w:color w:val="auto"/>
                <w:sz w:val="12"/>
                <w:szCs w:val="12"/>
                <w:lang w:val="it-IT"/>
              </w:rPr>
            </w:pPr>
          </w:p>
        </w:tc>
        <w:tc>
          <w:tcPr>
            <w:tcW w:w="1350" w:type="dxa"/>
            <w:shd w:val="clear" w:color="auto" w:fill="auto"/>
            <w:tcMar>
              <w:top w:w="80" w:type="dxa"/>
              <w:left w:w="80" w:type="dxa"/>
              <w:bottom w:w="80" w:type="dxa"/>
              <w:right w:w="80" w:type="dxa"/>
            </w:tcMar>
          </w:tcPr>
          <w:p w14:paraId="06A9B502"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0.01 - 100 µM</w:t>
            </w:r>
          </w:p>
        </w:tc>
        <w:tc>
          <w:tcPr>
            <w:tcW w:w="810" w:type="dxa"/>
            <w:shd w:val="clear" w:color="auto" w:fill="auto"/>
            <w:tcMar>
              <w:top w:w="80" w:type="dxa"/>
              <w:left w:w="80" w:type="dxa"/>
              <w:bottom w:w="80" w:type="dxa"/>
              <w:right w:w="80" w:type="dxa"/>
            </w:tcMar>
          </w:tcPr>
          <w:p w14:paraId="3791BBBC"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104.20%</w:t>
            </w:r>
          </w:p>
          <w:p w14:paraId="6CDBE300" w14:textId="77777777" w:rsidR="008E41DB" w:rsidRPr="00C2021A" w:rsidRDefault="008E41DB" w:rsidP="00483642">
            <w:pPr>
              <w:spacing w:after="0" w:line="240" w:lineRule="auto"/>
              <w:rPr>
                <w:rFonts w:cs="Arial"/>
                <w:color w:val="auto"/>
                <w:sz w:val="12"/>
                <w:szCs w:val="12"/>
              </w:rPr>
            </w:pPr>
          </w:p>
        </w:tc>
        <w:tc>
          <w:tcPr>
            <w:tcW w:w="810" w:type="dxa"/>
            <w:shd w:val="clear" w:color="auto" w:fill="auto"/>
            <w:tcMar>
              <w:top w:w="80" w:type="dxa"/>
              <w:left w:w="80" w:type="dxa"/>
              <w:bottom w:w="80" w:type="dxa"/>
              <w:right w:w="80" w:type="dxa"/>
            </w:tcMar>
          </w:tcPr>
          <w:p w14:paraId="4AA070AF"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N/A</w:t>
            </w:r>
          </w:p>
          <w:p w14:paraId="080FC2D1" w14:textId="77777777" w:rsidR="008E41DB" w:rsidRPr="00C2021A" w:rsidRDefault="008E41DB" w:rsidP="00483642">
            <w:pPr>
              <w:spacing w:after="0" w:line="240" w:lineRule="auto"/>
              <w:rPr>
                <w:rFonts w:cs="Arial"/>
                <w:color w:val="auto"/>
                <w:sz w:val="12"/>
                <w:szCs w:val="12"/>
                <w:lang w:val="it-IT"/>
              </w:rPr>
            </w:pPr>
          </w:p>
        </w:tc>
        <w:tc>
          <w:tcPr>
            <w:tcW w:w="900" w:type="dxa"/>
          </w:tcPr>
          <w:p w14:paraId="5FB18C36"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20 min</w:t>
            </w:r>
          </w:p>
        </w:tc>
        <w:tc>
          <w:tcPr>
            <w:tcW w:w="1170" w:type="dxa"/>
          </w:tcPr>
          <w:p w14:paraId="395CEDFA"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10 µL</w:t>
            </w:r>
          </w:p>
        </w:tc>
        <w:tc>
          <w:tcPr>
            <w:tcW w:w="900" w:type="dxa"/>
          </w:tcPr>
          <w:p w14:paraId="3D225B0C"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810" w:type="dxa"/>
            <w:shd w:val="clear" w:color="auto" w:fill="auto"/>
            <w:tcMar>
              <w:top w:w="80" w:type="dxa"/>
              <w:left w:w="80" w:type="dxa"/>
              <w:bottom w:w="80" w:type="dxa"/>
              <w:right w:w="80" w:type="dxa"/>
            </w:tcMar>
          </w:tcPr>
          <w:p w14:paraId="6A0BC348" w14:textId="77777777" w:rsidR="008E41DB" w:rsidRPr="00C2021A" w:rsidRDefault="008E41DB" w:rsidP="00483642">
            <w:pPr>
              <w:spacing w:after="0" w:line="240" w:lineRule="auto"/>
              <w:rPr>
                <w:rFonts w:cs="Arial"/>
                <w:color w:val="auto"/>
                <w:sz w:val="12"/>
                <w:szCs w:val="12"/>
                <w:lang w:val="it-IT"/>
              </w:rPr>
            </w:pPr>
            <w:r w:rsidRPr="00C2021A">
              <w:rPr>
                <w:rFonts w:cs="Arial"/>
                <w:noProof/>
                <w:color w:val="auto"/>
                <w:sz w:val="12"/>
                <w:szCs w:val="12"/>
              </w:rPr>
              <w:t>(Adumitrăchioaie et al. 2019)</w:t>
            </w:r>
          </w:p>
        </w:tc>
      </w:tr>
      <w:tr w:rsidR="00C2021A" w:rsidRPr="00C2021A" w14:paraId="6378EFF7" w14:textId="77777777" w:rsidTr="00483642">
        <w:trPr>
          <w:trHeight w:val="549"/>
          <w:jc w:val="center"/>
        </w:trPr>
        <w:tc>
          <w:tcPr>
            <w:tcW w:w="805" w:type="dxa"/>
            <w:shd w:val="clear" w:color="auto" w:fill="auto"/>
            <w:tcMar>
              <w:top w:w="80" w:type="dxa"/>
              <w:left w:w="80" w:type="dxa"/>
              <w:bottom w:w="80" w:type="dxa"/>
              <w:right w:w="80" w:type="dxa"/>
            </w:tcMar>
          </w:tcPr>
          <w:p w14:paraId="698F3C5C"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rPr>
              <w:t>Uric acid (UA)</w:t>
            </w:r>
          </w:p>
        </w:tc>
        <w:tc>
          <w:tcPr>
            <w:tcW w:w="1170" w:type="dxa"/>
            <w:shd w:val="clear" w:color="auto" w:fill="auto"/>
            <w:tcMar>
              <w:top w:w="80" w:type="dxa"/>
              <w:left w:w="80" w:type="dxa"/>
              <w:bottom w:w="80" w:type="dxa"/>
              <w:right w:w="80" w:type="dxa"/>
            </w:tcMar>
          </w:tcPr>
          <w:p w14:paraId="370B83B8"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3D printed polylactic acid containing graphene (G-PLA) electrodes</w:t>
            </w:r>
          </w:p>
        </w:tc>
        <w:tc>
          <w:tcPr>
            <w:tcW w:w="1170" w:type="dxa"/>
            <w:shd w:val="clear" w:color="auto" w:fill="auto"/>
            <w:tcMar>
              <w:top w:w="80" w:type="dxa"/>
              <w:left w:w="80" w:type="dxa"/>
              <w:bottom w:w="80" w:type="dxa"/>
              <w:right w:w="80" w:type="dxa"/>
            </w:tcMar>
          </w:tcPr>
          <w:p w14:paraId="4FC8EBB5"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lang w:val="it-IT"/>
              </w:rPr>
              <w:t>DPV</w:t>
            </w:r>
          </w:p>
          <w:p w14:paraId="6A074BA1"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lang w:val="it-IT"/>
              </w:rPr>
              <w:t>BIA-MPA</w:t>
            </w:r>
          </w:p>
        </w:tc>
        <w:tc>
          <w:tcPr>
            <w:tcW w:w="810" w:type="dxa"/>
            <w:shd w:val="clear" w:color="auto" w:fill="auto"/>
            <w:tcMar>
              <w:top w:w="80" w:type="dxa"/>
              <w:left w:w="80" w:type="dxa"/>
              <w:bottom w:w="80" w:type="dxa"/>
              <w:right w:w="80" w:type="dxa"/>
            </w:tcMar>
          </w:tcPr>
          <w:p w14:paraId="34ED4744"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BIA-MPA:</w:t>
            </w:r>
          </w:p>
          <w:p w14:paraId="0DD3C523"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 xml:space="preserve">0.02 </w:t>
            </w:r>
            <w:r w:rsidRPr="00C2021A">
              <w:rPr>
                <w:rFonts w:cs="Arial"/>
                <w:color w:val="auto"/>
                <w:sz w:val="12"/>
                <w:szCs w:val="12"/>
              </w:rPr>
              <w:t>μ</w:t>
            </w:r>
            <w:r w:rsidRPr="00C2021A">
              <w:rPr>
                <w:rFonts w:cs="Arial"/>
                <w:color w:val="auto"/>
                <w:sz w:val="12"/>
                <w:szCs w:val="12"/>
                <w:lang w:val="it-IT"/>
              </w:rPr>
              <w:t>mol/L</w:t>
            </w:r>
          </w:p>
          <w:p w14:paraId="103E837E"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DPV:</w:t>
            </w:r>
          </w:p>
          <w:p w14:paraId="49473FF4"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 xml:space="preserve">0.5 </w:t>
            </w:r>
            <w:r w:rsidRPr="00C2021A">
              <w:rPr>
                <w:rFonts w:cs="Arial"/>
                <w:color w:val="auto"/>
                <w:sz w:val="12"/>
                <w:szCs w:val="12"/>
              </w:rPr>
              <w:t>μ</w:t>
            </w:r>
            <w:r w:rsidRPr="00C2021A">
              <w:rPr>
                <w:rFonts w:cs="Arial"/>
                <w:color w:val="auto"/>
                <w:sz w:val="12"/>
                <w:szCs w:val="12"/>
                <w:lang w:val="it-IT"/>
              </w:rPr>
              <w:t>mol/L</w:t>
            </w:r>
          </w:p>
        </w:tc>
        <w:tc>
          <w:tcPr>
            <w:tcW w:w="1350" w:type="dxa"/>
            <w:shd w:val="clear" w:color="auto" w:fill="auto"/>
            <w:tcMar>
              <w:top w:w="80" w:type="dxa"/>
              <w:left w:w="80" w:type="dxa"/>
              <w:bottom w:w="80" w:type="dxa"/>
              <w:right w:w="80" w:type="dxa"/>
            </w:tcMar>
          </w:tcPr>
          <w:p w14:paraId="4D6D62E9"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BIA-MPA:</w:t>
            </w:r>
          </w:p>
          <w:p w14:paraId="7878545D"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 xml:space="preserve">0.5–250 </w:t>
            </w:r>
            <w:r w:rsidRPr="00C2021A">
              <w:rPr>
                <w:rFonts w:cs="Arial"/>
                <w:color w:val="auto"/>
                <w:sz w:val="12"/>
                <w:szCs w:val="12"/>
              </w:rPr>
              <w:t>μ</w:t>
            </w:r>
            <w:r w:rsidRPr="00C2021A">
              <w:rPr>
                <w:rFonts w:cs="Arial"/>
                <w:color w:val="auto"/>
                <w:sz w:val="12"/>
                <w:szCs w:val="12"/>
                <w:lang w:val="it-IT"/>
              </w:rPr>
              <w:t>mol/L</w:t>
            </w:r>
          </w:p>
          <w:p w14:paraId="3B497E2E"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DPV:</w:t>
            </w:r>
          </w:p>
          <w:p w14:paraId="0D7A7112" w14:textId="77777777" w:rsidR="008E41DB" w:rsidRPr="00C2021A" w:rsidRDefault="008E41DB" w:rsidP="00483642">
            <w:pPr>
              <w:spacing w:after="0" w:line="240" w:lineRule="auto"/>
              <w:rPr>
                <w:rFonts w:cs="Arial"/>
                <w:color w:val="auto"/>
                <w:sz w:val="12"/>
                <w:szCs w:val="12"/>
                <w:lang w:val="it-IT"/>
              </w:rPr>
            </w:pPr>
            <w:r w:rsidRPr="00C2021A">
              <w:rPr>
                <w:rFonts w:cs="Arial"/>
                <w:color w:val="auto"/>
                <w:sz w:val="12"/>
                <w:szCs w:val="12"/>
                <w:lang w:val="it-IT"/>
              </w:rPr>
              <w:t xml:space="preserve">10-70 </w:t>
            </w:r>
            <w:r w:rsidRPr="00C2021A">
              <w:rPr>
                <w:rFonts w:cs="Arial"/>
                <w:color w:val="auto"/>
                <w:sz w:val="12"/>
                <w:szCs w:val="12"/>
              </w:rPr>
              <w:t>μ</w:t>
            </w:r>
            <w:r w:rsidRPr="00C2021A">
              <w:rPr>
                <w:rFonts w:cs="Arial"/>
                <w:color w:val="auto"/>
                <w:sz w:val="12"/>
                <w:szCs w:val="12"/>
                <w:lang w:val="it-IT"/>
              </w:rPr>
              <w:t>mol/L</w:t>
            </w:r>
          </w:p>
        </w:tc>
        <w:tc>
          <w:tcPr>
            <w:tcW w:w="810" w:type="dxa"/>
            <w:shd w:val="clear" w:color="auto" w:fill="auto"/>
            <w:tcMar>
              <w:top w:w="80" w:type="dxa"/>
              <w:left w:w="80" w:type="dxa"/>
              <w:bottom w:w="80" w:type="dxa"/>
              <w:right w:w="80" w:type="dxa"/>
            </w:tcMar>
          </w:tcPr>
          <w:p w14:paraId="2D508885"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120%</w:t>
            </w:r>
          </w:p>
        </w:tc>
        <w:tc>
          <w:tcPr>
            <w:tcW w:w="810" w:type="dxa"/>
            <w:shd w:val="clear" w:color="auto" w:fill="auto"/>
            <w:tcMar>
              <w:top w:w="80" w:type="dxa"/>
              <w:left w:w="80" w:type="dxa"/>
              <w:bottom w:w="80" w:type="dxa"/>
              <w:right w:w="80" w:type="dxa"/>
            </w:tcMar>
          </w:tcPr>
          <w:p w14:paraId="05922D03" w14:textId="77777777" w:rsidR="008E41DB" w:rsidRPr="00C2021A" w:rsidRDefault="008E41DB" w:rsidP="00483642">
            <w:pPr>
              <w:spacing w:after="0" w:line="240" w:lineRule="auto"/>
              <w:rPr>
                <w:rFonts w:cs="Arial"/>
                <w:color w:val="auto"/>
                <w:sz w:val="12"/>
                <w:szCs w:val="12"/>
              </w:rPr>
            </w:pPr>
            <w:r w:rsidRPr="00C2021A">
              <w:rPr>
                <w:rFonts w:cs="Arial"/>
                <w:color w:val="auto"/>
                <w:sz w:val="12"/>
                <w:szCs w:val="12"/>
              </w:rPr>
              <w:t>N/A</w:t>
            </w:r>
          </w:p>
        </w:tc>
        <w:tc>
          <w:tcPr>
            <w:tcW w:w="900" w:type="dxa"/>
          </w:tcPr>
          <w:p w14:paraId="53D585A2"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1170" w:type="dxa"/>
          </w:tcPr>
          <w:p w14:paraId="417484DF"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N/A</w:t>
            </w:r>
          </w:p>
        </w:tc>
        <w:tc>
          <w:tcPr>
            <w:tcW w:w="900" w:type="dxa"/>
          </w:tcPr>
          <w:p w14:paraId="2E1A43DE" w14:textId="77777777" w:rsidR="008E41DB" w:rsidRPr="00C2021A" w:rsidRDefault="008E41DB" w:rsidP="00483642">
            <w:pPr>
              <w:spacing w:after="0" w:line="240" w:lineRule="auto"/>
              <w:rPr>
                <w:rFonts w:cs="Arial"/>
                <w:noProof/>
                <w:color w:val="auto"/>
                <w:sz w:val="12"/>
                <w:szCs w:val="12"/>
              </w:rPr>
            </w:pPr>
            <w:r w:rsidRPr="00C2021A">
              <w:rPr>
                <w:rFonts w:cs="Arial"/>
                <w:noProof/>
                <w:color w:val="auto"/>
                <w:sz w:val="12"/>
                <w:szCs w:val="12"/>
              </w:rPr>
              <w:t>Dilution</w:t>
            </w:r>
          </w:p>
        </w:tc>
        <w:tc>
          <w:tcPr>
            <w:tcW w:w="810" w:type="dxa"/>
            <w:shd w:val="clear" w:color="auto" w:fill="auto"/>
            <w:tcMar>
              <w:top w:w="80" w:type="dxa"/>
              <w:left w:w="80" w:type="dxa"/>
              <w:bottom w:w="80" w:type="dxa"/>
              <w:right w:w="80" w:type="dxa"/>
            </w:tcMar>
          </w:tcPr>
          <w:p w14:paraId="40AA61DB" w14:textId="77777777" w:rsidR="008E41DB" w:rsidRPr="00C2021A" w:rsidRDefault="008E41DB" w:rsidP="00483642">
            <w:pPr>
              <w:spacing w:after="0" w:line="240" w:lineRule="auto"/>
              <w:rPr>
                <w:rFonts w:cs="Arial"/>
                <w:color w:val="auto"/>
                <w:sz w:val="12"/>
                <w:szCs w:val="12"/>
              </w:rPr>
            </w:pPr>
            <w:r w:rsidRPr="00C2021A">
              <w:rPr>
                <w:rFonts w:cs="Arial"/>
                <w:noProof/>
                <w:color w:val="auto"/>
                <w:sz w:val="12"/>
                <w:szCs w:val="12"/>
              </w:rPr>
              <w:t>(Cardoso et al. 2020)</w:t>
            </w:r>
          </w:p>
        </w:tc>
      </w:tr>
    </w:tbl>
    <w:p w14:paraId="319AB5AA" w14:textId="77777777" w:rsidR="008E41DB" w:rsidRPr="00C2021A" w:rsidRDefault="008E41DB" w:rsidP="008E41DB">
      <w:pPr>
        <w:spacing w:after="0" w:line="240" w:lineRule="auto"/>
        <w:jc w:val="both"/>
        <w:rPr>
          <w:rFonts w:cs="Arial"/>
          <w:color w:val="auto"/>
        </w:rPr>
      </w:pPr>
      <w:r w:rsidRPr="00C2021A">
        <w:rPr>
          <w:rFonts w:cs="Arial"/>
          <w:color w:val="auto"/>
          <w:u w:color="0070C0"/>
          <w:vertAlign w:val="superscript"/>
        </w:rPr>
        <w:t>a</w:t>
      </w:r>
      <w:r w:rsidRPr="00C2021A">
        <w:rPr>
          <w:rFonts w:cs="Arial"/>
          <w:color w:val="auto"/>
        </w:rPr>
        <w:t xml:space="preserve"> S/N = 3, otherwise differently specified</w:t>
      </w:r>
    </w:p>
    <w:p w14:paraId="173819EB" w14:textId="77777777" w:rsidR="008E41DB" w:rsidRPr="00C2021A" w:rsidRDefault="008E41DB" w:rsidP="008E41DB">
      <w:pPr>
        <w:spacing w:after="0" w:line="240" w:lineRule="auto"/>
        <w:jc w:val="both"/>
        <w:rPr>
          <w:rFonts w:cs="Arial"/>
          <w:color w:val="auto"/>
        </w:rPr>
      </w:pPr>
      <w:r w:rsidRPr="00C2021A">
        <w:rPr>
          <w:rFonts w:cs="Arial"/>
          <w:color w:val="auto"/>
          <w:u w:color="0070C0"/>
          <w:vertAlign w:val="superscript"/>
        </w:rPr>
        <w:t>b</w:t>
      </w:r>
      <w:r w:rsidRPr="00C2021A">
        <w:rPr>
          <w:rFonts w:cs="Arial"/>
          <w:color w:val="auto"/>
        </w:rPr>
        <w:t xml:space="preserve"> values obtained in real saliva samples, otherwise differently </w:t>
      </w:r>
      <w:proofErr w:type="gramStart"/>
      <w:r w:rsidRPr="00C2021A">
        <w:rPr>
          <w:rFonts w:cs="Arial"/>
          <w:color w:val="auto"/>
        </w:rPr>
        <w:t>specified</w:t>
      </w:r>
      <w:proofErr w:type="gramEnd"/>
      <w:r w:rsidRPr="00C2021A">
        <w:rPr>
          <w:rFonts w:cs="Arial"/>
          <w:color w:val="auto"/>
        </w:rPr>
        <w:t xml:space="preserve"> </w:t>
      </w:r>
    </w:p>
    <w:p w14:paraId="5E471A12" w14:textId="77777777" w:rsidR="008E41DB" w:rsidRPr="00C2021A" w:rsidRDefault="008E41DB" w:rsidP="008E41DB">
      <w:pPr>
        <w:spacing w:after="0" w:line="240" w:lineRule="auto"/>
        <w:jc w:val="both"/>
        <w:rPr>
          <w:rFonts w:cs="Arial"/>
          <w:color w:val="auto"/>
          <w:lang w:val="it-IT"/>
        </w:rPr>
      </w:pPr>
      <w:r w:rsidRPr="00C2021A">
        <w:rPr>
          <w:rFonts w:cs="Arial"/>
          <w:color w:val="auto"/>
          <w:u w:color="0070C0"/>
          <w:vertAlign w:val="superscript"/>
          <w:lang w:val="it-IT"/>
        </w:rPr>
        <w:t>c</w:t>
      </w:r>
      <w:r w:rsidRPr="00C2021A">
        <w:rPr>
          <w:rFonts w:cs="Arial"/>
          <w:color w:val="auto"/>
          <w:lang w:val="it-IT"/>
        </w:rPr>
        <w:t xml:space="preserve"> in saliva</w:t>
      </w:r>
    </w:p>
    <w:p w14:paraId="68C00C3D" w14:textId="77777777" w:rsidR="008E41DB" w:rsidRPr="00C2021A" w:rsidRDefault="008E41DB" w:rsidP="008E41DB">
      <w:pPr>
        <w:spacing w:after="0" w:line="240" w:lineRule="auto"/>
        <w:jc w:val="both"/>
        <w:rPr>
          <w:rFonts w:cs="Arial"/>
          <w:color w:val="auto"/>
          <w:lang w:val="it-IT"/>
        </w:rPr>
      </w:pPr>
      <w:r w:rsidRPr="00C2021A">
        <w:rPr>
          <w:rFonts w:cs="Arial"/>
          <w:color w:val="auto"/>
          <w:u w:color="0070C0"/>
          <w:vertAlign w:val="superscript"/>
          <w:lang w:val="it-IT"/>
        </w:rPr>
        <w:t>d</w:t>
      </w:r>
      <w:r w:rsidRPr="00C2021A">
        <w:rPr>
          <w:rFonts w:cs="Arial"/>
          <w:color w:val="auto"/>
          <w:lang w:val="it-IT"/>
        </w:rPr>
        <w:t xml:space="preserve"> in buffer</w:t>
      </w:r>
    </w:p>
    <w:p w14:paraId="2AA268FD" w14:textId="77777777" w:rsidR="008E41DB" w:rsidRPr="00C2021A" w:rsidRDefault="008E41DB" w:rsidP="008E41DB">
      <w:pPr>
        <w:spacing w:after="0" w:line="240" w:lineRule="auto"/>
        <w:jc w:val="both"/>
        <w:rPr>
          <w:rFonts w:cs="Arial"/>
          <w:color w:val="auto"/>
        </w:rPr>
      </w:pPr>
      <w:r w:rsidRPr="00C2021A">
        <w:rPr>
          <w:rFonts w:cs="Arial"/>
          <w:color w:val="auto"/>
          <w:u w:color="0070C0"/>
          <w:vertAlign w:val="superscript"/>
        </w:rPr>
        <w:t>e</w:t>
      </w:r>
      <w:r w:rsidRPr="00C2021A">
        <w:rPr>
          <w:rFonts w:cs="Arial"/>
          <w:color w:val="auto"/>
        </w:rPr>
        <w:t xml:space="preserve"> S/N = 2</w:t>
      </w:r>
    </w:p>
    <w:p w14:paraId="33A269CF" w14:textId="77777777" w:rsidR="008E41DB" w:rsidRPr="00C2021A" w:rsidRDefault="008E41DB" w:rsidP="008E41DB">
      <w:pPr>
        <w:spacing w:after="0" w:line="240" w:lineRule="auto"/>
        <w:jc w:val="both"/>
        <w:rPr>
          <w:rFonts w:cs="Arial"/>
          <w:color w:val="auto"/>
        </w:rPr>
      </w:pPr>
    </w:p>
    <w:p w14:paraId="78C1F101" w14:textId="77777777" w:rsidR="008E41DB" w:rsidRPr="00C2021A" w:rsidRDefault="008E41DB" w:rsidP="008E41DB">
      <w:pPr>
        <w:spacing w:after="0" w:line="240" w:lineRule="auto"/>
        <w:jc w:val="both"/>
        <w:rPr>
          <w:rFonts w:cs="Arial"/>
          <w:color w:val="auto"/>
        </w:rPr>
      </w:pPr>
    </w:p>
    <w:p w14:paraId="4347A627" w14:textId="77777777" w:rsidR="008E41DB" w:rsidRPr="00C2021A" w:rsidRDefault="008E41DB" w:rsidP="008E41DB">
      <w:pPr>
        <w:rPr>
          <w:color w:val="auto"/>
        </w:rPr>
      </w:pPr>
    </w:p>
    <w:p w14:paraId="596CC3D6" w14:textId="77777777" w:rsidR="00154DB5" w:rsidRPr="00C2021A" w:rsidRDefault="00154DB5" w:rsidP="00041DBE">
      <w:pPr>
        <w:spacing w:after="0" w:line="240" w:lineRule="auto"/>
        <w:jc w:val="both"/>
        <w:rPr>
          <w:rFonts w:cs="Arial"/>
          <w:color w:val="auto"/>
        </w:rPr>
      </w:pPr>
    </w:p>
    <w:sectPr w:rsidR="00154DB5" w:rsidRPr="00C2021A">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5EF8E9" w14:textId="77777777" w:rsidR="00F663CA" w:rsidRDefault="00F663CA">
      <w:pPr>
        <w:spacing w:after="0" w:line="240" w:lineRule="auto"/>
      </w:pPr>
      <w:r>
        <w:separator/>
      </w:r>
    </w:p>
  </w:endnote>
  <w:endnote w:type="continuationSeparator" w:id="0">
    <w:p w14:paraId="0CEB06EA" w14:textId="77777777" w:rsidR="00F663CA" w:rsidRDefault="00F66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99381527"/>
      <w:docPartObj>
        <w:docPartGallery w:val="Page Numbers (Bottom of Page)"/>
        <w:docPartUnique/>
      </w:docPartObj>
    </w:sdtPr>
    <w:sdtEndPr>
      <w:rPr>
        <w:rStyle w:val="PageNumber"/>
      </w:rPr>
    </w:sdtEndPr>
    <w:sdtContent>
      <w:p w14:paraId="12894C92" w14:textId="77777777" w:rsidR="00D818AF" w:rsidRDefault="00154DB5" w:rsidP="00DF03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4B3AC8" w14:textId="77777777" w:rsidR="00D818AF" w:rsidRDefault="00F663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76497466"/>
      <w:docPartObj>
        <w:docPartGallery w:val="Page Numbers (Bottom of Page)"/>
        <w:docPartUnique/>
      </w:docPartObj>
    </w:sdtPr>
    <w:sdtEndPr>
      <w:rPr>
        <w:rStyle w:val="PageNumber"/>
      </w:rPr>
    </w:sdtEndPr>
    <w:sdtContent>
      <w:p w14:paraId="55D9C389" w14:textId="13A4677D" w:rsidR="00D818AF" w:rsidRDefault="00154DB5" w:rsidP="00DF03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70126">
          <w:rPr>
            <w:rStyle w:val="PageNumber"/>
            <w:noProof/>
          </w:rPr>
          <w:t>18</w:t>
        </w:r>
        <w:r>
          <w:rPr>
            <w:rStyle w:val="PageNumber"/>
          </w:rPr>
          <w:fldChar w:fldCharType="end"/>
        </w:r>
      </w:p>
    </w:sdtContent>
  </w:sdt>
  <w:p w14:paraId="1E2F39F6" w14:textId="77777777" w:rsidR="00D818AF" w:rsidRDefault="00F663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AA1238" w14:textId="77777777" w:rsidR="00F663CA" w:rsidRDefault="00F663CA">
      <w:pPr>
        <w:spacing w:after="0" w:line="240" w:lineRule="auto"/>
      </w:pPr>
      <w:r>
        <w:separator/>
      </w:r>
    </w:p>
  </w:footnote>
  <w:footnote w:type="continuationSeparator" w:id="0">
    <w:p w14:paraId="13DB8071" w14:textId="77777777" w:rsidR="00F663CA" w:rsidRDefault="00F663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1037F"/>
    <w:multiLevelType w:val="hybridMultilevel"/>
    <w:tmpl w:val="12C6AAF4"/>
    <w:lvl w:ilvl="0" w:tplc="66066376">
      <w:numFmt w:val="bullet"/>
      <w:lvlText w:val="-"/>
      <w:lvlJc w:val="left"/>
      <w:pPr>
        <w:ind w:left="720" w:hanging="360"/>
      </w:pPr>
      <w:rPr>
        <w:rFonts w:ascii="Arial" w:eastAsia="Arial Unicode MS"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A6A8A"/>
    <w:multiLevelType w:val="hybridMultilevel"/>
    <w:tmpl w:val="F3FE2038"/>
    <w:styleLink w:val="Stileimportato4"/>
    <w:lvl w:ilvl="0" w:tplc="68FCE8A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2372340A">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6AAEBEE">
      <w:start w:val="1"/>
      <w:numFmt w:val="lowerRoman"/>
      <w:lvlText w:val="%3."/>
      <w:lvlJc w:val="left"/>
      <w:pPr>
        <w:ind w:left="2160" w:hanging="291"/>
      </w:pPr>
      <w:rPr>
        <w:rFonts w:hAnsi="Arial Unicode MS"/>
        <w:caps w:val="0"/>
        <w:smallCaps w:val="0"/>
        <w:strike w:val="0"/>
        <w:dstrike w:val="0"/>
        <w:outline w:val="0"/>
        <w:emboss w:val="0"/>
        <w:imprint w:val="0"/>
        <w:spacing w:val="0"/>
        <w:w w:val="100"/>
        <w:kern w:val="0"/>
        <w:position w:val="0"/>
        <w:highlight w:val="none"/>
        <w:vertAlign w:val="baseline"/>
      </w:rPr>
    </w:lvl>
    <w:lvl w:ilvl="3" w:tplc="C84ED4A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EDE282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D0A2898">
      <w:start w:val="1"/>
      <w:numFmt w:val="lowerRoman"/>
      <w:lvlText w:val="%6."/>
      <w:lvlJc w:val="left"/>
      <w:pPr>
        <w:ind w:left="4320" w:hanging="291"/>
      </w:pPr>
      <w:rPr>
        <w:rFonts w:hAnsi="Arial Unicode MS"/>
        <w:caps w:val="0"/>
        <w:smallCaps w:val="0"/>
        <w:strike w:val="0"/>
        <w:dstrike w:val="0"/>
        <w:outline w:val="0"/>
        <w:emboss w:val="0"/>
        <w:imprint w:val="0"/>
        <w:spacing w:val="0"/>
        <w:w w:val="100"/>
        <w:kern w:val="0"/>
        <w:position w:val="0"/>
        <w:highlight w:val="none"/>
        <w:vertAlign w:val="baseline"/>
      </w:rPr>
    </w:lvl>
    <w:lvl w:ilvl="6" w:tplc="D4BA94D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EA412C4">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6B66F80">
      <w:start w:val="1"/>
      <w:numFmt w:val="lowerRoman"/>
      <w:lvlText w:val="%9."/>
      <w:lvlJc w:val="left"/>
      <w:pPr>
        <w:ind w:left="6480" w:hanging="29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6D81507"/>
    <w:multiLevelType w:val="hybridMultilevel"/>
    <w:tmpl w:val="57E090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0019E4"/>
    <w:multiLevelType w:val="hybridMultilevel"/>
    <w:tmpl w:val="93349EE8"/>
    <w:lvl w:ilvl="0" w:tplc="0422F6E0">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EA08B9"/>
    <w:multiLevelType w:val="multilevel"/>
    <w:tmpl w:val="D01AF5D4"/>
    <w:lvl w:ilvl="0">
      <w:start w:val="4"/>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5" w15:restartNumberingAfterBreak="0">
    <w:nsid w:val="2AA949A1"/>
    <w:multiLevelType w:val="multilevel"/>
    <w:tmpl w:val="D01AF5D4"/>
    <w:lvl w:ilvl="0">
      <w:start w:val="4"/>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6" w15:restartNumberingAfterBreak="0">
    <w:nsid w:val="30102595"/>
    <w:multiLevelType w:val="multilevel"/>
    <w:tmpl w:val="D760223C"/>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DBA37F0"/>
    <w:multiLevelType w:val="hybridMultilevel"/>
    <w:tmpl w:val="A260B83A"/>
    <w:lvl w:ilvl="0" w:tplc="95349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C33FF"/>
    <w:multiLevelType w:val="multilevel"/>
    <w:tmpl w:val="F1226C4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D0278B4"/>
    <w:multiLevelType w:val="multilevel"/>
    <w:tmpl w:val="D55CC1AA"/>
    <w:styleLink w:val="Stileimportato1"/>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536A3DDD"/>
    <w:multiLevelType w:val="multilevel"/>
    <w:tmpl w:val="3EB02F20"/>
    <w:numStyleLink w:val="Stileimportato2"/>
  </w:abstractNum>
  <w:abstractNum w:abstractNumId="11" w15:restartNumberingAfterBreak="0">
    <w:nsid w:val="544823FD"/>
    <w:multiLevelType w:val="multilevel"/>
    <w:tmpl w:val="A2AC3EA8"/>
    <w:lvl w:ilvl="0">
      <w:start w:val="1"/>
      <w:numFmt w:val="decimal"/>
      <w:lvlText w:val="%1."/>
      <w:lvlJc w:val="left"/>
      <w:pPr>
        <w:ind w:left="262" w:hanging="26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2.%3."/>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2.%3.%4."/>
      <w:lvlJc w:val="left"/>
      <w:pPr>
        <w:ind w:left="720" w:hanging="7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2.%3.%4.%5."/>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2.%3.%4.%5.%6."/>
      <w:lvlJc w:val="left"/>
      <w:pPr>
        <w:ind w:left="1080" w:hanging="108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2.%3.%4.%5.%6.%7."/>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2.%3.%4.%5.%6.%7.%8."/>
      <w:lvlJc w:val="left"/>
      <w:pPr>
        <w:ind w:left="144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2.%3.%4.%5.%6.%7.%8.%9."/>
      <w:lvlJc w:val="left"/>
      <w:pPr>
        <w:ind w:left="1800" w:hanging="18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5F870743"/>
    <w:multiLevelType w:val="hybridMultilevel"/>
    <w:tmpl w:val="F3FE2038"/>
    <w:numStyleLink w:val="Stileimportato4"/>
  </w:abstractNum>
  <w:abstractNum w:abstractNumId="13" w15:restartNumberingAfterBreak="0">
    <w:nsid w:val="61ED0EF6"/>
    <w:multiLevelType w:val="multilevel"/>
    <w:tmpl w:val="D55CC1AA"/>
    <w:numStyleLink w:val="Stileimportato1"/>
  </w:abstractNum>
  <w:abstractNum w:abstractNumId="14" w15:restartNumberingAfterBreak="0">
    <w:nsid w:val="620114EE"/>
    <w:multiLevelType w:val="hybridMultilevel"/>
    <w:tmpl w:val="6660F222"/>
    <w:lvl w:ilvl="0" w:tplc="170A2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E51A49"/>
    <w:multiLevelType w:val="multilevel"/>
    <w:tmpl w:val="3EB02F20"/>
    <w:styleLink w:val="Stileimportato2"/>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728" w:hanging="648"/>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232" w:hanging="79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736" w:hanging="936"/>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24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3744" w:hanging="1224"/>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320" w:hanging="144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6F6838EF"/>
    <w:multiLevelType w:val="multilevel"/>
    <w:tmpl w:val="D01AF5D4"/>
    <w:lvl w:ilvl="0">
      <w:start w:val="4"/>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num w:numId="1">
    <w:abstractNumId w:val="9"/>
  </w:num>
  <w:num w:numId="2">
    <w:abstractNumId w:val="13"/>
  </w:num>
  <w:num w:numId="3">
    <w:abstractNumId w:val="13"/>
    <w:lvlOverride w:ilvl="0">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tabs>
            <w:tab w:val="left" w:pos="1440"/>
          </w:tabs>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1440"/>
          </w:tabs>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144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1440"/>
          </w:tabs>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1440"/>
          </w:tabs>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1440"/>
          </w:tabs>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1440"/>
          </w:tabs>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1440"/>
          </w:tabs>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13"/>
    <w:lvlOverride w:ilvl="0">
      <w:lvl w:ilvl="0">
        <w:start w:val="1"/>
        <w:numFmt w:val="decimal"/>
        <w:lvlText w:val="%1."/>
        <w:lvlJc w:val="left"/>
        <w:pPr>
          <w:tabs>
            <w:tab w:val="left" w:pos="72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tabs>
            <w:tab w:val="left" w:pos="720"/>
          </w:tabs>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tabs>
            <w:tab w:val="left" w:pos="720"/>
          </w:tabs>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tabs>
            <w:tab w:val="left" w:pos="720"/>
          </w:tabs>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tabs>
            <w:tab w:val="left" w:pos="720"/>
          </w:tabs>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tabs>
            <w:tab w:val="left" w:pos="720"/>
          </w:tabs>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tabs>
            <w:tab w:val="left" w:pos="720"/>
          </w:tabs>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tabs>
            <w:tab w:val="left" w:pos="720"/>
          </w:tabs>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5">
    <w:abstractNumId w:val="15"/>
  </w:num>
  <w:num w:numId="6">
    <w:abstractNumId w:val="10"/>
    <w:lvlOverride w:ilvl="0"/>
  </w:num>
  <w:num w:numId="7">
    <w:abstractNumId w:val="11"/>
  </w:num>
  <w:num w:numId="8">
    <w:abstractNumId w:val="10"/>
    <w:lvlOverride w:ilvl="0"/>
  </w:num>
  <w:num w:numId="9">
    <w:abstractNumId w:val="10"/>
    <w:lvlOverride w:ilvl="0">
      <w:startOverride w:val="3"/>
    </w:lvlOverride>
  </w:num>
  <w:num w:numId="10">
    <w:abstractNumId w:val="10"/>
    <w:lvlOverride w:ilvl="0">
      <w:startOverride w:val="4"/>
    </w:lvlOverride>
  </w:num>
  <w:num w:numId="11">
    <w:abstractNumId w:val="10"/>
    <w:lvlOverride w:ilvl="0"/>
  </w:num>
  <w:num w:numId="12">
    <w:abstractNumId w:val="10"/>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lvlText w:val="%1.%2."/>
        <w:lvlJc w:val="left"/>
        <w:pPr>
          <w:ind w:left="792" w:hanging="432"/>
        </w:pPr>
        <w:rPr>
          <w:rFonts w:hAnsi="Arial Unicode MS"/>
          <w:b w:val="0"/>
          <w:bCs w:val="0"/>
          <w:i/>
          <w:i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1224" w:hanging="50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728" w:hanging="648"/>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2232" w:hanging="792"/>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736" w:hanging="93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324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3744" w:hanging="1224"/>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432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3">
    <w:abstractNumId w:val="10"/>
    <w:lvlOverride w:ilvl="0"/>
  </w:num>
  <w:num w:numId="14">
    <w:abstractNumId w:val="10"/>
    <w:lvlOverride w:ilvl="0">
      <w:startOverride w:val="5"/>
    </w:lvlOverride>
  </w:num>
  <w:num w:numId="15">
    <w:abstractNumId w:val="1"/>
  </w:num>
  <w:num w:numId="16">
    <w:abstractNumId w:val="12"/>
  </w:num>
  <w:num w:numId="17">
    <w:abstractNumId w:val="0"/>
  </w:num>
  <w:num w:numId="18">
    <w:abstractNumId w:val="14"/>
  </w:num>
  <w:num w:numId="19">
    <w:abstractNumId w:val="7"/>
  </w:num>
  <w:num w:numId="20">
    <w:abstractNumId w:val="8"/>
  </w:num>
  <w:num w:numId="21">
    <w:abstractNumId w:val="5"/>
  </w:num>
  <w:num w:numId="22">
    <w:abstractNumId w:val="4"/>
  </w:num>
  <w:num w:numId="23">
    <w:abstractNumId w:val="16"/>
  </w:num>
  <w:num w:numId="24">
    <w:abstractNumId w:val="6"/>
  </w:num>
  <w:num w:numId="25">
    <w:abstractNumId w:val="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UwMrc0MzAzMDA2NbBU0lEKTi0uzszPAykwrgUAdvoHGiwAAAA="/>
    <w:docVar w:name="EN.InstantFormat" w:val="&lt;ENInstantFormat&gt;&lt;Enabled&gt;1&lt;/Enabled&gt;&lt;ScanUnformatted&gt;1&lt;/ScanUnformatted&gt;&lt;ScanChanges&gt;1&lt;/ScanChanges&gt;&lt;Suspended&gt;1&lt;/Suspended&gt;&lt;/ENInstantFormat&gt;"/>
  </w:docVars>
  <w:rsids>
    <w:rsidRoot w:val="00154DB5"/>
    <w:rsid w:val="00001300"/>
    <w:rsid w:val="0000540E"/>
    <w:rsid w:val="000815BD"/>
    <w:rsid w:val="000D7A0C"/>
    <w:rsid w:val="00153DFE"/>
    <w:rsid w:val="00154DB5"/>
    <w:rsid w:val="001639F5"/>
    <w:rsid w:val="00250974"/>
    <w:rsid w:val="00262818"/>
    <w:rsid w:val="002D6848"/>
    <w:rsid w:val="00336954"/>
    <w:rsid w:val="00353E8F"/>
    <w:rsid w:val="00354638"/>
    <w:rsid w:val="003D66FC"/>
    <w:rsid w:val="00414571"/>
    <w:rsid w:val="004275CE"/>
    <w:rsid w:val="004A5E82"/>
    <w:rsid w:val="004D4EB2"/>
    <w:rsid w:val="00524B9E"/>
    <w:rsid w:val="00563AD4"/>
    <w:rsid w:val="00566446"/>
    <w:rsid w:val="00570126"/>
    <w:rsid w:val="005A7E69"/>
    <w:rsid w:val="006114FF"/>
    <w:rsid w:val="0061356D"/>
    <w:rsid w:val="00792BD4"/>
    <w:rsid w:val="007B29A7"/>
    <w:rsid w:val="00812FD3"/>
    <w:rsid w:val="00822FA8"/>
    <w:rsid w:val="00877916"/>
    <w:rsid w:val="008B0DB2"/>
    <w:rsid w:val="008B1BF5"/>
    <w:rsid w:val="008E41DB"/>
    <w:rsid w:val="00957A07"/>
    <w:rsid w:val="009A5682"/>
    <w:rsid w:val="00A3676E"/>
    <w:rsid w:val="00A36E7F"/>
    <w:rsid w:val="00A970F2"/>
    <w:rsid w:val="00AB0CE8"/>
    <w:rsid w:val="00AB0E75"/>
    <w:rsid w:val="00AB11C7"/>
    <w:rsid w:val="00B03EA5"/>
    <w:rsid w:val="00BC4C14"/>
    <w:rsid w:val="00BC57A7"/>
    <w:rsid w:val="00C2021A"/>
    <w:rsid w:val="00C524DF"/>
    <w:rsid w:val="00CA5223"/>
    <w:rsid w:val="00CE0DDA"/>
    <w:rsid w:val="00DD7631"/>
    <w:rsid w:val="00DF2102"/>
    <w:rsid w:val="00E21F73"/>
    <w:rsid w:val="00E26296"/>
    <w:rsid w:val="00EA6A2C"/>
    <w:rsid w:val="00ED00E9"/>
    <w:rsid w:val="00EF7C07"/>
    <w:rsid w:val="00F55BCD"/>
    <w:rsid w:val="00F663CA"/>
    <w:rsid w:val="00FA1A7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76ED9"/>
  <w15:chartTrackingRefBased/>
  <w15:docId w15:val="{759AC9B7-6A4E-483A-BB5A-B04BD5291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DB5"/>
    <w:pPr>
      <w:pBdr>
        <w:top w:val="nil"/>
        <w:left w:val="nil"/>
        <w:bottom w:val="nil"/>
        <w:right w:val="nil"/>
        <w:between w:val="nil"/>
        <w:bar w:val="nil"/>
      </w:pBdr>
    </w:pPr>
    <w:rPr>
      <w:rFonts w:eastAsia="Arial Unicode MS" w:cs="Arial Unicode MS"/>
      <w:color w:val="000000"/>
      <w:u w:color="000000"/>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154DB5"/>
    <w:rPr>
      <w:u w:val="single"/>
    </w:rPr>
  </w:style>
  <w:style w:type="paragraph" w:customStyle="1" w:styleId="Intestazioneepidipagina">
    <w:name w:val="Intestazione e piè di pagina"/>
    <w:rsid w:val="00154DB5"/>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bdr w:val="nil"/>
    </w:rPr>
  </w:style>
  <w:style w:type="paragraph" w:customStyle="1" w:styleId="Didefault">
    <w:name w:val="Di default"/>
    <w:rsid w:val="00154DB5"/>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rPr>
  </w:style>
  <w:style w:type="paragraph" w:styleId="ListParagraph">
    <w:name w:val="List Paragraph"/>
    <w:rsid w:val="00154DB5"/>
    <w:pPr>
      <w:pBdr>
        <w:top w:val="nil"/>
        <w:left w:val="nil"/>
        <w:bottom w:val="nil"/>
        <w:right w:val="nil"/>
        <w:between w:val="nil"/>
        <w:bar w:val="nil"/>
      </w:pBdr>
      <w:ind w:left="720"/>
    </w:pPr>
    <w:rPr>
      <w:rFonts w:eastAsia="Arial Unicode MS" w:cs="Arial Unicode MS"/>
      <w:color w:val="000000"/>
      <w:u w:color="000000"/>
      <w:bdr w:val="nil"/>
    </w:rPr>
  </w:style>
  <w:style w:type="numbering" w:customStyle="1" w:styleId="Stileimportato1">
    <w:name w:val="Stile importato 1"/>
    <w:rsid w:val="00154DB5"/>
    <w:pPr>
      <w:numPr>
        <w:numId w:val="1"/>
      </w:numPr>
    </w:pPr>
  </w:style>
  <w:style w:type="numbering" w:customStyle="1" w:styleId="Stileimportato2">
    <w:name w:val="Stile importato 2"/>
    <w:rsid w:val="00154DB5"/>
    <w:pPr>
      <w:numPr>
        <w:numId w:val="5"/>
      </w:numPr>
    </w:pPr>
  </w:style>
  <w:style w:type="paragraph" w:styleId="NormalWeb">
    <w:name w:val="Normal (Web)"/>
    <w:rsid w:val="00154DB5"/>
    <w:pPr>
      <w:pBdr>
        <w:top w:val="nil"/>
        <w:left w:val="nil"/>
        <w:bottom w:val="nil"/>
        <w:right w:val="nil"/>
        <w:between w:val="nil"/>
        <w:bar w:val="nil"/>
      </w:pBdr>
      <w:spacing w:before="100" w:after="100" w:line="240" w:lineRule="auto"/>
    </w:pPr>
    <w:rPr>
      <w:rFonts w:ascii="Times New Roman" w:eastAsia="Arial Unicode MS" w:hAnsi="Times New Roman" w:cs="Arial Unicode MS"/>
      <w:color w:val="000000"/>
      <w:sz w:val="24"/>
      <w:szCs w:val="24"/>
      <w:u w:color="000000"/>
      <w:bdr w:val="nil"/>
    </w:rPr>
  </w:style>
  <w:style w:type="paragraph" w:customStyle="1" w:styleId="EndNoteBibliography">
    <w:name w:val="EndNote Bibliography"/>
    <w:rsid w:val="00154DB5"/>
    <w:pPr>
      <w:pBdr>
        <w:top w:val="nil"/>
        <w:left w:val="nil"/>
        <w:bottom w:val="nil"/>
        <w:right w:val="nil"/>
        <w:between w:val="nil"/>
        <w:bar w:val="nil"/>
      </w:pBdr>
      <w:spacing w:line="240" w:lineRule="auto"/>
    </w:pPr>
    <w:rPr>
      <w:rFonts w:eastAsia="Arial"/>
      <w:color w:val="000000"/>
      <w:sz w:val="20"/>
      <w:u w:color="000000"/>
      <w:bdr w:val="nil"/>
    </w:rPr>
  </w:style>
  <w:style w:type="numbering" w:customStyle="1" w:styleId="Stileimportato4">
    <w:name w:val="Stile importato 4"/>
    <w:rsid w:val="00154DB5"/>
    <w:pPr>
      <w:numPr>
        <w:numId w:val="15"/>
      </w:numPr>
    </w:pPr>
  </w:style>
  <w:style w:type="paragraph" w:styleId="CommentText">
    <w:name w:val="annotation text"/>
    <w:basedOn w:val="Normal"/>
    <w:link w:val="CommentTextChar"/>
    <w:uiPriority w:val="99"/>
    <w:semiHidden/>
    <w:unhideWhenUsed/>
    <w:rsid w:val="00154DB5"/>
    <w:pPr>
      <w:spacing w:line="240" w:lineRule="auto"/>
    </w:pPr>
    <w:rPr>
      <w:sz w:val="20"/>
      <w:szCs w:val="20"/>
    </w:rPr>
  </w:style>
  <w:style w:type="character" w:customStyle="1" w:styleId="CommentTextChar">
    <w:name w:val="Comment Text Char"/>
    <w:basedOn w:val="DefaultParagraphFont"/>
    <w:link w:val="CommentText"/>
    <w:uiPriority w:val="99"/>
    <w:semiHidden/>
    <w:rsid w:val="00154DB5"/>
    <w:rPr>
      <w:rFonts w:eastAsia="Arial Unicode MS" w:cs="Arial Unicode MS"/>
      <w:color w:val="000000"/>
      <w:sz w:val="20"/>
      <w:szCs w:val="20"/>
      <w:u w:color="000000"/>
      <w:bdr w:val="nil"/>
    </w:rPr>
  </w:style>
  <w:style w:type="character" w:styleId="CommentReference">
    <w:name w:val="annotation reference"/>
    <w:basedOn w:val="DefaultParagraphFont"/>
    <w:uiPriority w:val="99"/>
    <w:semiHidden/>
    <w:unhideWhenUsed/>
    <w:rsid w:val="00154DB5"/>
    <w:rPr>
      <w:sz w:val="16"/>
      <w:szCs w:val="16"/>
    </w:rPr>
  </w:style>
  <w:style w:type="paragraph" w:styleId="BalloonText">
    <w:name w:val="Balloon Text"/>
    <w:basedOn w:val="Normal"/>
    <w:link w:val="BalloonTextChar"/>
    <w:uiPriority w:val="99"/>
    <w:semiHidden/>
    <w:unhideWhenUsed/>
    <w:rsid w:val="00154D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4DB5"/>
    <w:rPr>
      <w:rFonts w:ascii="Segoe UI" w:eastAsia="Arial Unicode MS" w:hAnsi="Segoe UI" w:cs="Segoe UI"/>
      <w:color w:val="000000"/>
      <w:sz w:val="18"/>
      <w:szCs w:val="18"/>
      <w:u w:color="000000"/>
      <w:bdr w:val="nil"/>
    </w:rPr>
  </w:style>
  <w:style w:type="paragraph" w:customStyle="1" w:styleId="EndNoteBibliographyTitle">
    <w:name w:val="EndNote Bibliography Title"/>
    <w:basedOn w:val="Normal"/>
    <w:link w:val="EndNoteBibliographyTitleChar"/>
    <w:rsid w:val="00154DB5"/>
    <w:pPr>
      <w:spacing w:after="0"/>
      <w:jc w:val="center"/>
    </w:pPr>
    <w:rPr>
      <w:rFonts w:cs="Arial"/>
      <w:noProof/>
      <w:sz w:val="20"/>
    </w:rPr>
  </w:style>
  <w:style w:type="character" w:customStyle="1" w:styleId="EndNoteBibliographyTitleChar">
    <w:name w:val="EndNote Bibliography Title Char"/>
    <w:basedOn w:val="DefaultParagraphFont"/>
    <w:link w:val="EndNoteBibliographyTitle"/>
    <w:rsid w:val="00154DB5"/>
    <w:rPr>
      <w:rFonts w:eastAsia="Arial Unicode MS"/>
      <w:noProof/>
      <w:color w:val="000000"/>
      <w:sz w:val="20"/>
      <w:u w:color="000000"/>
      <w:bdr w:val="nil"/>
    </w:rPr>
  </w:style>
  <w:style w:type="paragraph" w:styleId="Header">
    <w:name w:val="header"/>
    <w:basedOn w:val="Normal"/>
    <w:link w:val="HeaderChar"/>
    <w:uiPriority w:val="99"/>
    <w:unhideWhenUsed/>
    <w:rsid w:val="00154D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DB5"/>
    <w:rPr>
      <w:rFonts w:eastAsia="Arial Unicode MS" w:cs="Arial Unicode MS"/>
      <w:color w:val="000000"/>
      <w:u w:color="000000"/>
      <w:bdr w:val="nil"/>
    </w:rPr>
  </w:style>
  <w:style w:type="paragraph" w:styleId="Footer">
    <w:name w:val="footer"/>
    <w:basedOn w:val="Normal"/>
    <w:link w:val="FooterChar"/>
    <w:uiPriority w:val="99"/>
    <w:unhideWhenUsed/>
    <w:rsid w:val="00154D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DB5"/>
    <w:rPr>
      <w:rFonts w:eastAsia="Arial Unicode MS" w:cs="Arial Unicode MS"/>
      <w:color w:val="000000"/>
      <w:u w:color="000000"/>
      <w:bdr w:val="nil"/>
    </w:rPr>
  </w:style>
  <w:style w:type="character" w:styleId="PageNumber">
    <w:name w:val="page number"/>
    <w:basedOn w:val="DefaultParagraphFont"/>
    <w:uiPriority w:val="99"/>
    <w:semiHidden/>
    <w:unhideWhenUsed/>
    <w:rsid w:val="00154DB5"/>
  </w:style>
  <w:style w:type="paragraph" w:styleId="FootnoteText">
    <w:name w:val="footnote text"/>
    <w:basedOn w:val="Normal"/>
    <w:link w:val="FootnoteTextChar"/>
    <w:uiPriority w:val="99"/>
    <w:semiHidden/>
    <w:unhideWhenUsed/>
    <w:rsid w:val="00154D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4DB5"/>
    <w:rPr>
      <w:rFonts w:eastAsia="Arial Unicode MS" w:cs="Arial Unicode MS"/>
      <w:color w:val="000000"/>
      <w:sz w:val="20"/>
      <w:szCs w:val="20"/>
      <w:u w:color="000000"/>
      <w:bdr w:val="nil"/>
    </w:rPr>
  </w:style>
  <w:style w:type="character" w:styleId="FootnoteReference">
    <w:name w:val="footnote reference"/>
    <w:basedOn w:val="DefaultParagraphFont"/>
    <w:uiPriority w:val="99"/>
    <w:semiHidden/>
    <w:unhideWhenUsed/>
    <w:rsid w:val="00154DB5"/>
    <w:rPr>
      <w:vertAlign w:val="superscript"/>
    </w:rPr>
  </w:style>
  <w:style w:type="paragraph" w:customStyle="1" w:styleId="xxmsonormal">
    <w:name w:val="x_x_msonormal"/>
    <w:basedOn w:val="Normal"/>
    <w:rsid w:val="00154DB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line="240" w:lineRule="auto"/>
    </w:pPr>
    <w:rPr>
      <w:rFonts w:ascii="Times New Roman" w:eastAsia="Times New Roman" w:hAnsi="Times New Roman" w:cs="Times New Roman"/>
      <w:color w:val="auto"/>
      <w:sz w:val="24"/>
      <w:szCs w:val="24"/>
      <w:bdr w:val="none" w:sz="0" w:space="0" w:color="auto"/>
      <w:lang w:eastAsia="ko-KR"/>
    </w:rPr>
  </w:style>
  <w:style w:type="character" w:styleId="PlaceholderText">
    <w:name w:val="Placeholder Text"/>
    <w:basedOn w:val="DefaultParagraphFont"/>
    <w:uiPriority w:val="99"/>
    <w:semiHidden/>
    <w:rsid w:val="00154D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whyeo@gatech.ed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35</Pages>
  <Words>15675</Words>
  <Characters>89350</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Goldoni</dc:creator>
  <cp:keywords/>
  <dc:description/>
  <cp:lastModifiedBy>Demolder, Carl F</cp:lastModifiedBy>
  <cp:revision>2</cp:revision>
  <cp:lastPrinted>2020-10-09T16:01:00Z</cp:lastPrinted>
  <dcterms:created xsi:type="dcterms:W3CDTF">2021-01-19T16:47:00Z</dcterms:created>
  <dcterms:modified xsi:type="dcterms:W3CDTF">2021-01-19T16:47:00Z</dcterms:modified>
</cp:coreProperties>
</file>