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rFonts w:ascii="Calibri" w:hAnsi="Calibri"/>
          <w:b/>
          <w:color w:val="0B7285"/>
          <w:sz w:val="20"/>
          <w:szCs w:val="20"/>
        </w:rPr>
        <w:t>PROPOSED OPERATING SOLUTION</w:t>
      </w:r>
    </w:p>
    <w:p>
      <w:pPr>
        <w:jc w:val="center"/>
      </w:pPr>
      <w:r>
        <w:rPr>
          <w:rFonts w:ascii="Calibri" w:hAnsi="Calibri"/>
          <w:b/>
          <w:color w:val="102A43"/>
          <w:sz w:val="48"/>
          <w:szCs w:val="48"/>
        </w:rPr>
        <w:t>Customer Refund-Status Inquiry</w:t>
      </w:r>
    </w:p>
    <w:p>
      <w:pPr>
        <w:jc w:val="center"/>
      </w:pPr>
      <w:r>
        <w:rPr>
          <w:rFonts w:ascii="Calibri" w:hAnsi="Calibri"/>
          <w:i/>
          <w:color w:val="5F6E80"/>
          <w:sz w:val="26"/>
          <w:szCs w:val="26"/>
        </w:rPr>
        <w:t>A proposed read-only operating solution for faster, safer customer-service responses</w:t>
      </w:r>
    </w:p>
    <w:p>
      <w:pPr>
        <w:jc w:val="center"/>
        <w:shd w:val="clear" w:color="auto" w:fill="FFF4D6"/>
      </w:pPr>
      <w:r>
        <w:rPr>
          <w:rFonts w:ascii="Calibri" w:hAnsi="Calibri"/>
          <w:b/>
          <w:color w:val="9A5B00"/>
          <w:sz w:val="22"/>
          <w:szCs w:val="22"/>
        </w:rPr>
        <w:t>Proposed synthetic</w:t>
      </w:r>
    </w:p>
    <w:p>
      <w:pPr>
        <w:shd w:val="clear" w:color="auto" w:fill="FFF4D6"/>
        <w:pBdr>
          <w:left w:val="single" w:sz="24" w:space="8" w:color="9A5B00"/>
        </w:pBdr>
      </w:pPr>
      <w:r>
        <w:rPr>
          <w:rFonts w:ascii="Calibri" w:hAnsi="Calibri"/>
        </w:rPr>
        <w:t>This package validates an FDE analysis-to-proposal delivery flow. It does not establish target-enterprise facts, permissions, integrations, acceptance, or value.</w:t>
      </w:r>
    </w:p>
    <w:p>
      <w:pPr>
        <w:pStyle w:val="Heading1"/>
        <w:keepNext/>
      </w:pPr>
      <w:r>
        <w:rPr>
          <w:rFonts w:ascii="Calibri" w:hAnsi="Calibri"/>
        </w:rPr>
        <w:t>Decision requested</w:t>
      </w:r>
    </w:p>
    <w:p>
      <w:pPr>
        <w:shd w:val="clear" w:color="auto" w:fill="E7F5F7"/>
        <w:pBdr>
          <w:left w:val="single" w:sz="24" w:space="8" w:color="0B7285"/>
        </w:pBdr>
      </w:pPr>
      <w:r>
        <w:rPr>
          <w:rFonts w:ascii="Calibri" w:hAnsi="Calibri"/>
          <w:b/>
          <w:color w:val="102A43"/>
        </w:rPr>
        <w:t>Decide whether to authorize a de-identified, read-only shadow replay of the deterministic first slice.</w:t>
      </w:r>
    </w:p>
    <w:p>
      <w:pPr/>
      <w:r>
        <w:rPr>
          <w:rFonts w:ascii="Calibri" w:hAnsi="Calibri"/>
        </w:rPr>
        <w:t>Standardize evidence and refund-state interpretation before adding technology; a deterministic read-only summary is sufficient for the first slice, so AI is not needed.</w:t>
      </w:r>
    </w:p>
    <w:p>
      <w:pPr>
        <w:pStyle w:val="Heading1"/>
        <w:keepNext/>
      </w:pPr>
      <w:r>
        <w:rPr>
          <w:rFonts w:ascii="Calibri" w:hAnsi="Calibri"/>
        </w:rPr>
        <w:t>Operating outcome and scope</w:t>
      </w:r>
    </w:p>
    <w:p>
      <w:pPr/>
      <w:r>
        <w:rPr>
          <w:rFonts w:ascii="Calibri" w:hAnsi="Calibri"/>
        </w:rPr>
        <w:t>For the Customer-service representative at Refund-status inquiry handling, the proposed change is to confirm an evidence-bearing refund-status response or route the inquiry to finance. The synthetic handling-time hypothesis is 8 minutes to 3 minutes; incorrect refund-status responses must not increase.</w:t>
      </w:r>
    </w:p>
    <w:tbl>
      <w:tblPr>
        <w:tblW w:w="9360" w:type="dxa"/>
        <w:tblInd w:w="120" w:type="dxa"/>
        <w:tblLayout w:type="fixed"/>
        <w:tblBorders>
          <w:top w:val="single" w:sz="4" w:color="D7DEE8"/>
          <w:left w:val="single" w:sz="4" w:color="D7DEE8"/>
          <w:bottom w:val="single" w:sz="4" w:color="D7DEE8"/>
          <w:right w:val="single" w:sz="4" w:color="D7DEE8"/>
          <w:insideH w:val="single" w:sz="4" w:color="D7DEE8"/>
          <w:insideV w:val="single" w:sz="4" w:color="D7DEE8"/>
        </w:tblBorders>
      </w:tblPr>
      <w:tblGrid>
        <w:gridCol w:w="1800"/>
        <w:gridCol w:w="7560"/>
      </w:tblGrid>
      <w:tr>
        <w:trPr>
          <w:tblHeader/>
        </w:trPr>
        <w:tc>
          <w:tcPr>
            <w:tcW w:w="1800" w:type="dxa"/>
            <w:shd w:val="clear" w:color="auto"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4D78"/>
              </w:rPr>
              <w:t>Boundary</w:t>
            </w:r>
          </w:p>
        </w:tc>
        <w:tc>
          <w:tcPr>
            <w:tcW w:w="7560" w:type="dxa"/>
            <w:shd w:val="clear" w:color="auto"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4D78"/>
              </w:rPr>
              <w:t>Proposal</w:t>
            </w:r>
          </w:p>
        </w:tc>
      </w:tr>
      <w:tr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Included</w:t>
            </w:r>
          </w:p>
        </w:tc>
        <w:tc>
          <w:tcPr>
            <w:tcW w:w="75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Refund-status inquiry only; Read-only order and payment evidence; Human-confirmed response template; Finance escalation for every unsupported or unsafe case</w:t>
            </w:r>
          </w:p>
        </w:tc>
      </w:tr>
      <w:tr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Excluded</w:t>
            </w:r>
          </w:p>
        </w:tc>
        <w:tc>
          <w:tcPr>
            <w:tcW w:w="75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Refund approval; Compensation; Payment disputes; Direct AI-to-customer responses; Write-back</w:t>
            </w:r>
          </w:p>
        </w:tc>
      </w:tr>
    </w:tbl>
    <w:p>
      <w:pPr>
        <w:pStyle w:val="Heading1"/>
        <w:keepNext/>
      </w:pPr>
      <w:r>
        <w:rPr>
          <w:rFonts w:ascii="Calibri" w:hAnsi="Calibri"/>
        </w:rPr>
        <w:t>Current-process diagnosis</w:t>
      </w:r>
    </w:p>
    <w:p>
      <w:pPr>
        <w:pStyle w:val="Heading2"/>
        <w:keepNext/>
      </w:pPr>
      <w:r>
        <w:rPr>
          <w:rFonts w:ascii="Calibri" w:hAnsi="Calibri"/>
        </w:rPr>
        <w:t>Proposed normal flow</w:t>
      </w:r>
    </w:p>
    <w:p>
      <w:pPr>
        <w:shd w:val="clear" w:color="auto" w:fill="F4F6F9"/>
      </w:pPr>
      <w:r>
        <w:rPr>
          <w:rFonts w:ascii="Calibri" w:hAnsi="Calibri"/>
        </w:rPr>
        <w:t>Receive inquiry → Find order → Open payment system → Inspect refund state → Compose response → Confirm response with customer</w:t>
      </w:r>
    </w:p>
    <w:p>
      <w:pPr>
        <w:pStyle w:val="Heading2"/>
        <w:keepNext/>
      </w:pPr>
      <w:r>
        <w:rPr>
          <w:rFonts w:ascii="Calibri" w:hAnsi="Calibri"/>
        </w:rPr>
        <w:t>Proposed exception flow</w:t>
      </w:r>
    </w:p>
    <w:p>
      <w:pPr>
        <w:shd w:val="clear" w:color="auto" w:fill="F4F6F9"/>
      </w:pPr>
      <w:r>
        <w:rPr>
          <w:rFonts w:ascii="Calibri" w:hAnsi="Calibri"/>
        </w:rPr>
        <w:t>Representative detects an unclear, missing, or unsafe state → Representative gathers context again → Representative escalates to finance → Finance interprets the exception → Representative resumes response handling</w:t>
      </w:r>
    </w:p>
    <w:p>
      <w:pPr>
        <w:pStyle w:val="Heading3"/>
        <w:keepNext/>
      </w:pPr>
      <w:r>
        <w:rPr>
          <w:rFonts w:ascii="Calibri" w:hAnsi="Calibri"/>
        </w:rPr>
        <w:t>Cross-system lookup</w:t>
      </w:r>
    </w:p>
    <w:p>
      <w:pPr/>
      <w:r>
        <w:rPr>
          <w:rFonts w:ascii="Calibri" w:hAnsi="Calibri"/>
        </w:rPr>
        <w:t>The representative switches context and reconstructs evidence before answering. Evidence status: proposed.</w:t>
      </w:r>
    </w:p>
    <w:p>
      <w:pPr>
        <w:pStyle w:val="Heading3"/>
        <w:keepNext/>
      </w:pPr>
      <w:r>
        <w:rPr>
          <w:rFonts w:ascii="Calibri" w:hAnsi="Calibri"/>
        </w:rPr>
        <w:t>Manual state interpretation</w:t>
      </w:r>
    </w:p>
    <w:p>
      <w:pPr/>
      <w:r>
        <w:rPr>
          <w:rFonts w:ascii="Calibri" w:hAnsi="Calibri"/>
        </w:rPr>
        <w:t>Source-specific refund states must be translated into customer-safe language during every inquiry. Evidence status: proposed.</w:t>
      </w:r>
    </w:p>
    <w:p>
      <w:pPr>
        <w:pStyle w:val="Heading3"/>
        <w:keepNext/>
      </w:pPr>
      <w:r>
        <w:rPr>
          <w:rFonts w:ascii="Calibri" w:hAnsi="Calibri"/>
        </w:rPr>
        <w:t>Exceptions are discovered late</w:t>
      </w:r>
    </w:p>
    <w:p>
      <w:pPr/>
      <w:r>
        <w:rPr>
          <w:rFonts w:ascii="Calibri" w:hAnsi="Calibri"/>
        </w:rPr>
        <w:t>Missing, conflicting, stale, prohibited, or unauthorized cases consume handling time before escalation. Evidence status: proposed.</w:t>
      </w:r>
    </w:p>
    <w:p>
      <w:pPr>
        <w:pStyle w:val="Heading3"/>
        <w:keepNext/>
      </w:pPr>
      <w:r>
        <w:rPr>
          <w:rFonts w:ascii="Calibri" w:hAnsi="Calibri"/>
        </w:rPr>
        <w:t>Prose composition is not the primary delay</w:t>
      </w:r>
    </w:p>
    <w:p>
      <w:pPr/>
      <w:r>
        <w:rPr>
          <w:rFonts w:ascii="Calibri" w:hAnsi="Calibri"/>
        </w:rPr>
        <w:t>Automating language first would leave the evidence and semantic bottlenecks intact. Evidence status: proposed.</w:t>
      </w:r>
    </w:p>
    <w:p>
      <w:pPr>
        <w:shd w:val="clear" w:color="auto" w:fill="FFF4D6"/>
        <w:pBdr>
          <w:left w:val="single" w:sz="24" w:space="8" w:color="9A5B00"/>
        </w:pBdr>
      </w:pPr>
      <w:r>
        <w:rPr>
          <w:rFonts w:ascii="Calibri" w:hAnsi="Calibri"/>
        </w:rPr>
        <w:t>These are synthetic hypotheses to confirm or correct with the process owner and affected users. They are not findings from observed enterprise work.</w:t>
      </w:r>
    </w:p>
    <w:p>
      <w:pPr>
        <w:pStyle w:val="Heading1"/>
        <w:keepNext/>
      </w:pPr>
      <w:r>
        <w:rPr>
          <w:rFonts w:ascii="Calibri" w:hAnsi="Calibri"/>
        </w:rPr>
        <w:t>Process redesign before technology</w:t>
      </w:r>
    </w:p>
    <w:p>
      <w:pPr>
        <w:numPr>
          <w:ilvl w:val="0"/>
          <w:numId w:val="1"/>
        </w:numPr>
        <w:jc w:val="left"/>
      </w:pPr>
      <w:r>
        <w:rPr>
          <w:rFonts w:ascii="Calibri" w:hAnsi="Calibri"/>
          <w:b/>
        </w:rPr>
        <w:t xml:space="preserve">Eliminate repeated lookup. </w:t>
      </w:r>
      <w:r>
        <w:rPr>
          <w:rFonts w:ascii="Calibri" w:hAnsi="Calibri"/>
        </w:rPr>
        <w:t>Assemble one permitted read-only evidence bundle before the representative interprets status.</w:t>
      </w:r>
    </w:p>
    <w:p>
      <w:pPr>
        <w:numPr>
          <w:ilvl w:val="0"/>
          <w:numId w:val="1"/>
        </w:numPr>
        <w:jc w:val="left"/>
      </w:pPr>
      <w:r>
        <w:rPr>
          <w:rFonts w:ascii="Calibri" w:hAnsi="Calibri"/>
          <w:b/>
        </w:rPr>
        <w:t xml:space="preserve">Standardize meaning. </w:t>
      </w:r>
      <w:r>
        <w:rPr>
          <w:rFonts w:ascii="Calibri" w:hAnsi="Calibri"/>
        </w:rPr>
        <w:t>Publish one finance-owned semantic version for the three supported normalized states.</w:t>
      </w:r>
    </w:p>
    <w:p>
      <w:pPr>
        <w:numPr>
          <w:ilvl w:val="0"/>
          <w:numId w:val="1"/>
        </w:numPr>
        <w:jc w:val="left"/>
      </w:pPr>
      <w:r>
        <w:rPr>
          <w:rFonts w:ascii="Calibri" w:hAnsi="Calibri"/>
          <w:b/>
        </w:rPr>
        <w:t xml:space="preserve">Move controls forward. </w:t>
      </w:r>
      <w:r>
        <w:rPr>
          <w:rFonts w:ascii="Calibri" w:hAnsi="Calibri"/>
        </w:rPr>
        <w:t>Check record presence, consistency, freshness, dispute status, and access before presenting a status.</w:t>
      </w:r>
    </w:p>
    <w:p>
      <w:pPr>
        <w:numPr>
          <w:ilvl w:val="0"/>
          <w:numId w:val="1"/>
        </w:numPr>
        <w:jc w:val="left"/>
      </w:pPr>
      <w:r>
        <w:rPr>
          <w:rFonts w:ascii="Calibri" w:hAnsi="Calibri"/>
          <w:b/>
        </w:rPr>
        <w:t xml:space="preserve">Clarify ownership. </w:t>
      </w:r>
      <w:r>
        <w:rPr>
          <w:rFonts w:ascii="Calibri" w:hAnsi="Calibri"/>
        </w:rPr>
        <w:t>Customer service owns the normal inquiry; finance owns every unsupported or unsafe state.</w:t>
      </w:r>
    </w:p>
    <w:p>
      <w:pPr>
        <w:numPr>
          <w:ilvl w:val="0"/>
          <w:numId w:val="1"/>
        </w:numPr>
        <w:jc w:val="left"/>
      </w:pPr>
      <w:r>
        <w:rPr>
          <w:rFonts w:ascii="Calibri" w:hAnsi="Calibri"/>
          <w:b/>
        </w:rPr>
        <w:t xml:space="preserve">Keep judgment human. </w:t>
      </w:r>
      <w:r>
        <w:rPr>
          <w:rFonts w:ascii="Calibri" w:hAnsi="Calibri"/>
        </w:rPr>
        <w:t>The representative confirms the response; the view never answers the customer directly.</w:t>
      </w:r>
    </w:p>
    <w:p>
      <w:pPr>
        <w:pStyle w:val="Heading1"/>
        <w:keepNext/>
      </w:pPr>
      <w:r>
        <w:rPr>
          <w:rFonts w:ascii="Calibri" w:hAnsi="Calibri"/>
        </w:rPr>
        <w:t>Technology-neutral target flow</w:t>
      </w:r>
    </w:p>
    <w:p>
      <w:pPr/>
      <w:r>
        <w:rPr>
          <w:rFonts w:ascii="Calibri" w:hAnsi="Calibri"/>
          <w:b/>
          <w:color w:val="0B7285"/>
        </w:rPr>
        <w:t xml:space="preserve">1. Retrieve — </w:t>
      </w:r>
      <w:r>
        <w:rPr>
          <w:rFonts w:ascii="Calibri" w:hAnsi="Calibri"/>
        </w:rPr>
        <w:t>Resolve permitted order and payment evidence with source identity and retrieval time. Owner: Deterministic software.</w:t>
      </w:r>
    </w:p>
    <w:p>
      <w:pPr/>
      <w:r>
        <w:rPr>
          <w:rFonts w:ascii="Calibri" w:hAnsi="Calibri"/>
          <w:b/>
          <w:color w:val="0B7285"/>
        </w:rPr>
        <w:t xml:space="preserve">2. Control — </w:t>
      </w:r>
      <w:r>
        <w:rPr>
          <w:rFonts w:ascii="Calibri" w:hAnsi="Calibri"/>
        </w:rPr>
        <w:t>Evaluate record presence, consistency, freshness, dispute status, and access. Owner: Deterministic software.</w:t>
      </w:r>
    </w:p>
    <w:p>
      <w:pPr/>
      <w:r>
        <w:rPr>
          <w:rFonts w:ascii="Calibri" w:hAnsi="Calibri"/>
          <w:b/>
          <w:color w:val="0B7285"/>
        </w:rPr>
        <w:t xml:space="preserve">3. Normalize — </w:t>
      </w:r>
      <w:r>
        <w:rPr>
          <w:rFonts w:ascii="Calibri" w:hAnsi="Calibri"/>
        </w:rPr>
        <w:t>Map only one of the three supported states using finance-owned versioned rules. Owner: Deterministic software.</w:t>
      </w:r>
    </w:p>
    <w:p>
      <w:pPr/>
      <w:r>
        <w:rPr>
          <w:rFonts w:ascii="Calibri" w:hAnsi="Calibri"/>
          <w:b/>
          <w:color w:val="0B7285"/>
        </w:rPr>
        <w:t xml:space="preserve">4. Confirm — </w:t>
      </w:r>
      <w:r>
        <w:rPr>
          <w:rFonts w:ascii="Calibri" w:hAnsi="Calibri"/>
        </w:rPr>
        <w:t>Review the evidence-bearing summary and confirm or reject the response template. Owner: Customer-service representative.</w:t>
      </w:r>
    </w:p>
    <w:p>
      <w:pPr/>
      <w:r>
        <w:rPr>
          <w:rFonts w:ascii="Calibri" w:hAnsi="Calibri"/>
          <w:b/>
          <w:color w:val="0B7285"/>
        </w:rPr>
        <w:t xml:space="preserve">5. Escalate — </w:t>
      </w:r>
      <w:r>
        <w:rPr>
          <w:rFonts w:ascii="Calibri" w:hAnsi="Calibri"/>
        </w:rPr>
        <w:t>Resolve every abstained, disputed, failed, rejected, stale, conflicting, missing, or unauthorized case. Owner: Finance refund owner.</w:t>
      </w:r>
    </w:p>
    <w:p>
      <w:pPr/>
      <w:r>
        <w:rPr>
          <w:rFonts w:ascii="Calibri" w:hAnsi="Calibri"/>
        </w:rPr>
        <w:t>Normal outcome: A human-confirmed response based on a supported normalized state.</w:t>
      </w:r>
    </w:p>
    <w:p>
      <w:pPr/>
      <w:r>
        <w:rPr>
          <w:rFonts w:ascii="Calibri" w:hAnsi="Calibri"/>
        </w:rPr>
        <w:t>Exception outcome: An explicit abstention with a finance escalation reason.</w:t>
      </w:r>
    </w:p>
    <w:p>
      <w:pPr/>
      <w:r>
        <w:rPr>
          <w:rFonts w:ascii="Calibri" w:hAnsi="Calibri"/>
        </w:rPr>
        <w:t>Human override: A representative may reject the template and escalate, but cannot alter the normalized state or policy.</w:t>
      </w:r>
    </w:p>
    <w:p>
      <w:pPr>
        <w:pStyle w:val="Heading1"/>
        <w:keepNext/>
      </w:pPr>
      <w:r>
        <w:rPr>
          <w:rFonts w:ascii="Calibri" w:hAnsi="Calibri"/>
        </w:rPr>
        <w:t>Process-readiness decision</w:t>
      </w:r>
    </w:p>
    <w:p>
      <w:pPr>
        <w:shd w:val="clear" w:color="auto" w:fill="FFEDF1"/>
        <w:pBdr>
          <w:left w:val="single" w:sz="24" w:space="8" w:color="B4233D"/>
        </w:pBdr>
      </w:pPr>
      <w:r>
        <w:rPr>
          <w:rFonts w:ascii="Calibri" w:hAnsi="Calibri"/>
        </w:rPr>
        <w:t>The as-is path, target flow, handoffs, exception ownership, baseline, and semantic contract have not been accepted by accountable target-enterprise participants. The process remains proposed. This package supports preparation for a shadow-replay decision; it does not authorize implementation or pilot use.</w:t>
      </w:r>
    </w:p>
    <w:p>
      <w:pPr>
        <w:pStyle w:val="Heading1"/>
        <w:keepNext/>
      </w:pPr>
      <w:r>
        <w:rPr>
          <w:rFonts w:ascii="Calibri" w:hAnsi="Calibri"/>
        </w:rPr>
        <w:t>Intervention selection</w:t>
      </w:r>
    </w:p>
    <w:tbl>
      <w:tblPr>
        <w:tblW w:w="9360" w:type="dxa"/>
        <w:tblInd w:w="120" w:type="dxa"/>
        <w:tblLayout w:type="fixed"/>
        <w:tblBorders>
          <w:top w:val="single" w:sz="4" w:color="D7DEE8"/>
          <w:left w:val="single" w:sz="4" w:color="D7DEE8"/>
          <w:bottom w:val="single" w:sz="4" w:color="D7DEE8"/>
          <w:right w:val="single" w:sz="4" w:color="D7DEE8"/>
          <w:insideH w:val="single" w:sz="4" w:color="D7DEE8"/>
          <w:insideV w:val="single" w:sz="4" w:color="D7DEE8"/>
        </w:tblBorders>
      </w:tblPr>
      <w:tblGrid>
        <w:gridCol w:w="1800"/>
        <w:gridCol w:w="2100"/>
        <w:gridCol w:w="2400"/>
        <w:gridCol w:w="3060"/>
      </w:tblGrid>
      <w:tr>
        <w:trPr>
          <w:tblHeader/>
        </w:trPr>
        <w:tc>
          <w:tcPr>
            <w:tcW w:w="1800" w:type="dxa"/>
            <w:shd w:val="clear" w:color="auto"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4D78"/>
              </w:rPr>
              <w:t>Need</w:t>
            </w:r>
          </w:p>
        </w:tc>
        <w:tc>
          <w:tcPr>
            <w:tcW w:w="2100" w:type="dxa"/>
            <w:shd w:val="clear" w:color="auto"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4D78"/>
              </w:rPr>
              <w:t>Selection</w:t>
            </w:r>
          </w:p>
        </w:tc>
        <w:tc>
          <w:tcPr>
            <w:tcW w:w="2400" w:type="dxa"/>
            <w:shd w:val="clear" w:color="auto"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4D78"/>
              </w:rPr>
              <w:t>Responsibility</w:t>
            </w:r>
          </w:p>
        </w:tc>
        <w:tc>
          <w:tcPr>
            <w:tcW w:w="3060" w:type="dxa"/>
            <w:shd w:val="clear" w:color="auto"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4D78"/>
              </w:rPr>
              <w:t>Why sufficient</w:t>
            </w:r>
          </w:p>
        </w:tc>
      </w:tr>
      <w:tr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Evidence spread across systems</w:t>
            </w:r>
          </w:p>
        </w:tc>
        <w:tc>
          <w:tcPr>
            <w:tcW w:w="21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Read-only evidence aggregation</w:t>
            </w:r>
          </w:p>
        </w:tc>
        <w:tc>
          <w:tcPr>
            <w:tcW w:w="24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Deterministic software</w:t>
            </w:r>
          </w:p>
        </w:tc>
        <w:tc>
          <w:tcPr>
            <w:tcW w:w="30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Retrieval and provenance assembly are stable and testable.</w:t>
            </w:r>
          </w:p>
        </w:tc>
      </w:tr>
      <w:tr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Source-specific refund states</w:t>
            </w:r>
          </w:p>
        </w:tc>
        <w:tc>
          <w:tcPr>
            <w:tcW w:w="21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Versioned deterministic mapping</w:t>
            </w:r>
          </w:p>
        </w:tc>
        <w:tc>
          <w:tcPr>
            <w:tcW w:w="24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Deterministic software with finance policy ownership</w:t>
            </w:r>
          </w:p>
        </w:tc>
        <w:tc>
          <w:tcPr>
            <w:tcW w:w="30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The supported state set is closed and identical inputs must produce identical outcomes.</w:t>
            </w:r>
          </w:p>
        </w:tc>
      </w:tr>
      <w:tr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Unsafe or ambiguous cases</w:t>
            </w:r>
          </w:p>
        </w:tc>
        <w:tc>
          <w:tcPr>
            <w:tcW w:w="21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Abstention and finance escalation</w:t>
            </w:r>
          </w:p>
        </w:tc>
        <w:tc>
          <w:tcPr>
            <w:tcW w:w="24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Deterministic routing plus human judgment</w:t>
            </w:r>
          </w:p>
        </w:tc>
        <w:tc>
          <w:tcPr>
            <w:tcW w:w="30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The first slice must not infer policy or conceal missing evidence.</w:t>
            </w:r>
          </w:p>
        </w:tc>
      </w:tr>
      <w:tr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Customer response</w:t>
            </w:r>
          </w:p>
        </w:tc>
        <w:tc>
          <w:tcPr>
            <w:tcW w:w="21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Response template for human confirmation</w:t>
            </w:r>
          </w:p>
        </w:tc>
        <w:tc>
          <w:tcPr>
            <w:tcW w:w="24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Customer-service representative</w:t>
            </w:r>
          </w:p>
        </w:tc>
        <w:tc>
          <w:tcPr>
            <w:tcW w:w="30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A template is sufficient; direct automation would exceed the proposed authority.</w:t>
            </w:r>
          </w:p>
        </w:tc>
      </w:tr>
    </w:tbl>
    <w:p>
      <w:pPr>
        <w:pStyle w:val="Heading1"/>
        <w:keepNext/>
      </w:pPr>
      <w:r>
        <w:rPr>
          <w:rFonts w:ascii="Calibri" w:hAnsi="Calibri"/>
        </w:rPr>
        <w:t>AI-fit decision</w:t>
      </w:r>
    </w:p>
    <w:p>
      <w:pPr>
        <w:shd w:val="clear" w:color="auto" w:fill="102A43"/>
        <w:pBdr>
          <w:left w:val="single" w:sz="24" w:space="8" w:color="0B7285"/>
        </w:pBdr>
      </w:pPr>
      <w:r>
        <w:rPr>
          <w:rFonts w:ascii="Calibri" w:hAnsi="Calibri"/>
          <w:b/>
          <w:color w:val="FFFFFF"/>
          <w:sz w:val="26"/>
          <w:szCs w:val="26"/>
        </w:rPr>
        <w:t>AI-fit: not needed for the first slice</w:t>
      </w:r>
    </w:p>
    <w:p>
      <w:pPr/>
      <w:r>
        <w:rPr>
          <w:rFonts w:ascii="Calibri" w:hAnsi="Calibri"/>
        </w:rPr>
        <w:t>Retrieval, state mapping, access checks, exception rules, and response templates are deterministic. Adding AI would not remove the diagnosed bottleneck.</w:t>
      </w:r>
    </w:p>
    <w:p>
      <w:pPr/>
      <w:r>
        <w:rPr>
          <w:rFonts w:ascii="Calibri" w:hAnsi="Calibri"/>
        </w:rPr>
        <w:t>Evaluate AI later only for measurable language or wording value after the deterministic shadow baseline is accepted; AI may not map states, fill missing evidence, answer customers directly, or authorize an action.</w:t>
      </w:r>
    </w:p>
    <w:p>
      <w:pPr>
        <w:pStyle w:val="Heading1"/>
        <w:keepNext/>
      </w:pPr>
      <w:r>
        <w:rPr>
          <w:rFonts w:ascii="Calibri" w:hAnsi="Calibri"/>
        </w:rPr>
        <w:t>Semantic and exception contract</w:t>
      </w:r>
    </w:p>
    <w:p>
      <w:pPr/>
      <w:r>
        <w:rPr>
          <w:rFonts w:ascii="Calibri" w:hAnsi="Calibri"/>
        </w:rPr>
        <w:t>Proposed semantic version: refund-status-semantics@0.1.0-proposed. Proposed owner: Finance refund owner. Evidence status: proposed.</w:t>
      </w:r>
    </w:p>
    <w:tbl>
      <w:tblPr>
        <w:tblW w:w="9360" w:type="dxa"/>
        <w:tblInd w:w="120" w:type="dxa"/>
        <w:tblLayout w:type="fixed"/>
        <w:tblBorders>
          <w:top w:val="single" w:sz="4" w:color="D7DEE8"/>
          <w:left w:val="single" w:sz="4" w:color="D7DEE8"/>
          <w:bottom w:val="single" w:sz="4" w:color="D7DEE8"/>
          <w:right w:val="single" w:sz="4" w:color="D7DEE8"/>
          <w:insideH w:val="single" w:sz="4" w:color="D7DEE8"/>
          <w:insideV w:val="single" w:sz="4" w:color="D7DEE8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w="2200" w:type="dxa"/>
            <w:shd w:val="clear" w:color="auto"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4D78"/>
              </w:rPr>
              <w:t>Normalized state</w:t>
            </w:r>
          </w:p>
        </w:tc>
        <w:tc>
          <w:tcPr>
            <w:tcW w:w="3580" w:type="dxa"/>
            <w:shd w:val="clear" w:color="auto"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4D78"/>
              </w:rPr>
              <w:t>Meaning</w:t>
            </w:r>
          </w:p>
        </w:tc>
        <w:tc>
          <w:tcPr>
            <w:tcW w:w="3580" w:type="dxa"/>
            <w:shd w:val="clear" w:color="auto"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4D78"/>
              </w:rPr>
              <w:t>Route</w:t>
            </w:r>
          </w:p>
        </w:tc>
      </w:tr>
      <w:tr>
        <w:tc>
          <w:tcPr>
            <w:tcW w:w="22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Refund not initiated</w:t>
            </w:r>
          </w:p>
        </w:tc>
        <w:tc>
          <w:tcPr>
            <w:tcW w:w="358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No refund initiation is evidenced for the order.</w:t>
            </w:r>
          </w:p>
        </w:tc>
        <w:tc>
          <w:tcPr>
            <w:tcW w:w="358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Present read-only summary for human confirmation.</w:t>
            </w:r>
          </w:p>
        </w:tc>
      </w:tr>
      <w:tr>
        <w:tc>
          <w:tcPr>
            <w:tcW w:w="22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Refund processing</w:t>
            </w:r>
          </w:p>
        </w:tc>
        <w:tc>
          <w:tcPr>
            <w:tcW w:w="358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Refund initiation is evidenced and completion is not yet evidenced.</w:t>
            </w:r>
          </w:p>
        </w:tc>
        <w:tc>
          <w:tcPr>
            <w:tcW w:w="358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Present read-only summary for human confirmation.</w:t>
            </w:r>
          </w:p>
        </w:tc>
      </w:tr>
      <w:tr>
        <w:tc>
          <w:tcPr>
            <w:tcW w:w="22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Refund completed</w:t>
            </w:r>
          </w:p>
        </w:tc>
        <w:tc>
          <w:tcPr>
            <w:tcW w:w="358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Refund completion is evidenced by the permitted payment source.</w:t>
            </w:r>
          </w:p>
        </w:tc>
        <w:tc>
          <w:tcPr>
            <w:tcW w:w="358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Present read-only summary for human confirmation.</w:t>
            </w:r>
          </w:p>
        </w:tc>
      </w:tr>
    </w:tbl>
    <w:p>
      <w:pPr>
        <w:pStyle w:val="Heading2"/>
        <w:keepNext/>
      </w:pPr>
      <w:r>
        <w:rPr>
          <w:rFonts w:ascii="Calibri" w:hAnsi="Calibri"/>
        </w:rPr>
        <w:t>Abstain and escalate on</w:t>
      </w:r>
    </w:p>
    <w:p>
      <w:pPr>
        <w:numPr>
          <w:ilvl w:val="0"/>
          <w:numId w:val="1"/>
        </w:numPr>
        <w:jc w:val="left"/>
      </w:pPr>
      <w:r>
        <w:rPr>
          <w:rFonts w:ascii="Calibri" w:hAnsi="Calibri"/>
        </w:rPr>
        <w:t>Missing records</w:t>
      </w:r>
    </w:p>
    <w:p>
      <w:pPr>
        <w:numPr>
          <w:ilvl w:val="0"/>
          <w:numId w:val="1"/>
        </w:numPr>
        <w:jc w:val="left"/>
      </w:pPr>
      <w:r>
        <w:rPr>
          <w:rFonts w:ascii="Calibri" w:hAnsi="Calibri"/>
        </w:rPr>
        <w:t>Conflicting states</w:t>
      </w:r>
    </w:p>
    <w:p>
      <w:pPr>
        <w:numPr>
          <w:ilvl w:val="0"/>
          <w:numId w:val="1"/>
        </w:numPr>
        <w:jc w:val="left"/>
      </w:pPr>
      <w:r>
        <w:rPr>
          <w:rFonts w:ascii="Calibri" w:hAnsi="Calibri"/>
        </w:rPr>
        <w:t>Stale data</w:t>
      </w:r>
    </w:p>
    <w:p>
      <w:pPr>
        <w:numPr>
          <w:ilvl w:val="0"/>
          <w:numId w:val="1"/>
        </w:numPr>
        <w:jc w:val="left"/>
      </w:pPr>
      <w:r>
        <w:rPr>
          <w:rFonts w:ascii="Calibri" w:hAnsi="Calibri"/>
        </w:rPr>
        <w:t>Failed refunds</w:t>
      </w:r>
    </w:p>
    <w:p>
      <w:pPr>
        <w:numPr>
          <w:ilvl w:val="0"/>
          <w:numId w:val="1"/>
        </w:numPr>
        <w:jc w:val="left"/>
      </w:pPr>
      <w:r>
        <w:rPr>
          <w:rFonts w:ascii="Calibri" w:hAnsi="Calibri"/>
        </w:rPr>
        <w:t>Rejected refunds</w:t>
      </w:r>
    </w:p>
    <w:p>
      <w:pPr>
        <w:numPr>
          <w:ilvl w:val="0"/>
          <w:numId w:val="1"/>
        </w:numPr>
        <w:jc w:val="left"/>
      </w:pPr>
      <w:r>
        <w:rPr>
          <w:rFonts w:ascii="Calibri" w:hAnsi="Calibri"/>
        </w:rPr>
        <w:t>Payment disputes</w:t>
      </w:r>
    </w:p>
    <w:p>
      <w:pPr>
        <w:numPr>
          <w:ilvl w:val="0"/>
          <w:numId w:val="1"/>
        </w:numPr>
        <w:jc w:val="left"/>
      </w:pPr>
      <w:r>
        <w:rPr>
          <w:rFonts w:ascii="Calibri" w:hAnsi="Calibri"/>
        </w:rPr>
        <w:t>Insufficient access</w:t>
      </w:r>
    </w:p>
    <w:p>
      <w:pPr>
        <w:numPr>
          <w:ilvl w:val="0"/>
          <w:numId w:val="1"/>
        </w:numPr>
        <w:jc w:val="left"/>
      </w:pPr>
      <w:r>
        <w:rPr>
          <w:rFonts w:ascii="Calibri" w:hAnsi="Calibri"/>
        </w:rPr>
        <w:t>Any unsupported state</w:t>
      </w:r>
    </w:p>
    <w:p>
      <w:pPr>
        <w:pStyle w:val="Heading1"/>
        <w:keepNext/>
      </w:pPr>
      <w:r>
        <w:rPr>
          <w:rFonts w:ascii="Calibri" w:hAnsi="Calibri"/>
        </w:rPr>
        <w:t>First buildable vertical slice</w:t>
      </w:r>
    </w:p>
    <w:p>
      <w:pPr>
        <w:pStyle w:val="Heading2"/>
        <w:keepNext/>
      </w:pPr>
      <w:r>
        <w:rPr>
          <w:rFonts w:ascii="Calibri" w:hAnsi="Calibri"/>
        </w:rPr>
        <w:t>Read-only refund summary</w:t>
      </w:r>
    </w:p>
    <w:p>
      <w:pPr/>
      <w:r>
        <w:rPr>
          <w:rFonts w:ascii="Calibri" w:hAnsi="Calibri"/>
        </w:rPr>
        <w:t>A customer-service representative receives one evidence-bearing summary or a finance escalation, then confirms the response.</w:t>
      </w:r>
    </w:p>
    <w:p>
      <w:pPr>
        <w:pStyle w:val="Heading2"/>
        <w:keepNext/>
      </w:pPr>
      <w:r>
        <w:rPr>
          <w:rFonts w:ascii="Calibri" w:hAnsi="Calibri"/>
        </w:rPr>
        <w:t>Every returned result must expose</w:t>
      </w:r>
    </w:p>
    <w:p>
      <w:pPr>
        <w:numPr>
          <w:ilvl w:val="0"/>
          <w:numId w:val="1"/>
        </w:numPr>
        <w:jc w:val="left"/>
      </w:pPr>
      <w:r>
        <w:rPr>
          <w:rFonts w:ascii="Calibri" w:hAnsi="Calibri"/>
        </w:rPr>
        <w:t>Normalized refund status or abstention</w:t>
      </w:r>
    </w:p>
    <w:p>
      <w:pPr>
        <w:numPr>
          <w:ilvl w:val="0"/>
          <w:numId w:val="1"/>
        </w:numPr>
        <w:jc w:val="left"/>
      </w:pPr>
      <w:r>
        <w:rPr>
          <w:rFonts w:ascii="Calibri" w:hAnsi="Calibri"/>
        </w:rPr>
        <w:t>Source evidence</w:t>
      </w:r>
    </w:p>
    <w:p>
      <w:pPr>
        <w:numPr>
          <w:ilvl w:val="0"/>
          <w:numId w:val="1"/>
        </w:numPr>
        <w:jc w:val="left"/>
      </w:pPr>
      <w:r>
        <w:rPr>
          <w:rFonts w:ascii="Calibri" w:hAnsi="Calibri"/>
        </w:rPr>
        <w:t>Retrieval time</w:t>
      </w:r>
    </w:p>
    <w:p>
      <w:pPr>
        <w:numPr>
          <w:ilvl w:val="0"/>
          <w:numId w:val="1"/>
        </w:numPr>
        <w:jc w:val="left"/>
      </w:pPr>
      <w:r>
        <w:rPr>
          <w:rFonts w:ascii="Calibri" w:hAnsi="Calibri"/>
        </w:rPr>
        <w:t>Semantic-definition version</w:t>
      </w:r>
    </w:p>
    <w:p>
      <w:pPr>
        <w:numPr>
          <w:ilvl w:val="0"/>
          <w:numId w:val="1"/>
        </w:numPr>
        <w:jc w:val="left"/>
      </w:pPr>
      <w:r>
        <w:rPr>
          <w:rFonts w:ascii="Calibri" w:hAnsi="Calibri"/>
        </w:rPr>
        <w:t>Freshness status</w:t>
      </w:r>
    </w:p>
    <w:p>
      <w:pPr>
        <w:numPr>
          <w:ilvl w:val="0"/>
          <w:numId w:val="1"/>
        </w:numPr>
        <w:jc w:val="left"/>
      </w:pPr>
      <w:r>
        <w:rPr>
          <w:rFonts w:ascii="Calibri" w:hAnsi="Calibri"/>
        </w:rPr>
        <w:t>Access decision</w:t>
      </w:r>
    </w:p>
    <w:p>
      <w:pPr>
        <w:numPr>
          <w:ilvl w:val="0"/>
          <w:numId w:val="1"/>
        </w:numPr>
        <w:jc w:val="left"/>
      </w:pPr>
      <w:r>
        <w:rPr>
          <w:rFonts w:ascii="Calibri" w:hAnsi="Calibri"/>
        </w:rPr>
        <w:t>Response template or escalation reason</w:t>
      </w:r>
    </w:p>
    <w:p>
      <w:pPr>
        <w:pStyle w:val="Heading2"/>
        <w:keepNext/>
      </w:pPr>
      <w:r>
        <w:rPr>
          <w:rFonts w:ascii="Calibri" w:hAnsi="Calibri"/>
        </w:rPr>
        <w:t>Case-owned capability and integration seams</w:t>
      </w:r>
    </w:p>
    <w:tbl>
      <w:tblPr>
        <w:tblW w:w="9360" w:type="dxa"/>
        <w:tblInd w:w="120" w:type="dxa"/>
        <w:tblLayout w:type="fixed"/>
        <w:tblBorders>
          <w:top w:val="single" w:sz="4" w:color="D7DEE8"/>
          <w:left w:val="single" w:sz="4" w:color="D7DEE8"/>
          <w:bottom w:val="single" w:sz="4" w:color="D7DEE8"/>
          <w:right w:val="single" w:sz="4" w:color="D7DEE8"/>
          <w:insideH w:val="single" w:sz="4" w:color="D7DEE8"/>
          <w:insideV w:val="single" w:sz="4" w:color="D7DEE8"/>
        </w:tblBorders>
      </w:tblPr>
      <w:tblGrid>
        <w:gridCol w:w="2600"/>
        <w:gridCol w:w="1300"/>
        <w:gridCol w:w="5460"/>
      </w:tblGrid>
      <w:tr>
        <w:trPr>
          <w:tblHeader/>
        </w:trPr>
        <w:tc>
          <w:tcPr>
            <w:tcW w:w="2600" w:type="dxa"/>
            <w:shd w:val="clear" w:color="auto"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4D78"/>
              </w:rPr>
              <w:t>Seam</w:t>
            </w:r>
          </w:p>
        </w:tc>
        <w:tc>
          <w:tcPr>
            <w:tcW w:w="1300" w:type="dxa"/>
            <w:shd w:val="clear" w:color="auto"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4D78"/>
              </w:rPr>
              <w:t>Status</w:t>
            </w:r>
          </w:p>
        </w:tc>
        <w:tc>
          <w:tcPr>
            <w:tcW w:w="5460" w:type="dxa"/>
            <w:shd w:val="clear" w:color="auto"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4D78"/>
              </w:rPr>
              <w:t>Restriction</w:t>
            </w:r>
          </w:p>
        </w:tc>
      </w:tr>
      <w:tr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Proposed order and payment read model</w:t>
            </w:r>
          </w:p>
        </w:tc>
        <w:tc>
          <w:tcPr>
            <w:tcW w:w="13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proposed</w:t>
            </w:r>
          </w:p>
        </w:tc>
        <w:tc>
          <w:tcPr>
            <w:tcW w:w="54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No enterprise source or freshness SLA is established.</w:t>
            </w:r>
          </w:p>
        </w:tc>
      </w:tr>
      <w:tr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Refund semantic definition</w:t>
            </w:r>
          </w:p>
        </w:tc>
        <w:tc>
          <w:tcPr>
            <w:tcW w:w="13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proposed</w:t>
            </w:r>
          </w:p>
        </w:tc>
        <w:tc>
          <w:tcPr>
            <w:tcW w:w="54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Finance-owner acceptance is missing.</w:t>
            </w:r>
          </w:p>
        </w:tc>
      </w:tr>
      <w:tr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Context and access decision</w:t>
            </w:r>
          </w:p>
        </w:tc>
        <w:tc>
          <w:tcPr>
            <w:tcW w:w="13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proposed</w:t>
            </w:r>
          </w:p>
        </w:tc>
        <w:tc>
          <w:tcPr>
            <w:tcW w:w="54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No enterprise identity or permission evidence is established.</w:t>
            </w:r>
          </w:p>
        </w:tc>
      </w:tr>
      <w:tr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Customer-service support view</w:t>
            </w:r>
          </w:p>
        </w:tc>
        <w:tc>
          <w:tcPr>
            <w:tcW w:w="13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proposed</w:t>
            </w:r>
          </w:p>
        </w:tc>
        <w:tc>
          <w:tcPr>
            <w:tcW w:w="54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No runtime, hosting, or telemetry decision is established.</w:t>
            </w:r>
          </w:p>
        </w:tc>
      </w:tr>
    </w:tbl>
    <w:p>
      <w:pPr>
        <w:pStyle w:val="Heading2"/>
        <w:keepNext/>
      </w:pPr>
      <w:r>
        <w:rPr>
          <w:rFonts w:ascii="Calibri" w:hAnsi="Calibri"/>
        </w:rPr>
        <w:t>Explicitly deferred</w:t>
      </w:r>
    </w:p>
    <w:p>
      <w:pPr>
        <w:numPr>
          <w:ilvl w:val="0"/>
          <w:numId w:val="1"/>
        </w:numPr>
        <w:jc w:val="left"/>
      </w:pPr>
      <w:r>
        <w:rPr>
          <w:rFonts w:ascii="Calibri" w:hAnsi="Calibri"/>
        </w:rPr>
        <w:t>Enterprise source integration</w:t>
      </w:r>
    </w:p>
    <w:p>
      <w:pPr>
        <w:numPr>
          <w:ilvl w:val="0"/>
          <w:numId w:val="1"/>
        </w:numPr>
        <w:jc w:val="left"/>
      </w:pPr>
      <w:r>
        <w:rPr>
          <w:rFonts w:ascii="Calibri" w:hAnsi="Calibri"/>
        </w:rPr>
        <w:t>Identity and authorization integration</w:t>
      </w:r>
    </w:p>
    <w:p>
      <w:pPr>
        <w:numPr>
          <w:ilvl w:val="0"/>
          <w:numId w:val="1"/>
        </w:numPr>
        <w:jc w:val="left"/>
      </w:pPr>
      <w:r>
        <w:rPr>
          <w:rFonts w:ascii="Calibri" w:hAnsi="Calibri"/>
        </w:rPr>
        <w:t>Persistent telemetry</w:t>
      </w:r>
    </w:p>
    <w:p>
      <w:pPr>
        <w:numPr>
          <w:ilvl w:val="0"/>
          <w:numId w:val="1"/>
        </w:numPr>
        <w:jc w:val="left"/>
      </w:pPr>
      <w:r>
        <w:rPr>
          <w:rFonts w:ascii="Calibri" w:hAnsi="Calibri"/>
        </w:rPr>
        <w:t>Direct customer response</w:t>
      </w:r>
    </w:p>
    <w:p>
      <w:pPr>
        <w:numPr>
          <w:ilvl w:val="0"/>
          <w:numId w:val="1"/>
        </w:numPr>
        <w:jc w:val="left"/>
      </w:pPr>
      <w:r>
        <w:rPr>
          <w:rFonts w:ascii="Calibri" w:hAnsi="Calibri"/>
        </w:rPr>
        <w:t>AI wording assistance</w:t>
      </w:r>
    </w:p>
    <w:p>
      <w:pPr>
        <w:numPr>
          <w:ilvl w:val="0"/>
          <w:numId w:val="1"/>
        </w:numPr>
        <w:jc w:val="left"/>
      </w:pPr>
      <w:r>
        <w:rPr>
          <w:rFonts w:ascii="Calibri" w:hAnsi="Calibri"/>
        </w:rPr>
        <w:t>Refund approval or compensation</w:t>
      </w:r>
    </w:p>
    <w:p>
      <w:pPr>
        <w:numPr>
          <w:ilvl w:val="0"/>
          <w:numId w:val="1"/>
        </w:numPr>
        <w:jc w:val="left"/>
      </w:pPr>
      <w:r>
        <w:rPr>
          <w:rFonts w:ascii="Calibri" w:hAnsi="Calibri"/>
        </w:rPr>
        <w:t>Write-back</w:t>
      </w:r>
    </w:p>
    <w:p>
      <w:pPr>
        <w:pStyle w:val="Heading1"/>
        <w:keepNext/>
      </w:pPr>
      <w:r>
        <w:rPr>
          <w:rFonts w:ascii="Calibri" w:hAnsi="Calibri"/>
        </w:rPr>
        <w:t>Authority and controls</w:t>
      </w:r>
    </w:p>
    <w:p>
      <w:pPr/>
      <w:r>
        <w:rPr>
          <w:rFonts w:ascii="Calibri" w:hAnsi="Calibri"/>
        </w:rPr>
        <w:t>Proposed application form: Read-only customer-service support view. Proposed tier: read-only query.</w:t>
      </w:r>
    </w:p>
    <w:p>
      <w:pPr>
        <w:shd w:val="clear" w:color="auto" w:fill="FFEDF1"/>
        <w:pBdr>
          <w:left w:val="single" w:sz="24" w:space="8" w:color="B4233D"/>
        </w:pBdr>
      </w:pPr>
      <w:r>
        <w:rPr>
          <w:rFonts w:ascii="Calibri" w:hAnsi="Calibri"/>
        </w:rPr>
        <w:t>Read-only; no write-back; human confirmation required. Enterprise access decision: missing.</w:t>
      </w:r>
    </w:p>
    <w:p>
      <w:pPr/>
      <w:r>
        <w:rPr>
          <w:rFonts w:ascii="Calibri" w:hAnsi="Calibri"/>
        </w:rPr>
        <w:t>The package authorizes no enterprise access, pilot, direct customer response, persistent telemetry, or system effect.</w:t>
      </w:r>
    </w:p>
    <w:p>
      <w:pPr>
        <w:pStyle w:val="Heading1"/>
        <w:keepNext/>
      </w:pPr>
      <w:r>
        <w:rPr>
          <w:rFonts w:ascii="Calibri" w:hAnsi="Calibri"/>
        </w:rPr>
        <w:t>Validation, rollout, and rollback</w:t>
      </w:r>
    </w:p>
    <w:p>
      <w:pPr/>
      <w:r>
        <w:rPr>
          <w:rFonts w:ascii="Calibri" w:hAnsi="Calibri"/>
        </w:rPr>
        <w:t>Proposed method: De-identified historical shadow replay.</w:t>
      </w:r>
    </w:p>
    <w:p>
      <w:pPr>
        <w:pStyle w:val="Heading2"/>
        <w:keepNext/>
      </w:pPr>
      <w:r>
        <w:rPr>
          <w:rFonts w:ascii="Calibri" w:hAnsi="Calibri"/>
        </w:rPr>
        <w:t>Entry criteria</w:t>
      </w:r>
    </w:p>
    <w:p>
      <w:pPr>
        <w:numPr>
          <w:ilvl w:val="0"/>
          <w:numId w:val="1"/>
        </w:numPr>
        <w:jc w:val="left"/>
      </w:pPr>
      <w:r>
        <w:rPr>
          <w:rFonts w:ascii="Calibri" w:hAnsi="Calibri"/>
        </w:rPr>
        <w:t>Both owner roles accept the target flow and semantic contract</w:t>
      </w:r>
    </w:p>
    <w:p>
      <w:pPr>
        <w:numPr>
          <w:ilvl w:val="0"/>
          <w:numId w:val="1"/>
        </w:numPr>
        <w:jc w:val="left"/>
      </w:pPr>
      <w:r>
        <w:rPr>
          <w:rFonts w:ascii="Calibri" w:hAnsi="Calibri"/>
        </w:rPr>
        <w:t>A de-identified replay set is authorized and available</w:t>
      </w:r>
    </w:p>
    <w:p>
      <w:pPr>
        <w:numPr>
          <w:ilvl w:val="0"/>
          <w:numId w:val="1"/>
        </w:numPr>
        <w:jc w:val="left"/>
      </w:pPr>
      <w:r>
        <w:rPr>
          <w:rFonts w:ascii="Calibri" w:hAnsi="Calibri"/>
        </w:rPr>
        <w:t>Source, identity, access, freshness, and retention decisions are evidenced</w:t>
      </w:r>
    </w:p>
    <w:p>
      <w:pPr>
        <w:numPr>
          <w:ilvl w:val="0"/>
          <w:numId w:val="1"/>
        </w:numPr>
        <w:jc w:val="left"/>
      </w:pPr>
      <w:r>
        <w:rPr>
          <w:rFonts w:ascii="Calibri" w:hAnsi="Calibri"/>
        </w:rPr>
        <w:t>An accepted handling-time and incorrect-response baseline exists</w:t>
      </w:r>
    </w:p>
    <w:tbl>
      <w:tblPr>
        <w:tblW w:w="9360" w:type="dxa"/>
        <w:tblInd w:w="120" w:type="dxa"/>
        <w:tblLayout w:type="fixed"/>
        <w:tblBorders>
          <w:top w:val="single" w:sz="4" w:color="D7DEE8"/>
          <w:left w:val="single" w:sz="4" w:color="D7DEE8"/>
          <w:bottom w:val="single" w:sz="4" w:color="D7DEE8"/>
          <w:right w:val="single" w:sz="4" w:color="D7DEE8"/>
          <w:insideH w:val="single" w:sz="4" w:color="D7DEE8"/>
          <w:insideV w:val="single" w:sz="4" w:color="D7DEE8"/>
        </w:tblBorders>
      </w:tblPr>
      <w:tblGrid>
        <w:gridCol w:w="600"/>
        <w:gridCol w:w="1900"/>
        <w:gridCol w:w="4800"/>
        <w:gridCol w:w="2060"/>
      </w:tblGrid>
      <w:tr>
        <w:trPr>
          <w:tblHeader/>
        </w:trPr>
        <w:tc>
          <w:tcPr>
            <w:tcW w:w="600" w:type="dxa"/>
            <w:shd w:val="clear" w:color="auto"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4D78"/>
              </w:rPr>
              <w:t>ID</w:t>
            </w:r>
          </w:p>
        </w:tc>
        <w:tc>
          <w:tcPr>
            <w:tcW w:w="1900" w:type="dxa"/>
            <w:shd w:val="clear" w:color="auto"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4D78"/>
              </w:rPr>
              <w:t>Criterion</w:t>
            </w:r>
          </w:p>
        </w:tc>
        <w:tc>
          <w:tcPr>
            <w:tcW w:w="4800" w:type="dxa"/>
            <w:shd w:val="clear" w:color="auto"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4D78"/>
              </w:rPr>
              <w:t>Proposed threshold</w:t>
            </w:r>
          </w:p>
        </w:tc>
        <w:tc>
          <w:tcPr>
            <w:tcW w:w="2060" w:type="dxa"/>
            <w:shd w:val="clear" w:color="auto"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4D78"/>
              </w:rPr>
              <w:t>Failure effect</w:t>
            </w:r>
          </w:p>
        </w:tc>
      </w:tr>
      <w:tr>
        <w:tc>
          <w:tcPr>
            <w:tcW w:w="6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V1</w:t>
            </w:r>
          </w:p>
        </w:tc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Supported-state mapping</w:t>
            </w:r>
          </w:p>
        </w:tc>
        <w:tc>
          <w:tcPr>
            <w:tcW w:w="48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100% mapping for Refund not initiated, Refund processing, and Refund completed</w:t>
            </w:r>
          </w:p>
        </w:tc>
        <w:tc>
          <w:tcPr>
            <w:tcW w:w="20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Blocks shadow acceptance</w:t>
            </w:r>
          </w:p>
        </w:tc>
      </w:tr>
      <w:tr>
        <w:tc>
          <w:tcPr>
            <w:tcW w:w="6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V2</w:t>
            </w:r>
          </w:p>
        </w:tc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Abstention</w:t>
            </w:r>
          </w:p>
        </w:tc>
        <w:tc>
          <w:tcPr>
            <w:tcW w:w="48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100% of missing, conflicting, stale, failed, rejected, disputed, unauthorized, and unsupported cases abstain</w:t>
            </w:r>
          </w:p>
        </w:tc>
        <w:tc>
          <w:tcPr>
            <w:tcW w:w="20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Blocks shadow acceptance</w:t>
            </w:r>
          </w:p>
        </w:tc>
      </w:tr>
      <w:tr>
        <w:tc>
          <w:tcPr>
            <w:tcW w:w="6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V3</w:t>
            </w:r>
          </w:p>
        </w:tc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Handling time</w:t>
            </w:r>
          </w:p>
        </w:tc>
        <w:tc>
          <w:tcPr>
            <w:tcW w:w="48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Average simulated handling time &lt;= 3 minutes</w:t>
            </w:r>
          </w:p>
        </w:tc>
        <w:tc>
          <w:tcPr>
            <w:tcW w:w="20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Blocks pilot proposal</w:t>
            </w:r>
          </w:p>
        </w:tc>
      </w:tr>
      <w:tr>
        <w:tc>
          <w:tcPr>
            <w:tcW w:w="6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V4</w:t>
            </w:r>
          </w:p>
        </w:tc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Evidence contract</w:t>
            </w:r>
          </w:p>
        </w:tc>
        <w:tc>
          <w:tcPr>
            <w:tcW w:w="48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Every result exposes source evidence, retrieval time, semantic version, freshness, and access decision</w:t>
            </w:r>
          </w:p>
        </w:tc>
        <w:tc>
          <w:tcPr>
            <w:tcW w:w="20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Blocks shadow acceptance</w:t>
            </w:r>
          </w:p>
        </w:tc>
      </w:tr>
      <w:tr>
        <w:tc>
          <w:tcPr>
            <w:tcW w:w="6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V5</w:t>
            </w:r>
          </w:p>
        </w:tc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Response quality</w:t>
            </w:r>
          </w:p>
        </w:tc>
        <w:tc>
          <w:tcPr>
            <w:tcW w:w="48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Incorrect refund-status responses do not increase against an accepted baseline</w:t>
            </w:r>
          </w:p>
        </w:tc>
        <w:tc>
          <w:tcPr>
            <w:tcW w:w="20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Blocks pilot proposal</w:t>
            </w:r>
          </w:p>
        </w:tc>
      </w:tr>
      <w:tr>
        <w:tc>
          <w:tcPr>
            <w:tcW w:w="6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V6</w:t>
            </w:r>
          </w:p>
        </w:tc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Owner acceptance</w:t>
            </w:r>
          </w:p>
        </w:tc>
        <w:tc>
          <w:tcPr>
            <w:tcW w:w="48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Both named owner roles accept the shadow result</w:t>
            </w:r>
          </w:p>
        </w:tc>
        <w:tc>
          <w:tcPr>
            <w:tcW w:w="20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Blocks pilot proposal</w:t>
            </w:r>
          </w:p>
        </w:tc>
      </w:tr>
    </w:tbl>
    <w:p>
      <w:pPr>
        <w:shd w:val="clear" w:color="auto" w:fill="F4F6F9"/>
      </w:pPr>
      <w:r>
        <w:rPr>
          <w:rFonts w:ascii="Calibri" w:hAnsi="Calibri"/>
        </w:rPr>
        <w:t>Rollback: Remove the support view from the shadow workflow and return to the current inquiry process. No business-system compensation is required because the slice performs no write-back.</w:t>
      </w:r>
    </w:p>
    <w:p>
      <w:pPr>
        <w:pStyle w:val="Heading1"/>
        <w:keepNext/>
      </w:pPr>
      <w:r>
        <w:rPr>
          <w:rFonts w:ascii="Calibri" w:hAnsi="Calibri"/>
        </w:rPr>
        <w:t>Evidence ledger</w:t>
      </w:r>
    </w:p>
    <w:p>
      <w:pPr>
        <w:pStyle w:val="Heading3"/>
        <w:keepNext/>
      </w:pPr>
      <w:r>
        <w:rPr>
          <w:rFonts w:ascii="Calibri" w:hAnsi="Calibri"/>
        </w:rPr>
        <w:t>E1 — evidenced</w:t>
      </w:r>
    </w:p>
    <w:p>
      <w:pPr/>
      <w:r>
        <w:rPr>
          <w:rFonts w:ascii="Calibri" w:hAnsi="Calibri"/>
        </w:rPr>
        <w:t>The package and every business fact or number in it are proposed synthetic.</w:t>
      </w:r>
    </w:p>
    <w:p>
      <w:pPr>
        <w:shd w:val="clear" w:color="auto" w:fill="F4F6F9"/>
      </w:pPr>
      <w:r>
        <w:rPr>
          <w:rFonts w:ascii="Calibri" w:hAnsi="Calibri"/>
          <w:b/>
        </w:rPr>
        <w:t xml:space="preserve">Source: </w:t>
      </w:r>
      <w:r>
        <w:rPr>
          <w:rFonts w:ascii="Calibri" w:hAnsi="Calibri"/>
        </w:rPr>
        <w:t>request.md and analysis-package.json</w:t>
      </w:r>
      <w:r>
        <w:rPr>
          <w:rFonts w:ascii="Calibri" w:hAnsi="Calibri"/>
          <w:b/>
        </w:rPr>
        <w:t xml:space="preserve">  Restriction: </w:t>
      </w:r>
      <w:r>
        <w:rPr>
          <w:rFonts w:ascii="Calibri" w:hAnsi="Calibri"/>
        </w:rPr>
        <w:t>No target-enterprise fact may be inferred.</w:t>
      </w:r>
    </w:p>
    <w:p>
      <w:pPr>
        <w:pStyle w:val="Heading3"/>
        <w:keepNext/>
      </w:pPr>
      <w:r>
        <w:rPr>
          <w:rFonts w:ascii="Calibri" w:hAnsi="Calibri"/>
        </w:rPr>
        <w:t>E2 — proposed</w:t>
      </w:r>
    </w:p>
    <w:p>
      <w:pPr/>
      <w:r>
        <w:rPr>
          <w:rFonts w:ascii="Calibri" w:hAnsi="Calibri"/>
        </w:rPr>
        <w:t>Cross-system lookup and manual state interpretation are the main delays.</w:t>
      </w:r>
    </w:p>
    <w:p>
      <w:pPr>
        <w:shd w:val="clear" w:color="auto" w:fill="F4F6F9"/>
      </w:pPr>
      <w:r>
        <w:rPr>
          <w:rFonts w:ascii="Calibri" w:hAnsi="Calibri"/>
          <w:b/>
        </w:rPr>
        <w:t xml:space="preserve">Source: </w:t>
      </w:r>
      <w:r>
        <w:rPr>
          <w:rFonts w:ascii="Calibri" w:hAnsi="Calibri"/>
        </w:rPr>
        <w:t>request.md diagnosis hypothesis</w:t>
      </w:r>
      <w:r>
        <w:rPr>
          <w:rFonts w:ascii="Calibri" w:hAnsi="Calibri"/>
          <w:b/>
        </w:rPr>
        <w:t xml:space="preserve">  Restriction: </w:t>
      </w:r>
      <w:r>
        <w:rPr>
          <w:rFonts w:ascii="Calibri" w:hAnsi="Calibri"/>
        </w:rPr>
        <w:t>Requires process observation and owner/user confirmation.</w:t>
      </w:r>
    </w:p>
    <w:p>
      <w:pPr>
        <w:pStyle w:val="Heading3"/>
        <w:keepNext/>
      </w:pPr>
      <w:r>
        <w:rPr>
          <w:rFonts w:ascii="Calibri" w:hAnsi="Calibri"/>
        </w:rPr>
        <w:t>E3 — unverifiable</w:t>
      </w:r>
    </w:p>
    <w:p>
      <w:pPr/>
      <w:r>
        <w:rPr>
          <w:rFonts w:ascii="Calibri" w:hAnsi="Calibri"/>
        </w:rPr>
        <w:t>Average handling time can improve from 8 minutes to 3 minutes without increasing incorrect responses.</w:t>
      </w:r>
    </w:p>
    <w:p>
      <w:pPr>
        <w:shd w:val="clear" w:color="auto" w:fill="F4F6F9"/>
      </w:pPr>
      <w:r>
        <w:rPr>
          <w:rFonts w:ascii="Calibri" w:hAnsi="Calibri"/>
          <w:b/>
        </w:rPr>
        <w:t xml:space="preserve">Source: </w:t>
      </w:r>
      <w:r>
        <w:rPr>
          <w:rFonts w:ascii="Calibri" w:hAnsi="Calibri"/>
        </w:rPr>
        <w:t>proposed synthetic baseline and target in request.md</w:t>
      </w:r>
      <w:r>
        <w:rPr>
          <w:rFonts w:ascii="Calibri" w:hAnsi="Calibri"/>
          <w:b/>
        </w:rPr>
        <w:t xml:space="preserve">  Restriction: </w:t>
      </w:r>
      <w:r>
        <w:rPr>
          <w:rFonts w:ascii="Calibri" w:hAnsi="Calibri"/>
        </w:rPr>
        <w:t>Requires an accepted baseline and authorized shadow replay.</w:t>
      </w:r>
    </w:p>
    <w:p>
      <w:pPr>
        <w:pStyle w:val="Heading3"/>
        <w:keepNext/>
      </w:pPr>
      <w:r>
        <w:rPr>
          <w:rFonts w:ascii="Calibri" w:hAnsi="Calibri"/>
        </w:rPr>
        <w:t>E4 — missing</w:t>
      </w:r>
    </w:p>
    <w:p>
      <w:pPr/>
      <w:r>
        <w:rPr>
          <w:rFonts w:ascii="Calibri" w:hAnsi="Calibri"/>
        </w:rPr>
        <w:t>The three normalized refund states and exception policy are accepted business definitions.</w:t>
      </w:r>
    </w:p>
    <w:p>
      <w:pPr>
        <w:shd w:val="clear" w:color="auto" w:fill="F4F6F9"/>
      </w:pPr>
      <w:r>
        <w:rPr>
          <w:rFonts w:ascii="Calibri" w:hAnsi="Calibri"/>
          <w:b/>
        </w:rPr>
        <w:t xml:space="preserve">Source: </w:t>
      </w:r>
      <w:r>
        <w:rPr>
          <w:rFonts w:ascii="Calibri" w:hAnsi="Calibri"/>
        </w:rPr>
        <w:t>finance-owner evidence not supplied</w:t>
      </w:r>
      <w:r>
        <w:rPr>
          <w:rFonts w:ascii="Calibri" w:hAnsi="Calibri"/>
          <w:b/>
        </w:rPr>
        <w:t xml:space="preserve">  Restriction: </w:t>
      </w:r>
      <w:r>
        <w:rPr>
          <w:rFonts w:ascii="Calibri" w:hAnsi="Calibri"/>
        </w:rPr>
        <w:t>Blocks G2 and any real-data implementation.</w:t>
      </w:r>
    </w:p>
    <w:p>
      <w:pPr>
        <w:pStyle w:val="Heading3"/>
        <w:keepNext/>
      </w:pPr>
      <w:r>
        <w:rPr>
          <w:rFonts w:ascii="Calibri" w:hAnsi="Calibri"/>
        </w:rPr>
        <w:t>E5 — missing</w:t>
      </w:r>
    </w:p>
    <w:p>
      <w:pPr/>
      <w:r>
        <w:rPr>
          <w:rFonts w:ascii="Calibri" w:hAnsi="Calibri"/>
        </w:rPr>
        <w:t>Enterprise order and payment sources can be read with appropriate freshness and access decisions.</w:t>
      </w:r>
    </w:p>
    <w:p>
      <w:pPr>
        <w:shd w:val="clear" w:color="auto" w:fill="F4F6F9"/>
      </w:pPr>
      <w:r>
        <w:rPr>
          <w:rFonts w:ascii="Calibri" w:hAnsi="Calibri"/>
          <w:b/>
        </w:rPr>
        <w:t xml:space="preserve">Source: </w:t>
      </w:r>
      <w:r>
        <w:rPr>
          <w:rFonts w:ascii="Calibri" w:hAnsi="Calibri"/>
        </w:rPr>
        <w:t>source, identity, permission, and freshness evidence not supplied</w:t>
      </w:r>
      <w:r>
        <w:rPr>
          <w:rFonts w:ascii="Calibri" w:hAnsi="Calibri"/>
          <w:b/>
        </w:rPr>
        <w:t xml:space="preserve">  Restriction: </w:t>
      </w:r>
      <w:r>
        <w:rPr>
          <w:rFonts w:ascii="Calibri" w:hAnsi="Calibri"/>
        </w:rPr>
        <w:t>Blocks enterprise integration and shadow replay.</w:t>
      </w:r>
    </w:p>
    <w:p>
      <w:pPr>
        <w:pStyle w:val="Heading3"/>
        <w:keepNext/>
      </w:pPr>
      <w:r>
        <w:rPr>
          <w:rFonts w:ascii="Calibri" w:hAnsi="Calibri"/>
        </w:rPr>
        <w:t>E6 — missing</w:t>
      </w:r>
    </w:p>
    <w:p>
      <w:pPr/>
      <w:r>
        <w:rPr>
          <w:rFonts w:ascii="Calibri" w:hAnsi="Calibri"/>
        </w:rPr>
        <w:t>The named owner roles accept the current diagnosis, target flow, semantics, thresholds, and rollout.</w:t>
      </w:r>
    </w:p>
    <w:p>
      <w:pPr>
        <w:shd w:val="clear" w:color="auto" w:fill="F4F6F9"/>
      </w:pPr>
      <w:r>
        <w:rPr>
          <w:rFonts w:ascii="Calibri" w:hAnsi="Calibri"/>
          <w:b/>
        </w:rPr>
        <w:t xml:space="preserve">Source: </w:t>
      </w:r>
      <w:r>
        <w:rPr>
          <w:rFonts w:ascii="Calibri" w:hAnsi="Calibri"/>
        </w:rPr>
        <w:t>no accountable acceptance record supplied</w:t>
      </w:r>
      <w:r>
        <w:rPr>
          <w:rFonts w:ascii="Calibri" w:hAnsi="Calibri"/>
          <w:b/>
        </w:rPr>
        <w:t xml:space="preserve">  Restriction: </w:t>
      </w:r>
      <w:r>
        <w:rPr>
          <w:rFonts w:ascii="Calibri" w:hAnsi="Calibri"/>
        </w:rPr>
        <w:t>Keeps the scenario and solution proposed.</w:t>
      </w:r>
    </w:p>
    <w:p>
      <w:pPr>
        <w:pStyle w:val="Heading3"/>
        <w:keepNext/>
      </w:pPr>
      <w:r>
        <w:rPr>
          <w:rFonts w:ascii="Calibri" w:hAnsi="Calibri"/>
        </w:rPr>
        <w:t>E7 — proposed</w:t>
      </w:r>
    </w:p>
    <w:p>
      <w:pPr/>
      <w:r>
        <w:rPr>
          <w:rFonts w:ascii="Calibri" w:hAnsi="Calibri"/>
        </w:rPr>
        <w:t>AI is unnecessary for the deterministic first-slice contract.</w:t>
      </w:r>
    </w:p>
    <w:p>
      <w:pPr>
        <w:shd w:val="clear" w:color="auto" w:fill="F4F6F9"/>
      </w:pPr>
      <w:r>
        <w:rPr>
          <w:rFonts w:ascii="Calibri" w:hAnsi="Calibri"/>
          <w:b/>
        </w:rPr>
        <w:t xml:space="preserve">Source: </w:t>
      </w:r>
      <w:r>
        <w:rPr>
          <w:rFonts w:ascii="Calibri" w:hAnsi="Calibri"/>
        </w:rPr>
        <w:t>process diagnosis, intervention allocation, and closed rule set in this package</w:t>
      </w:r>
      <w:r>
        <w:rPr>
          <w:rFonts w:ascii="Calibri" w:hAnsi="Calibri"/>
          <w:b/>
        </w:rPr>
        <w:t xml:space="preserve">  Restriction: </w:t>
      </w:r>
      <w:r>
        <w:rPr>
          <w:rFonts w:ascii="Calibri" w:hAnsi="Calibri"/>
        </w:rPr>
        <w:t>Revisit only after shadow evidence shows residual language or wording burden.</w:t>
      </w:r>
    </w:p>
    <w:p>
      <w:pPr>
        <w:pStyle w:val="Heading3"/>
        <w:keepNext/>
      </w:pPr>
      <w:r>
        <w:rPr>
          <w:rFonts w:ascii="Calibri" w:hAnsi="Calibri"/>
        </w:rPr>
        <w:t>E8 — missing</w:t>
      </w:r>
    </w:p>
    <w:p>
      <w:pPr/>
      <w:r>
        <w:rPr>
          <w:rFonts w:ascii="Calibri" w:hAnsi="Calibri"/>
        </w:rPr>
        <w:t>Write-back or direct customer response is authorized.</w:t>
      </w:r>
    </w:p>
    <w:p>
      <w:pPr>
        <w:shd w:val="clear" w:color="auto" w:fill="F4F6F9"/>
      </w:pPr>
      <w:r>
        <w:rPr>
          <w:rFonts w:ascii="Calibri" w:hAnsi="Calibri"/>
          <w:b/>
        </w:rPr>
        <w:t xml:space="preserve">Source: </w:t>
      </w:r>
      <w:r>
        <w:rPr>
          <w:rFonts w:ascii="Calibri" w:hAnsi="Calibri"/>
        </w:rPr>
        <w:t>no authorization or G5 control evidence supplied</w:t>
      </w:r>
      <w:r>
        <w:rPr>
          <w:rFonts w:ascii="Calibri" w:hAnsi="Calibri"/>
          <w:b/>
        </w:rPr>
        <w:t xml:space="preserve">  Restriction: </w:t>
      </w:r>
      <w:r>
        <w:rPr>
          <w:rFonts w:ascii="Calibri" w:hAnsi="Calibri"/>
        </w:rPr>
        <w:t>Write-back and direct automation remain prohibited.</w:t>
      </w:r>
    </w:p>
    <w:p>
      <w:pPr>
        <w:pStyle w:val="Heading1"/>
        <w:keepNext/>
      </w:pPr>
      <w:r>
        <w:rPr>
          <w:rFonts w:ascii="Calibri" w:hAnsi="Calibri"/>
        </w:rPr>
        <w:t>Next accountable action</w:t>
      </w:r>
    </w:p>
    <w:p>
      <w:pPr>
        <w:shd w:val="clear" w:color="auto" w:fill="E7F5F7"/>
        <w:pBdr>
          <w:left w:val="single" w:sz="24" w:space="8" w:color="0B7285"/>
        </w:pBdr>
      </w:pPr>
      <w:r>
        <w:rPr>
          <w:rFonts w:ascii="Calibri" w:hAnsi="Calibri"/>
          <w:b/>
          <w:color w:val="102A43"/>
        </w:rPr>
        <w:t>Run a process-and-semantics acceptance session, then authorize a de-identified shadow replay only if the entry criteria are met.</w:t>
      </w:r>
    </w:p>
    <w:p>
      <w:pPr/>
      <w:r>
        <w:rPr>
          <w:rFonts w:ascii="Calibri" w:hAnsi="Calibri"/>
        </w:rPr>
        <w:t>Owners: Customer-service operations lead and Finance refund owner</w:t>
      </w:r>
    </w:p>
    <w:p>
      <w:pPr>
        <w:pStyle w:val="Heading2"/>
        <w:keepNext/>
      </w:pPr>
      <w:r>
        <w:rPr>
          <w:rFonts w:ascii="Calibri" w:hAnsi="Calibri"/>
        </w:rPr>
        <w:t>Required inputs</w:t>
      </w:r>
    </w:p>
    <w:p>
      <w:pPr>
        <w:numPr>
          <w:ilvl w:val="0"/>
          <w:numId w:val="1"/>
        </w:numPr>
        <w:jc w:val="left"/>
      </w:pPr>
      <w:r>
        <w:rPr>
          <w:rFonts w:ascii="Calibri" w:hAnsi="Calibri"/>
        </w:rPr>
        <w:t>Observed current normal, exception, escalation, and rework paths</w:t>
      </w:r>
    </w:p>
    <w:p>
      <w:pPr>
        <w:numPr>
          <w:ilvl w:val="0"/>
          <w:numId w:val="1"/>
        </w:numPr>
        <w:jc w:val="left"/>
      </w:pPr>
      <w:r>
        <w:rPr>
          <w:rFonts w:ascii="Calibri" w:hAnsi="Calibri"/>
        </w:rPr>
        <w:t>Accepted handling-time and response-quality baselines</w:t>
      </w:r>
    </w:p>
    <w:p>
      <w:pPr>
        <w:numPr>
          <w:ilvl w:val="0"/>
          <w:numId w:val="1"/>
        </w:numPr>
        <w:jc w:val="left"/>
      </w:pPr>
      <w:r>
        <w:rPr>
          <w:rFonts w:ascii="Calibri" w:hAnsi="Calibri"/>
        </w:rPr>
        <w:t>Finance-owned state and exception definitions</w:t>
      </w:r>
    </w:p>
    <w:p>
      <w:pPr>
        <w:numPr>
          <w:ilvl w:val="0"/>
          <w:numId w:val="1"/>
        </w:numPr>
        <w:jc w:val="left"/>
      </w:pPr>
      <w:r>
        <w:rPr>
          <w:rFonts w:ascii="Calibri" w:hAnsi="Calibri"/>
        </w:rPr>
        <w:t>Source, identity, access, freshness, privacy, and retention decisions</w:t>
      </w:r>
    </w:p>
    <w:p>
      <w:pPr>
        <w:numPr>
          <w:ilvl w:val="0"/>
          <w:numId w:val="1"/>
        </w:numPr>
        <w:jc w:val="left"/>
      </w:pPr>
      <w:r>
        <w:rPr>
          <w:rFonts w:ascii="Calibri" w:hAnsi="Calibri"/>
        </w:rPr>
        <w:t>Authorized de-identified replay set</w:t>
      </w:r>
    </w:p>
    <w:p>
      <w:pPr/>
      <w:r>
        <w:rPr>
          <w:rFonts w:ascii="Calibri" w:hAnsi="Calibri"/>
        </w:rPr>
        <w:t>Observable completion: Both owners sign an acceptance record that names the target flow, semantic version, thresholds, evidence access, and shadow boundary.</w:t>
      </w:r>
    </w:p>
    <w:sectPr>
      <w:headerReference w:type="default" r:id="rId1"/>
      <w:footerReference w:type="default" r:id="rId2"/>
      <w:pgSz w:w="12240" w:h="15840"/>
      <w:pgMar w:top="1440" w:right="1440" w:bottom="1440" w:left="1440" w:header="708" w:footer="708"/>
      <w:cols w:space="708"/>
      <w:docGrid w:linePitch="360"/>
    </w:sectPr>
  </w:body>
</w:document>
</file>

<file path=word/footer1.xml><?xml version="1.0" encoding="utf-8"?>
<w:ftr xmlns:w="http://schemas.openxmlformats.org/wordprocessingml/2006/main">
  <w:p>
    <w:pPr>
      <w:jc w:val="right"/>
      <w:spacing w:before="0" w:after="0"/>
    </w:pPr>
    <w:r>
      <w:rPr>
        <w:rFonts w:ascii="Calibri" w:hAnsi="Calibri"/>
        <w:color w:val="5F6E80"/>
        <w:sz w:val="16"/>
        <w:szCs w:val="16"/>
      </w:rPr>
      <w:t xml:space="preserve">Proposed synthetic  |  Page </w:t>
    </w: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w="http://schemas.openxmlformats.org/wordprocessingml/2006/main">
  <w:p>
    <w:pPr>
      <w:spacing w:after="0"/>
      <w:jc w:val="left"/>
      <w:pBdr>
        <w:bottom w:val="single" w:sz="4" w:space="6" w:color="D7DEE8"/>
      </w:pBdr>
    </w:pPr>
    <w:r>
      <w:rPr>
        <w:rFonts w:ascii="Calibri" w:hAnsi="Calibri"/>
        <w:b/>
        <w:color w:val="5F6E80"/>
        <w:sz w:val="16"/>
        <w:szCs w:val="16"/>
      </w:rPr>
      <w:t>FDE PROPOSAL  |  CUSTOMER REFUND STATUS</w: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9"/>
        <w:spacing w:after="80" w:line="290" w:lineRule="auto"/>
      </w:pPr>
      <w:rPr>
        <w:rFonts w:ascii="Calibri" w:hAnsi="Calibri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  <w:color w:val="172033"/>
      </w:rPr>
    </w:rPrDefault>
    <w:pPrDefault>
      <w:pPr>
        <w:spacing w:after="160" w:line="320" w:lineRule="auto"/>
        <w:jc w:val="both"/>
      </w:pPr>
    </w:pPrDefault>
  </w:docDefaults>
  <w:style w:type="paragraph" w:default="1" w:styleId="Normal">
    <w:name w:val="Normal"/>
    <w:qFormat/>
    <w:pPr>
      <w:spacing w:after="160" w:line="320" w:lineRule="auto"/>
      <w:jc w:val="both"/>
    </w:pPr>
    <w:rPr>
      <w:rFonts w:ascii="Calibri" w:hAnsi="Calibri"/>
      <w:sz w:val="22"/>
      <w:szCs w:val="22"/>
      <w:color w:val="172033"/>
    </w:rPr>
  </w:style>
  <w:style w:type="paragraph" w:styleId="Title">
    <w:name w:val="Title"/>
    <w:basedOn w:val="Normal"/>
    <w:next w:val="Normal"/>
    <w:qFormat/>
    <w:pPr>
      <w:spacing w:before="0" w:after="160"/>
      <w:jc w:val="center"/>
    </w:pPr>
    <w:rPr>
      <w:rFonts w:ascii="Calibri" w:hAnsi="Calibri"/>
      <w:b/>
      <w:color w:val="102A43"/>
      <w:sz w:val="48"/>
      <w:szCs w:val="48"/>
    </w:rPr>
  </w:style>
  <w:style w:type="paragraph" w:styleId="Subtitle">
    <w:name w:val="Subtitle"/>
    <w:basedOn w:val="Normal"/>
    <w:next w:val="Normal"/>
    <w:qFormat/>
    <w:pPr>
      <w:spacing w:before="0" w:after="160"/>
      <w:jc w:val="center"/>
    </w:pPr>
    <w:rPr>
      <w:rFonts w:ascii="Calibri" w:hAnsi="Calibri"/>
      <w:i/>
      <w:color w:val="5F6E80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keepLines/>
      <w:spacing w:before="360" w:after="200"/>
      <w:outlineLvl w:val="0"/>
    </w:pPr>
    <w:rPr>
      <w:rFonts w:ascii="Calibri" w:hAnsi="Calibri"/>
      <w:b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rFonts w:ascii="Calibri" w:hAnsi="Calibri"/>
      <w:b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before="160" w:after="80"/>
      <w:outlineLvl w:val="2"/>
    </w:pPr>
    <w:rPr>
      <w:rFonts w:ascii="Calibri" w:hAnsi="Calibri"/>
      <w:b/>
      <w:color w:val="1F4D78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FDE case-owned generator</Application>
  <DocSecurity>0</DocSecurity>
  <ScaleCrop>false</ScaleCrop>
  <Company/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Refund-Status Inquiry — Proposed Operating Solution</dc:title>
  <dc:subject>Synthetic FDE proposal delivery kit</dc:subject>
  <dc:creator>FDE Capability Enhancement example</dc:creator>
  <cp:keywords>proposed synthetic; read-only; no write-back; AI not needed</cp:keywords>
  <dc:description>Generated from artifacts/analysis-package.json</dc:description>
  <cp:revision>1</cp:revision>
  <dcterms:created xsi:type="dcterms:W3CDTF">2026-08-27T00:00:00Z</dcterms:created>
  <dcterms:modified xsi:type="dcterms:W3CDTF">2026-08-27T00:00:00Z</dcterms:modified>
</cp:coreProperties>
</file>