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6"/>
          <w:szCs w:val="56"/>
        </w:rPr>
        <w:t xml:space="preserve">Wildcat Capital</w:t>
      </w:r>
    </w:p>
    <w:p>
      <w:pPr>
        <w:spacing w:after="120" w:before="120"/>
        <w:jc w:val="center"/>
      </w:pPr>
      <w:r>
        <w:rPr>
          <w:b/>
          <w:bCs/>
          <w:color w:val="4C72B0"/>
          <w:sz w:val="36"/>
          <w:szCs w:val="36"/>
        </w:rPr>
        <w:t xml:space="preserve">Loan Portfolio — Exploratory Data Analysis Report</w:t>
      </w:r>
    </w:p>
    <w:p>
      <w:pPr>
        <w:spacing w:before="480"/>
        <w:jc w:val="center"/>
      </w:pPr>
      <w:r>
        <w:rPr>
          <w:color w:val="555555"/>
          <w:sz w:val="24"/>
          <w:szCs w:val="24"/>
        </w:rPr>
        <w:t xml:space="preserve">Prepared for MIS3060 — Business Intelligence with AI</w:t>
      </w:r>
    </w:p>
    <w:p>
      <w:pPr>
        <w:spacing w:before="80"/>
        <w:jc w:val="center"/>
      </w:pPr>
      <w:r>
        <w:rPr>
          <w:color w:val="555555"/>
          <w:sz w:val="24"/>
          <w:szCs w:val="24"/>
        </w:rPr>
        <w:t xml:space="preserve">Villanova School of Business</w:t>
      </w:r>
    </w:p>
    <w:p>
      <w:pPr>
        <w:spacing w:before="480"/>
        <w:jc w:val="center"/>
      </w:pPr>
      <w:r>
        <w:rPr>
          <w:color w:val="555555"/>
          <w:sz w:val="22"/>
          <w:szCs w:val="22"/>
        </w:rPr>
        <w:t xml:space="preserve">Data source: wildcat_loans_clean.csv (2,340 loans, 12 columns)</w:t>
      </w:r>
    </w:p>
    <w:p>
      <w:pPr>
        <w:spacing w:before="80"/>
        <w:jc w:val="center"/>
      </w:pPr>
      <w:r>
        <w:rPr>
          <w:color w:val="555555"/>
          <w:sz w:val="22"/>
          <w:szCs w:val="22"/>
        </w:rPr>
        <w:t xml:space="preserve">Report generated: September 16, 2026</w:t>
      </w:r>
    </w:p>
    <w:p>
      <w:r>
        <w:br w:type="page"/>
      </w:r>
    </w:p>
    <w:p>
      <w:pPr>
        <w:pStyle w:val="Heading1"/>
        <w:spacing w:after="160" w:before="360"/>
      </w:pPr>
      <w:r>
        <w:rPr>
          <w:b/>
          <w:bCs/>
          <w:color w:val="1F3864"/>
        </w:rPr>
        <w:t xml:space="preserve">Executive Summary</w:t>
      </w:r>
    </w:p>
    <w:p>
      <w:pPr>
        <w:spacing w:after="160" w:line="276"/>
      </w:pPr>
      <w:r>
        <w:t xml:space="preserve">This report presents an exploratory data analysis (EDA) of the Wildcat Capital loan portfolio, a dataset of 2,340 individual loans described by 12 attributes including loan amount, interest rate, credit score, debt-to-income ratio, loan purpose, and current status. The purpose of this analysis is to build an accurate picture of the portfolio's composition, data quality, and risk profile before any further modeling or reporting is undertaken.</w:t>
      </w:r>
    </w:p>
    <w:p>
      <w:pPr>
        <w:spacing w:after="160" w:line="276"/>
      </w:pPr>
      <w:r>
        <w:t xml:space="preserve">The portfolio is dominated by Current loans (62.1%), with a 4.5% default rate overall. The single strongest relationship in the data is between credit score and interest rate (r = -0.84): borrowers with higher credit scores consistently receive lower rates, and this pricing effect is far stronger than any other relationship in the dataset. Loan amounts and annual income are both heavily right-skewed, meaning averages alone are misleading and medians should be used to describe the “typical” loan or borrower. Two data quality issues were identified and are detailed in Section 2: a small amount of missing credit-score data that is concentrated among higher-risk loans rather than random, and inconsistent state formatting that fragments what should be a 50-category field into 27.</w:t>
      </w:r>
    </w:p>
    <w:p>
      <w:pPr>
        <w:pStyle w:val="Heading1"/>
        <w:spacing w:after="160" w:before="360"/>
      </w:pPr>
      <w:r>
        <w:rPr>
          <w:b/>
          <w:bCs/>
          <w:color w:val="1F3864"/>
        </w:rPr>
        <w:t xml:space="preserve">1. Data Overview</w:t>
      </w:r>
    </w:p>
    <w:p>
      <w:pPr>
        <w:spacing w:after="160" w:line="276"/>
      </w:pPr>
      <w:r>
        <w:t xml:space="preserve">The dataset was loaded from 02_Data\Raw\wildcat_loans_clean.csv into a pandas DataFrame. The table below confirms the shape, data type, and missing-value count for every column.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360"/>
      </w:tblGrid>
      <w:tr>
        <w:trPr>
          <w:tblHeader/>
        </w:trPr>
        <w:tc>
          <w:tcPr>
            <w:tcW w:type="dxa" w:w="3600"/>
            <w:shd w:fill="1F3864" w:val="clear"/>
            <w:tcMar>
              <w:top w:type="dxa" w:w="80"/>
              <w:left w:type="dxa" w:w="100"/>
              <w:bottom w:type="dxa" w:w="80"/>
              <w:right w:type="dxa" w:w="100"/>
            </w:tcMar>
            <w:vAlign w:val="center"/>
          </w:tcPr>
          <w:p>
            <w:pPr>
              <w:jc w:val="center"/>
            </w:pPr>
            <w:r>
              <w:rPr>
                <w:b/>
                <w:bCs/>
                <w:color w:val="FFFFFF"/>
                <w:sz w:val="20"/>
                <w:szCs w:val="20"/>
              </w:rPr>
              <w:t xml:space="preserve">Column</w:t>
            </w:r>
          </w:p>
        </w:tc>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Data Type</w:t>
            </w:r>
          </w:p>
        </w:tc>
        <w:tc>
          <w:tcPr>
            <w:tcW w:type="dxa" w:w="2360"/>
            <w:shd w:fill="1F3864" w:val="clear"/>
            <w:tcMar>
              <w:top w:type="dxa" w:w="80"/>
              <w:left w:type="dxa" w:w="100"/>
              <w:bottom w:type="dxa" w:w="80"/>
              <w:right w:type="dxa" w:w="100"/>
            </w:tcMar>
            <w:vAlign w:val="center"/>
          </w:tcPr>
          <w:p>
            <w:pPr>
              <w:jc w:val="center"/>
            </w:pPr>
            <w:r>
              <w:rPr>
                <w:b/>
                <w:bCs/>
                <w:color w:val="FFFFFF"/>
                <w:sz w:val="20"/>
                <w:szCs w:val="20"/>
              </w:rPr>
              <w:t xml:space="preserve">Missing Values</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loan_id</w:t>
            </w:r>
          </w:p>
        </w:tc>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int64</w:t>
            </w:r>
          </w:p>
        </w:tc>
        <w:tc>
          <w:tcPr>
            <w:tcW w:type="dxa" w:w="2360"/>
            <w:tcMar>
              <w:top w:type="dxa" w:w="80"/>
              <w:left w:type="dxa" w:w="100"/>
              <w:bottom w:type="dxa" w:w="80"/>
              <w:right w:type="dxa" w:w="100"/>
            </w:tcMar>
            <w:vAlign w:val="center"/>
          </w:tcPr>
          <w:p>
            <w:pPr>
              <w:jc w:val="center"/>
            </w:pPr>
            <w:r>
              <w:rPr>
                <w:b w:val="false"/>
                <w:bCs w:val="false"/>
                <w:color w:val="000000"/>
                <w:sz w:val="20"/>
                <w:szCs w:val="20"/>
              </w:rPr>
              <w:t xml:space="preserve">0</w:t>
            </w:r>
          </w:p>
        </w:tc>
      </w:tr>
      <w:tr>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origination_date</w:t>
            </w:r>
          </w:p>
        </w:tc>
        <w:tc>
          <w:tcPr>
            <w:tcW w:type="dxa" w:w="3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datetime64 (converted)</w:t>
            </w:r>
          </w:p>
        </w:tc>
        <w:tc>
          <w:tcPr>
            <w:tcW w:type="dxa" w:w="23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borrower_id</w:t>
            </w:r>
          </w:p>
        </w:tc>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int64</w:t>
            </w:r>
          </w:p>
        </w:tc>
        <w:tc>
          <w:tcPr>
            <w:tcW w:type="dxa" w:w="2360"/>
            <w:tcMar>
              <w:top w:type="dxa" w:w="80"/>
              <w:left w:type="dxa" w:w="100"/>
              <w:bottom w:type="dxa" w:w="80"/>
              <w:right w:type="dxa" w:w="100"/>
            </w:tcMar>
            <w:vAlign w:val="center"/>
          </w:tcPr>
          <w:p>
            <w:pPr>
              <w:jc w:val="center"/>
            </w:pPr>
            <w:r>
              <w:rPr>
                <w:b w:val="false"/>
                <w:bCs w:val="false"/>
                <w:color w:val="000000"/>
                <w:sz w:val="20"/>
                <w:szCs w:val="20"/>
              </w:rPr>
              <w:t xml:space="preserve">0</w:t>
            </w:r>
          </w:p>
        </w:tc>
      </w:tr>
      <w:tr>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loan_amount</w:t>
            </w:r>
          </w:p>
        </w:tc>
        <w:tc>
          <w:tcPr>
            <w:tcW w:type="dxa" w:w="3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float64</w:t>
            </w:r>
          </w:p>
        </w:tc>
        <w:tc>
          <w:tcPr>
            <w:tcW w:type="dxa" w:w="23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interest_rate</w:t>
            </w:r>
          </w:p>
        </w:tc>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float64</w:t>
            </w:r>
          </w:p>
        </w:tc>
        <w:tc>
          <w:tcPr>
            <w:tcW w:type="dxa" w:w="2360"/>
            <w:tcMar>
              <w:top w:type="dxa" w:w="80"/>
              <w:left w:type="dxa" w:w="100"/>
              <w:bottom w:type="dxa" w:w="80"/>
              <w:right w:type="dxa" w:w="100"/>
            </w:tcMar>
            <w:vAlign w:val="center"/>
          </w:tcPr>
          <w:p>
            <w:pPr>
              <w:jc w:val="center"/>
            </w:pPr>
            <w:r>
              <w:rPr>
                <w:b w:val="false"/>
                <w:bCs w:val="false"/>
                <w:color w:val="000000"/>
                <w:sz w:val="20"/>
                <w:szCs w:val="20"/>
              </w:rPr>
              <w:t xml:space="preserve">0</w:t>
            </w:r>
          </w:p>
        </w:tc>
      </w:tr>
      <w:tr>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loan_term_months</w:t>
            </w:r>
          </w:p>
        </w:tc>
        <w:tc>
          <w:tcPr>
            <w:tcW w:type="dxa" w:w="3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int64</w:t>
            </w:r>
          </w:p>
        </w:tc>
        <w:tc>
          <w:tcPr>
            <w:tcW w:type="dxa" w:w="23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credit_score</w:t>
            </w:r>
          </w:p>
        </w:tc>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float64</w:t>
            </w:r>
          </w:p>
        </w:tc>
        <w:tc>
          <w:tcPr>
            <w:tcW w:type="dxa" w:w="2360"/>
            <w:tcMar>
              <w:top w:type="dxa" w:w="80"/>
              <w:left w:type="dxa" w:w="100"/>
              <w:bottom w:type="dxa" w:w="80"/>
              <w:right w:type="dxa" w:w="100"/>
            </w:tcMar>
            <w:vAlign w:val="center"/>
          </w:tcPr>
          <w:p>
            <w:pPr>
              <w:jc w:val="center"/>
            </w:pPr>
            <w:r>
              <w:rPr>
                <w:b w:val="false"/>
                <w:bCs w:val="false"/>
                <w:color w:val="000000"/>
                <w:sz w:val="20"/>
                <w:szCs w:val="20"/>
              </w:rPr>
              <w:t xml:space="preserve">47</w:t>
            </w:r>
          </w:p>
        </w:tc>
      </w:tr>
      <w:tr>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debt_to_income_ratio</w:t>
            </w:r>
          </w:p>
        </w:tc>
        <w:tc>
          <w:tcPr>
            <w:tcW w:type="dxa" w:w="3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float64</w:t>
            </w:r>
          </w:p>
        </w:tc>
        <w:tc>
          <w:tcPr>
            <w:tcW w:type="dxa" w:w="23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loan_purpose</w:t>
            </w:r>
          </w:p>
        </w:tc>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text</w:t>
            </w:r>
          </w:p>
        </w:tc>
        <w:tc>
          <w:tcPr>
            <w:tcW w:type="dxa" w:w="2360"/>
            <w:tcMar>
              <w:top w:type="dxa" w:w="80"/>
              <w:left w:type="dxa" w:w="100"/>
              <w:bottom w:type="dxa" w:w="80"/>
              <w:right w:type="dxa" w:w="100"/>
            </w:tcMar>
            <w:vAlign w:val="center"/>
          </w:tcPr>
          <w:p>
            <w:pPr>
              <w:jc w:val="center"/>
            </w:pPr>
            <w:r>
              <w:rPr>
                <w:b w:val="false"/>
                <w:bCs w:val="false"/>
                <w:color w:val="000000"/>
                <w:sz w:val="20"/>
                <w:szCs w:val="20"/>
              </w:rPr>
              <w:t xml:space="preserve">0</w:t>
            </w:r>
          </w:p>
        </w:tc>
      </w:tr>
      <w:tr>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loan_status</w:t>
            </w:r>
          </w:p>
        </w:tc>
        <w:tc>
          <w:tcPr>
            <w:tcW w:type="dxa" w:w="3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text</w:t>
            </w:r>
          </w:p>
        </w:tc>
        <w:tc>
          <w:tcPr>
            <w:tcW w:type="dxa" w:w="23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annual_income</w:t>
            </w:r>
          </w:p>
        </w:tc>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float64</w:t>
            </w:r>
          </w:p>
        </w:tc>
        <w:tc>
          <w:tcPr>
            <w:tcW w:type="dxa" w:w="2360"/>
            <w:tcMar>
              <w:top w:type="dxa" w:w="80"/>
              <w:left w:type="dxa" w:w="100"/>
              <w:bottom w:type="dxa" w:w="80"/>
              <w:right w:type="dxa" w:w="100"/>
            </w:tcMar>
            <w:vAlign w:val="center"/>
          </w:tcPr>
          <w:p>
            <w:pPr>
              <w:jc w:val="center"/>
            </w:pPr>
            <w:r>
              <w:rPr>
                <w:b w:val="false"/>
                <w:bCs w:val="false"/>
                <w:color w:val="000000"/>
                <w:sz w:val="20"/>
                <w:szCs w:val="20"/>
              </w:rPr>
              <w:t xml:space="preserve">0</w:t>
            </w:r>
          </w:p>
        </w:tc>
      </w:tr>
      <w:tr>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state</w:t>
            </w:r>
          </w:p>
        </w:tc>
        <w:tc>
          <w:tcPr>
            <w:tcW w:type="dxa" w:w="3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text</w:t>
            </w:r>
          </w:p>
        </w:tc>
        <w:tc>
          <w:tcPr>
            <w:tcW w:type="dxa" w:w="23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w:t>
            </w:r>
          </w:p>
        </w:tc>
      </w:tr>
    </w:tbl>
    <w:p>
      <w:pPr>
        <w:spacing w:after="160" w:line="276"/>
      </w:pPr>
      <w:r>
        <w:t xml:space="preserve"/>
      </w:r>
    </w:p>
    <w:p>
      <w:pPr>
        <w:spacing w:after="160" w:line="276"/>
      </w:pPr>
      <w:r>
        <w:rPr>
          <w:b/>
          <w:bCs/>
        </w:rPr>
        <w:t xml:space="preserve">Rows: 2,340   |   Columns: 12   |   No duplicate or empty rows found.</w:t>
      </w:r>
    </w:p>
    <w:p>
      <w:pPr>
        <w:spacing w:after="160" w:line="276"/>
      </w:pPr>
      <w:r>
        <w:t xml:space="preserve">The origination_date column was originally stored as text and was converted to a proper datetime type, enabling date-based filtering and time-series analysis in any downstream work. All other column types were correct as loaded; credit_score is stored as a decimal (float) rather than a whole number because it contains missing values, which Python cannot represent in an integer column.</w:t>
      </w:r>
    </w:p>
    <w:p>
      <w:pPr>
        <w:pStyle w:val="Heading1"/>
        <w:spacing w:after="160" w:before="360"/>
      </w:pPr>
      <w:r>
        <w:rPr>
          <w:b/>
          <w:bCs/>
          <w:color w:val="1F3864"/>
        </w:rPr>
        <w:t xml:space="preserve">2. Data Quality Findings</w:t>
      </w:r>
    </w:p>
    <w:p>
      <w:pPr>
        <w:pStyle w:val="Heading2"/>
        <w:spacing w:after="120" w:before="240"/>
      </w:pPr>
      <w:r>
        <w:rPr>
          <w:b/>
          <w:bCs/>
          <w:color w:val="4C72B0"/>
        </w:rPr>
        <w:t xml:space="preserve">2.1 Missing Credit Scores Are Not Randomly Distributed</w:t>
      </w:r>
    </w:p>
    <w:p>
      <w:pPr>
        <w:spacing w:after="160" w:line="276"/>
      </w:pPr>
      <w:r>
        <w:t xml:space="preserve">47 of 2,340 loans (2.01%) are missing a credit_score value. While this is a small share of the portfolio, the missingness is not random: rows with a missing credit score are disproportionately Delinquent or Default loans and under-represent Current loans, as shown below.</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200"/>
        <w:gridCol w:w="2560"/>
      </w:tblGrid>
      <w:tr>
        <w:trPr>
          <w:tblHeader/>
        </w:trPr>
        <w:tc>
          <w:tcPr>
            <w:tcW w:type="dxa" w:w="2800"/>
            <w:shd w:fill="1F3864" w:val="clear"/>
            <w:tcMar>
              <w:top w:type="dxa" w:w="80"/>
              <w:left w:type="dxa" w:w="100"/>
              <w:bottom w:type="dxa" w:w="80"/>
              <w:right w:type="dxa" w:w="100"/>
            </w:tcMar>
            <w:vAlign w:val="center"/>
          </w:tcPr>
          <w:p>
            <w:pPr>
              <w:jc w:val="center"/>
            </w:pPr>
            <w:r>
              <w:rPr>
                <w:b/>
                <w:bCs/>
                <w:color w:val="FFFFFF"/>
                <w:sz w:val="20"/>
                <w:szCs w:val="20"/>
              </w:rPr>
              <w:t xml:space="preserve">Loan Status</w:t>
            </w:r>
          </w:p>
        </w:tc>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 of Full Dataset</w:t>
            </w:r>
          </w:p>
        </w:tc>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 of Missing-Credit-Score Rows</w:t>
            </w:r>
          </w:p>
        </w:tc>
        <w:tc>
          <w:tcPr>
            <w:tcW w:type="dxa" w:w="2560"/>
            <w:shd w:fill="1F3864" w:val="clear"/>
            <w:tcMar>
              <w:top w:type="dxa" w:w="80"/>
              <w:left w:type="dxa" w:w="100"/>
              <w:bottom w:type="dxa" w:w="80"/>
              <w:right w:type="dxa" w:w="100"/>
            </w:tcMar>
            <w:vAlign w:val="center"/>
          </w:tcPr>
          <w:p>
            <w:pPr>
              <w:jc w:val="center"/>
            </w:pPr>
            <w:r>
              <w:rPr>
                <w:b/>
                <w:bCs/>
                <w:color w:val="FFFFFF"/>
                <w:sz w:val="20"/>
                <w:szCs w:val="20"/>
              </w:rPr>
              <w:t xml:space="preserve">Difference (pts)</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Current</w:t>
            </w:r>
          </w:p>
        </w:tc>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62.1%</w:t>
            </w:r>
          </w:p>
        </w:tc>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36.2%</w:t>
            </w:r>
          </w:p>
        </w:tc>
        <w:tc>
          <w:tcPr>
            <w:tcW w:type="dxa" w:w="2560"/>
            <w:tcMar>
              <w:top w:type="dxa" w:w="80"/>
              <w:left w:type="dxa" w:w="100"/>
              <w:bottom w:type="dxa" w:w="80"/>
              <w:right w:type="dxa" w:w="100"/>
            </w:tcMar>
            <w:vAlign w:val="center"/>
          </w:tcPr>
          <w:p>
            <w:pPr>
              <w:jc w:val="center"/>
            </w:pPr>
            <w:r>
              <w:rPr>
                <w:b w:val="false"/>
                <w:bCs w:val="false"/>
                <w:color w:val="000000"/>
                <w:sz w:val="20"/>
                <w:szCs w:val="20"/>
              </w:rPr>
              <w:t xml:space="preserve">-26.0</w:t>
            </w:r>
          </w:p>
        </w:tc>
      </w:tr>
      <w:tr>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Paid Off</w:t>
            </w:r>
          </w:p>
        </w:tc>
        <w:tc>
          <w:tcPr>
            <w:tcW w:type="dxa" w:w="26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22.7%</w:t>
            </w:r>
          </w:p>
        </w:tc>
        <w:tc>
          <w:tcPr>
            <w:tcW w:type="dxa" w:w="3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29.8%</w:t>
            </w:r>
          </w:p>
        </w:tc>
        <w:tc>
          <w:tcPr>
            <w:tcW w:type="dxa" w:w="2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+7.1</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Delinquent</w:t>
            </w:r>
          </w:p>
        </w:tc>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10.6%</w:t>
            </w:r>
          </w:p>
        </w:tc>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23.4%</w:t>
            </w:r>
          </w:p>
        </w:tc>
        <w:tc>
          <w:tcPr>
            <w:tcW w:type="dxa" w:w="2560"/>
            <w:tcMar>
              <w:top w:type="dxa" w:w="80"/>
              <w:left w:type="dxa" w:w="100"/>
              <w:bottom w:type="dxa" w:w="80"/>
              <w:right w:type="dxa" w:w="100"/>
            </w:tcMar>
            <w:vAlign w:val="center"/>
          </w:tcPr>
          <w:p>
            <w:pPr>
              <w:jc w:val="center"/>
            </w:pPr>
            <w:r>
              <w:rPr>
                <w:b w:val="false"/>
                <w:bCs w:val="false"/>
                <w:color w:val="000000"/>
                <w:sz w:val="20"/>
                <w:szCs w:val="20"/>
              </w:rPr>
              <w:t xml:space="preserve">+12.8</w:t>
            </w:r>
          </w:p>
        </w:tc>
      </w:tr>
      <w:tr>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Default</w:t>
            </w:r>
          </w:p>
        </w:tc>
        <w:tc>
          <w:tcPr>
            <w:tcW w:type="dxa" w:w="26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4.5%</w:t>
            </w:r>
          </w:p>
        </w:tc>
        <w:tc>
          <w:tcPr>
            <w:tcW w:type="dxa" w:w="3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10.6%</w:t>
            </w:r>
          </w:p>
        </w:tc>
        <w:tc>
          <w:tcPr>
            <w:tcW w:type="dxa" w:w="2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+6.1</w:t>
            </w:r>
          </w:p>
        </w:tc>
      </w:tr>
    </w:tbl>
    <w:p>
      <w:pPr>
        <w:spacing w:after="160" w:line="276"/>
      </w:pPr>
      <w:r>
        <w:t xml:space="preserve"/>
      </w:r>
    </w:p>
    <w:p>
      <w:pPr>
        <w:spacing w:after="160" w:line="276"/>
      </w:pPr>
      <w:r>
        <w:rPr>
          <w:i/>
          <w:iCs/>
        </w:rPr>
        <w:t xml:space="preserve">Because missing credit scores skew toward riskier loans, simply dropping these 47 rows from a credit-risk analysis would understate risk in the remaining sample. Any model or summary statistic built on credit_score should explicitly note this exclusion, and median imputation should be considered instead of dropping rows outright if the analysis is risk-sensitive.</w:t>
      </w:r>
    </w:p>
    <w:p>
      <w:pPr>
        <w:pStyle w:val="Heading2"/>
        <w:spacing w:after="120" w:before="240"/>
      </w:pPr>
      <w:r>
        <w:rPr>
          <w:b/>
          <w:bCs/>
          <w:color w:val="4C72B0"/>
        </w:rPr>
        <w:t xml:space="preserve">2.2 State Field Has Inconsistent Formatting</w:t>
      </w:r>
    </w:p>
    <w:p>
      <w:pPr>
        <w:spacing w:after="160" w:line="276"/>
      </w:pPr>
      <w:r>
        <w:t xml:space="preserve">The state column contains 27 distinct values instead of the expected 50, because a subset of records store the state as a full name (e.g., “Pennsylvania,” “New Jersey,” “California”) rather than the two-letter abbreviation used everywhere else (e.g., “PA,” “NJ,” “CA”). For example, Pennsylvania appears as both “PA” (384 loans) and “Pennsylvania” (25 loans) — the same state split into two categories. This should be standardized to a single format before any state-level or geographic analysis is performed, or state-level totals will undercount several of the portfolio's largest markets.</w:t>
      </w:r>
    </w:p>
    <w:p>
      <w:pPr>
        <w:pStyle w:val="Heading1"/>
        <w:spacing w:after="160" w:before="360"/>
      </w:pPr>
      <w:r>
        <w:rPr>
          <w:b/>
          <w:bCs/>
          <w:color w:val="1F3864"/>
        </w:rPr>
        <w:t xml:space="preserve">3. Descriptive Statistics</w:t>
      </w:r>
    </w:p>
    <w:p>
      <w:pPr>
        <w:spacing w:after="160" w:line="276"/>
      </w:pPr>
      <w:r>
        <w:t xml:space="preserve">Summary statistics for all numeric columns are shown below (identifier columns loan_id and borrower_id are included for completeness but carry no analytical meaning).</w:t>
      </w:r>
    </w:p>
    <w:tbl>
      <w:tblPr>
        <w:tblW w:type="dxa" w:w="108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700"/>
        <w:gridCol w:w="1400"/>
        <w:gridCol w:w="2160"/>
      </w:tblGrid>
      <w:tr>
        <w:trPr>
          <w:tblHeader/>
        </w:trPr>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1900"/>
            <w:shd w:fill="1F3864" w:val="clear"/>
            <w:tcMar>
              <w:top w:type="dxa" w:w="80"/>
              <w:left w:type="dxa" w:w="100"/>
              <w:bottom w:type="dxa" w:w="80"/>
              <w:right w:type="dxa" w:w="100"/>
            </w:tcMar>
            <w:vAlign w:val="center"/>
          </w:tcPr>
          <w:p>
            <w:pPr>
              <w:jc w:val="center"/>
            </w:pPr>
            <w:r>
              <w:rPr>
                <w:b/>
                <w:bCs/>
                <w:color w:val="FFFFFF"/>
                <w:sz w:val="20"/>
                <w:szCs w:val="20"/>
              </w:rPr>
              <w:t xml:space="preserve">Loan Amount ($)</w:t>
            </w:r>
          </w:p>
        </w:tc>
        <w:tc>
          <w:tcPr>
            <w:tcW w:type="dxa" w:w="1900"/>
            <w:shd w:fill="1F3864" w:val="clear"/>
            <w:tcMar>
              <w:top w:type="dxa" w:w="80"/>
              <w:left w:type="dxa" w:w="100"/>
              <w:bottom w:type="dxa" w:w="80"/>
              <w:right w:type="dxa" w:w="100"/>
            </w:tcMar>
            <w:vAlign w:val="center"/>
          </w:tcPr>
          <w:p>
            <w:pPr>
              <w:jc w:val="center"/>
            </w:pPr>
            <w:r>
              <w:rPr>
                <w:b/>
                <w:bCs/>
                <w:color w:val="FFFFFF"/>
                <w:sz w:val="20"/>
                <w:szCs w:val="20"/>
              </w:rPr>
              <w:t xml:space="preserve">Interest Rate (%)</w:t>
            </w:r>
          </w:p>
        </w:tc>
        <w:tc>
          <w:tcPr>
            <w:tcW w:type="dxa" w:w="1700"/>
            <w:shd w:fill="1F3864" w:val="clear"/>
            <w:tcMar>
              <w:top w:type="dxa" w:w="80"/>
              <w:left w:type="dxa" w:w="100"/>
              <w:bottom w:type="dxa" w:w="80"/>
              <w:right w:type="dxa" w:w="100"/>
            </w:tcMar>
            <w:vAlign w:val="center"/>
          </w:tcPr>
          <w:p>
            <w:pPr>
              <w:jc w:val="center"/>
            </w:pPr>
            <w:r>
              <w:rPr>
                <w:b/>
                <w:bCs/>
                <w:color w:val="FFFFFF"/>
                <w:sz w:val="20"/>
                <w:szCs w:val="20"/>
              </w:rPr>
              <w:t xml:space="preserve">Credit Score</w:t>
            </w:r>
          </w:p>
        </w:tc>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DTI Ratio</w:t>
            </w:r>
          </w:p>
        </w:tc>
        <w:tc>
          <w:tcPr>
            <w:tcW w:type="dxa" w:w="2160"/>
            <w:shd w:fill="1F3864" w:val="clear"/>
            <w:tcMar>
              <w:top w:type="dxa" w:w="80"/>
              <w:left w:type="dxa" w:w="100"/>
              <w:bottom w:type="dxa" w:w="80"/>
              <w:right w:type="dxa" w:w="100"/>
            </w:tcMar>
            <w:vAlign w:val="center"/>
          </w:tcPr>
          <w:p>
            <w:pPr>
              <w:jc w:val="center"/>
            </w:pPr>
            <w:r>
              <w:rPr>
                <w:b/>
                <w:bCs/>
                <w:color w:val="FFFFFF"/>
                <w:sz w:val="20"/>
                <w:szCs w:val="20"/>
              </w:rPr>
              <w:t xml:space="preserve">Annual Income ($)</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Count</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2,340</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2,340</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2,293</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2,340</w:t>
            </w:r>
          </w:p>
        </w:tc>
        <w:tc>
          <w:tcPr>
            <w:tcW w:type="dxa" w:w="2160"/>
            <w:tcMar>
              <w:top w:type="dxa" w:w="80"/>
              <w:left w:type="dxa" w:w="100"/>
              <w:bottom w:type="dxa" w:w="80"/>
              <w:right w:type="dxa" w:w="100"/>
            </w:tcMar>
            <w:vAlign w:val="center"/>
          </w:tcPr>
          <w:p>
            <w:pPr>
              <w:jc w:val="center"/>
            </w:pPr>
            <w:r>
              <w:rPr>
                <w:b w:val="false"/>
                <w:bCs w:val="false"/>
                <w:color w:val="000000"/>
                <w:sz w:val="20"/>
                <w:szCs w:val="20"/>
              </w:rPr>
              <w:t xml:space="preserve">2,340</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Mean</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68,398.49</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11.89</w:t>
            </w:r>
          </w:p>
        </w:tc>
        <w:tc>
          <w:tcPr>
            <w:tcW w:type="dxa" w:w="1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674.4</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0.32</w:t>
            </w:r>
          </w:p>
        </w:tc>
        <w:tc>
          <w:tcPr>
            <w:tcW w:type="dxa" w:w="21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155,095.67</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Std Dev</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92,614.38</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4.49</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76.0</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0.14</w:t>
            </w:r>
          </w:p>
        </w:tc>
        <w:tc>
          <w:tcPr>
            <w:tcW w:type="dxa" w:w="2160"/>
            <w:tcMar>
              <w:top w:type="dxa" w:w="80"/>
              <w:left w:type="dxa" w:w="100"/>
              <w:bottom w:type="dxa" w:w="80"/>
              <w:right w:type="dxa" w:w="100"/>
            </w:tcMar>
            <w:vAlign w:val="center"/>
          </w:tcPr>
          <w:p>
            <w:pPr>
              <w:jc w:val="center"/>
            </w:pPr>
            <w:r>
              <w:rPr>
                <w:b w:val="false"/>
                <w:bCs w:val="false"/>
                <w:color w:val="000000"/>
                <w:sz w:val="20"/>
                <w:szCs w:val="20"/>
              </w:rPr>
              <w:t xml:space="preserve">182,699.38</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Min</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2,073.62</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4.50</w:t>
            </w:r>
          </w:p>
        </w:tc>
        <w:tc>
          <w:tcPr>
            <w:tcW w:type="dxa" w:w="1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500</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0.08</w:t>
            </w:r>
          </w:p>
        </w:tc>
        <w:tc>
          <w:tcPr>
            <w:tcW w:type="dxa" w:w="21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24,014.42</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25th pct</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24,498.05</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8.10</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614</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0.20</w:t>
            </w:r>
          </w:p>
        </w:tc>
        <w:tc>
          <w:tcPr>
            <w:tcW w:type="dxa" w:w="2160"/>
            <w:tcMar>
              <w:top w:type="dxa" w:w="80"/>
              <w:left w:type="dxa" w:w="100"/>
              <w:bottom w:type="dxa" w:w="80"/>
              <w:right w:type="dxa" w:w="100"/>
            </w:tcMar>
            <w:vAlign w:val="center"/>
          </w:tcPr>
          <w:p>
            <w:pPr>
              <w:jc w:val="center"/>
            </w:pPr>
            <w:r>
              <w:rPr>
                <w:b w:val="false"/>
                <w:bCs w:val="false"/>
                <w:color w:val="000000"/>
                <w:sz w:val="20"/>
                <w:szCs w:val="20"/>
              </w:rPr>
              <w:t xml:space="preserve">32,742.90</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Median</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40,691.79</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11.52</w:t>
            </w:r>
          </w:p>
        </w:tc>
        <w:tc>
          <w:tcPr>
            <w:tcW w:type="dxa" w:w="1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676</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0.32</w:t>
            </w:r>
          </w:p>
        </w:tc>
        <w:tc>
          <w:tcPr>
            <w:tcW w:type="dxa" w:w="21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42,624.11</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75th pct</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60,596.09</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15.34</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725</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0.44</w:t>
            </w:r>
          </w:p>
        </w:tc>
        <w:tc>
          <w:tcPr>
            <w:tcW w:type="dxa" w:w="2160"/>
            <w:tcMar>
              <w:top w:type="dxa" w:w="80"/>
              <w:left w:type="dxa" w:w="100"/>
              <w:bottom w:type="dxa" w:w="80"/>
              <w:right w:type="dxa" w:w="100"/>
            </w:tcMar>
            <w:vAlign w:val="center"/>
          </w:tcPr>
          <w:p>
            <w:pPr>
              <w:jc w:val="center"/>
            </w:pPr>
            <w:r>
              <w:rPr>
                <w:b w:val="false"/>
                <w:bCs w:val="false"/>
                <w:color w:val="000000"/>
                <w:sz w:val="20"/>
                <w:szCs w:val="20"/>
              </w:rPr>
              <w:t xml:space="preserve">255,153.52</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Max</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499,030.58</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20.98</w:t>
            </w:r>
          </w:p>
        </w:tc>
        <w:tc>
          <w:tcPr>
            <w:tcW w:type="dxa" w:w="1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850</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0.55</w:t>
            </w:r>
          </w:p>
        </w:tc>
        <w:tc>
          <w:tcPr>
            <w:tcW w:type="dxa" w:w="21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649,768.69</w:t>
            </w:r>
          </w:p>
        </w:tc>
      </w:tr>
    </w:tbl>
    <w:p>
      <w:pPr>
        <w:spacing w:after="160" w:line="276"/>
      </w:pPr>
      <w:r>
        <w:t xml:space="preserve"/>
      </w:r>
    </w:p>
    <w:p>
      <w:pPr>
        <w:spacing w:after="160" w:line="276"/>
      </w:pPr>
      <w:r>
        <w:rPr>
          <w:b/>
          <w:bCs/>
        </w:rPr>
        <w:t xml:space="preserve">Two columns show a pronounced right skew — the mean sits well above the median in both cases:</w:t>
      </w:r>
    </w:p>
    <w:p>
      <w:pPr>
        <w:pStyle w:val="ListParagraph"/>
        <w:numPr>
          <w:ilvl w:val="0"/>
          <w:numId w:val="1"/>
        </w:numPr>
        <w:spacing w:after="80"/>
      </w:pPr>
      <w:r>
        <w:t xml:space="preserve">Loan amount: mean $68,398 vs. median $40,692. A relatively small number of very large loans (up to $499,031) pull the average well above what a typical loan actually looks like.</w:t>
      </w:r>
    </w:p>
    <w:p>
      <w:pPr>
        <w:pStyle w:val="ListParagraph"/>
        <w:numPr>
          <w:ilvl w:val="0"/>
          <w:numId w:val="1"/>
        </w:numPr>
        <w:spacing w:after="80"/>
      </w:pPr>
      <w:r>
        <w:t xml:space="preserve">Annual income: mean $155,096 vs. median $42,624 — a difference of more than 3.5x. A minority of high-income borrowers is elevating the average; the typical borrower earns far less than the mean would suggest.</w:t>
      </w:r>
    </w:p>
    <w:p>
      <w:pPr>
        <w:spacing w:after="160" w:line="276"/>
      </w:pPr>
      <w:r>
        <w:t xml:space="preserve">For both columns, the median is the more representative “typical value” and should be favored over the mean when describing the portfolio to stakeholders. Interest rate (4.50%–20.98%) and debt-to-income ratio (0.08–0.55) both fall within plausible bounds with no evidence of data entry errors (e.g., no negative rates, no DTI values above 1.0).</w:t>
      </w:r>
    </w:p>
    <w:p>
      <w:pPr>
        <w:pStyle w:val="Heading1"/>
        <w:spacing w:after="160" w:before="360"/>
      </w:pPr>
      <w:r>
        <w:rPr>
          <w:b/>
          <w:bCs/>
          <w:color w:val="1F3864"/>
        </w:rPr>
        <w:t xml:space="preserve">4. Categorical Variable Breakdown</w:t>
      </w:r>
    </w:p>
    <w:p>
      <w:pPr>
        <w:pStyle w:val="Heading2"/>
        <w:spacing w:after="120" w:before="240"/>
      </w:pPr>
      <w:r>
        <w:rPr>
          <w:b/>
          <w:bCs/>
          <w:color w:val="4C72B0"/>
        </w:rPr>
        <w:t xml:space="preserve">4.1 Loan Purpose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800"/>
      </w:tblGrid>
      <w:tr>
        <w:trPr>
          <w:tblHeader/>
        </w:trPr>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Loan Purpose</w:t>
            </w:r>
          </w:p>
        </w:tc>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Count</w:t>
            </w:r>
          </w:p>
        </w:tc>
        <w:tc>
          <w:tcPr>
            <w:tcW w:type="dxa" w:w="2800"/>
            <w:shd w:fill="1F3864" w:val="clear"/>
            <w:tcMar>
              <w:top w:type="dxa" w:w="80"/>
              <w:left w:type="dxa" w:w="100"/>
              <w:bottom w:type="dxa" w:w="80"/>
              <w:right w:type="dxa" w:w="100"/>
            </w:tcMar>
            <w:vAlign w:val="center"/>
          </w:tcPr>
          <w:p>
            <w:pPr>
              <w:jc w:val="center"/>
            </w:pPr>
            <w:r>
              <w:rPr>
                <w:b/>
                <w:bCs/>
                <w:color w:val="FFFFFF"/>
                <w:sz w:val="20"/>
                <w:szCs w:val="20"/>
              </w:rPr>
              <w:t xml:space="preserve">% of Portfolio</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Home Improvement</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724</w:t>
            </w:r>
          </w:p>
        </w:tc>
        <w:tc>
          <w:tcPr>
            <w:tcW w:type="dxa" w:w="2800"/>
            <w:tcMar>
              <w:top w:type="dxa" w:w="80"/>
              <w:left w:type="dxa" w:w="100"/>
              <w:bottom w:type="dxa" w:w="80"/>
              <w:right w:type="dxa" w:w="100"/>
            </w:tcMar>
            <w:vAlign w:val="center"/>
          </w:tcPr>
          <w:p>
            <w:pPr>
              <w:jc w:val="center"/>
            </w:pPr>
            <w:r>
              <w:rPr>
                <w:b w:val="false"/>
                <w:bCs w:val="false"/>
                <w:color w:val="000000"/>
                <w:sz w:val="20"/>
                <w:szCs w:val="20"/>
              </w:rPr>
              <w:t xml:space="preserve">30.9%</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Auto</w:t>
            </w:r>
          </w:p>
        </w:tc>
        <w:tc>
          <w:tcPr>
            <w:tcW w:type="dxa" w:w="2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603</w:t>
            </w:r>
          </w:p>
        </w:tc>
        <w:tc>
          <w:tcPr>
            <w:tcW w:type="dxa" w:w="28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25.8%</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Personal</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475</w:t>
            </w:r>
          </w:p>
        </w:tc>
        <w:tc>
          <w:tcPr>
            <w:tcW w:type="dxa" w:w="2800"/>
            <w:tcMar>
              <w:top w:type="dxa" w:w="80"/>
              <w:left w:type="dxa" w:w="100"/>
              <w:bottom w:type="dxa" w:w="80"/>
              <w:right w:type="dxa" w:w="100"/>
            </w:tcMar>
            <w:vAlign w:val="center"/>
          </w:tcPr>
          <w:p>
            <w:pPr>
              <w:jc w:val="center"/>
            </w:pPr>
            <w:r>
              <w:rPr>
                <w:b w:val="false"/>
                <w:bCs w:val="false"/>
                <w:color w:val="000000"/>
                <w:sz w:val="20"/>
                <w:szCs w:val="20"/>
              </w:rPr>
              <w:t xml:space="preserve">20.3%</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Business</w:t>
            </w:r>
          </w:p>
        </w:tc>
        <w:tc>
          <w:tcPr>
            <w:tcW w:type="dxa" w:w="2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328</w:t>
            </w:r>
          </w:p>
        </w:tc>
        <w:tc>
          <w:tcPr>
            <w:tcW w:type="dxa" w:w="28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14.0%</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Education</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210</w:t>
            </w:r>
          </w:p>
        </w:tc>
        <w:tc>
          <w:tcPr>
            <w:tcW w:type="dxa" w:w="2800"/>
            <w:tcMar>
              <w:top w:type="dxa" w:w="80"/>
              <w:left w:type="dxa" w:w="100"/>
              <w:bottom w:type="dxa" w:w="80"/>
              <w:right w:type="dxa" w:w="100"/>
            </w:tcMar>
            <w:vAlign w:val="center"/>
          </w:tcPr>
          <w:p>
            <w:pPr>
              <w:jc w:val="center"/>
            </w:pPr>
            <w:r>
              <w:rPr>
                <w:b w:val="false"/>
                <w:bCs w:val="false"/>
                <w:color w:val="000000"/>
                <w:sz w:val="20"/>
                <w:szCs w:val="20"/>
              </w:rPr>
              <w:t xml:space="preserve">9.0%</w:t>
            </w:r>
          </w:p>
        </w:tc>
      </w:tr>
    </w:tbl>
    <w:p>
      <w:pPr>
        <w:spacing w:after="160" w:line="276"/>
      </w:pPr>
      <w:r>
        <w:t xml:space="preserve"/>
      </w:r>
    </w:p>
    <w:p>
      <w:pPr>
        <w:pStyle w:val="Heading2"/>
        <w:spacing w:after="120" w:before="240"/>
      </w:pPr>
      <w:r>
        <w:rPr>
          <w:b/>
          <w:bCs/>
          <w:color w:val="4C72B0"/>
        </w:rPr>
        <w:t xml:space="preserve">4.2 Loan Status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800"/>
      </w:tblGrid>
      <w:tr>
        <w:trPr>
          <w:tblHeader/>
        </w:trPr>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Loan Status</w:t>
            </w:r>
          </w:p>
        </w:tc>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Count</w:t>
            </w:r>
          </w:p>
        </w:tc>
        <w:tc>
          <w:tcPr>
            <w:tcW w:type="dxa" w:w="2800"/>
            <w:shd w:fill="1F3864" w:val="clear"/>
            <w:tcMar>
              <w:top w:type="dxa" w:w="80"/>
              <w:left w:type="dxa" w:w="100"/>
              <w:bottom w:type="dxa" w:w="80"/>
              <w:right w:type="dxa" w:w="100"/>
            </w:tcMar>
            <w:vAlign w:val="center"/>
          </w:tcPr>
          <w:p>
            <w:pPr>
              <w:jc w:val="center"/>
            </w:pPr>
            <w:r>
              <w:rPr>
                <w:b/>
                <w:bCs/>
                <w:color w:val="FFFFFF"/>
                <w:sz w:val="20"/>
                <w:szCs w:val="20"/>
              </w:rPr>
              <w:t xml:space="preserve">% of Portfolio</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Current</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1,454</w:t>
            </w:r>
          </w:p>
        </w:tc>
        <w:tc>
          <w:tcPr>
            <w:tcW w:type="dxa" w:w="2800"/>
            <w:tcMar>
              <w:top w:type="dxa" w:w="80"/>
              <w:left w:type="dxa" w:w="100"/>
              <w:bottom w:type="dxa" w:w="80"/>
              <w:right w:type="dxa" w:w="100"/>
            </w:tcMar>
            <w:vAlign w:val="center"/>
          </w:tcPr>
          <w:p>
            <w:pPr>
              <w:jc w:val="center"/>
            </w:pPr>
            <w:r>
              <w:rPr>
                <w:b w:val="false"/>
                <w:bCs w:val="false"/>
                <w:color w:val="000000"/>
                <w:sz w:val="20"/>
                <w:szCs w:val="20"/>
              </w:rPr>
              <w:t xml:space="preserve">62.1%</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Paid Off</w:t>
            </w:r>
          </w:p>
        </w:tc>
        <w:tc>
          <w:tcPr>
            <w:tcW w:type="dxa" w:w="2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532</w:t>
            </w:r>
          </w:p>
        </w:tc>
        <w:tc>
          <w:tcPr>
            <w:tcW w:type="dxa" w:w="28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22.7%</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Delinquent</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248</w:t>
            </w:r>
          </w:p>
        </w:tc>
        <w:tc>
          <w:tcPr>
            <w:tcW w:type="dxa" w:w="2800"/>
            <w:tcMar>
              <w:top w:type="dxa" w:w="80"/>
              <w:left w:type="dxa" w:w="100"/>
              <w:bottom w:type="dxa" w:w="80"/>
              <w:right w:type="dxa" w:w="100"/>
            </w:tcMar>
            <w:vAlign w:val="center"/>
          </w:tcPr>
          <w:p>
            <w:pPr>
              <w:jc w:val="center"/>
            </w:pPr>
            <w:r>
              <w:rPr>
                <w:b w:val="false"/>
                <w:bCs w:val="false"/>
                <w:color w:val="000000"/>
                <w:sz w:val="20"/>
                <w:szCs w:val="20"/>
              </w:rPr>
              <w:t xml:space="preserve">10.6%</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Default</w:t>
            </w:r>
          </w:p>
        </w:tc>
        <w:tc>
          <w:tcPr>
            <w:tcW w:type="dxa" w:w="2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106</w:t>
            </w:r>
          </w:p>
        </w:tc>
        <w:tc>
          <w:tcPr>
            <w:tcW w:type="dxa" w:w="28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4.5%</w:t>
            </w:r>
          </w:p>
        </w:tc>
      </w:tr>
    </w:tbl>
    <w:p>
      <w:pPr>
        <w:spacing w:after="160" w:line="276"/>
      </w:pPr>
      <w:r>
        <w:t xml:space="preserve"/>
      </w:r>
    </w:p>
    <w:p>
      <w:pPr>
        <w:spacing w:after="160" w:line="276"/>
      </w:pPr>
      <w:r>
        <w:rPr>
          <w:i/>
          <w:iCs/>
        </w:rPr>
        <w:t xml:space="preserve">The 4.5% default rate and 10.6% delinquency rate together mean that roughly 1 in 7 loans in the portfolio (15.1%) is either past due or in default — a meaningful share worth monitoring closely.</w:t>
      </w:r>
    </w:p>
    <w:p>
      <w:pPr>
        <w:pStyle w:val="Heading2"/>
        <w:spacing w:after="120" w:before="240"/>
      </w:pPr>
      <w:r>
        <w:rPr>
          <w:b/>
          <w:bCs/>
          <w:color w:val="4C72B0"/>
        </w:rPr>
        <w:t xml:space="preserve">4.3 Geographic Distribution (State)</w:t>
      </w:r>
    </w:p>
    <w:p>
      <w:pPr>
        <w:spacing w:after="160" w:line="276"/>
      </w:pPr>
      <w:r>
        <w:t xml:space="preserve">The portfolio is concentrated in the Northeast: Pennsylvania, New Jersey, and New York together account for roughly 39% of all loans once the formatting inconsistency noted in Section 2.2 is combined (PA: 384+25, NJ: 272+13, NY: 264+12). No state has fewer than 30 loans once combined, so state-level averages are statistically usable across the board — but only after the abbreviation/full-name variants are merged.</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rPr>
        <w:t xml:space="preserve">5. Distribution Analysis</w:t>
      </w:r>
    </w:p>
    <w:p>
      <w:pPr>
        <w:spacing w:after="160" w:line="276"/>
      </w:pPr>
      <w:r>
        <w:t xml:space="preserve">A histogram of loan_amount (30 bins) confirms the right-skewed shape identified in Section 3: the mean loan amount ($68,398.49) sits well above the median ($40,691.79), meaning most loans are smaller than the average and a minority of large loans pull the mean upward.</w:t>
      </w:r>
    </w:p>
    <w:p>
      <w:pPr>
        <w:spacing w:after="160" w:line="276"/>
      </w:pPr>
      <w:r>
        <w:t xml:space="preserve">A box plot comparing interest_rate across the four loan status categories shows median rates rising steadily with loan risk: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Loan Status</w:t>
            </w:r>
          </w:p>
        </w:tc>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Count</w:t>
            </w:r>
          </w:p>
        </w:tc>
        <w:tc>
          <w:tcPr>
            <w:tcW w:type="dxa" w:w="3600"/>
            <w:shd w:fill="1F3864" w:val="clear"/>
            <w:tcMar>
              <w:top w:type="dxa" w:w="80"/>
              <w:left w:type="dxa" w:w="100"/>
              <w:bottom w:type="dxa" w:w="80"/>
              <w:right w:type="dxa" w:w="100"/>
            </w:tcMar>
            <w:vAlign w:val="center"/>
          </w:tcPr>
          <w:p>
            <w:pPr>
              <w:jc w:val="center"/>
            </w:pPr>
            <w:r>
              <w:rPr>
                <w:b/>
                <w:bCs/>
                <w:color w:val="FFFFFF"/>
                <w:sz w:val="20"/>
                <w:szCs w:val="20"/>
              </w:rPr>
              <w:t xml:space="preserve">Median Interest Rate</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Current</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1,454</w:t>
            </w:r>
          </w:p>
        </w:tc>
        <w:tc>
          <w:tcPr>
            <w:tcW w:type="dxa" w:w="3600"/>
            <w:tcMar>
              <w:top w:type="dxa" w:w="80"/>
              <w:left w:type="dxa" w:w="100"/>
              <w:bottom w:type="dxa" w:w="80"/>
              <w:right w:type="dxa" w:w="100"/>
            </w:tcMar>
            <w:vAlign w:val="center"/>
          </w:tcPr>
          <w:p>
            <w:pPr>
              <w:jc w:val="center"/>
            </w:pPr>
            <w:r>
              <w:rPr>
                <w:b w:val="false"/>
                <w:bCs w:val="false"/>
                <w:color w:val="000000"/>
                <w:sz w:val="20"/>
                <w:szCs w:val="20"/>
              </w:rPr>
              <w:t xml:space="preserve">10.36%</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Paid Off</w:t>
            </w:r>
          </w:p>
        </w:tc>
        <w:tc>
          <w:tcPr>
            <w:tcW w:type="dxa" w:w="2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532</w:t>
            </w:r>
          </w:p>
        </w:tc>
        <w:tc>
          <w:tcPr>
            <w:tcW w:type="dxa" w:w="36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12.26%</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Delinquent</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248</w:t>
            </w:r>
          </w:p>
        </w:tc>
        <w:tc>
          <w:tcPr>
            <w:tcW w:type="dxa" w:w="3600"/>
            <w:tcMar>
              <w:top w:type="dxa" w:w="80"/>
              <w:left w:type="dxa" w:w="100"/>
              <w:bottom w:type="dxa" w:w="80"/>
              <w:right w:type="dxa" w:w="100"/>
            </w:tcMar>
            <w:vAlign w:val="center"/>
          </w:tcPr>
          <w:p>
            <w:pPr>
              <w:jc w:val="center"/>
            </w:pPr>
            <w:r>
              <w:rPr>
                <w:b w:val="false"/>
                <w:bCs w:val="false"/>
                <w:color w:val="000000"/>
                <w:sz w:val="20"/>
                <w:szCs w:val="20"/>
              </w:rPr>
              <w:t xml:space="preserve">13.37%</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Default</w:t>
            </w:r>
          </w:p>
        </w:tc>
        <w:tc>
          <w:tcPr>
            <w:tcW w:type="dxa" w:w="2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106</w:t>
            </w:r>
          </w:p>
        </w:tc>
        <w:tc>
          <w:tcPr>
            <w:tcW w:type="dxa" w:w="36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14.12%</w:t>
            </w:r>
          </w:p>
        </w:tc>
      </w:tr>
    </w:tbl>
    <w:p>
      <w:pPr>
        <w:pStyle w:val="Heading1"/>
        <w:spacing w:after="160" w:before="360"/>
      </w:pPr>
      <w:r>
        <w:rPr>
          <w:b/>
          <w:bCs/>
          <w:color w:val="1F3864"/>
        </w:rPr>
        <w:t xml:space="preserve">6. Grouped Analysis</w:t>
      </w:r>
    </w:p>
    <w:p>
      <w:pPr>
        <w:pStyle w:val="Heading2"/>
        <w:spacing w:after="120" w:before="240"/>
      </w:pPr>
      <w:r>
        <w:rPr>
          <w:b/>
          <w:bCs/>
          <w:color w:val="4C72B0"/>
        </w:rPr>
        <w:t xml:space="preserve">6.1 Loan Status Comparison</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600"/>
        <w:gridCol w:w="2200"/>
        <w:gridCol w:w="1760"/>
      </w:tblGrid>
      <w:tr>
        <w:trPr>
          <w:tblHeader/>
        </w:trPr>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Loan Status</w:t>
            </w:r>
          </w:p>
        </w:tc>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Count</w:t>
            </w:r>
          </w:p>
        </w:tc>
        <w:tc>
          <w:tcPr>
            <w:tcW w:type="dxa" w:w="2000"/>
            <w:shd w:fill="1F3864" w:val="clear"/>
            <w:tcMar>
              <w:top w:type="dxa" w:w="80"/>
              <w:left w:type="dxa" w:w="100"/>
              <w:bottom w:type="dxa" w:w="80"/>
              <w:right w:type="dxa" w:w="100"/>
            </w:tcMar>
            <w:vAlign w:val="center"/>
          </w:tcPr>
          <w:p>
            <w:pPr>
              <w:jc w:val="center"/>
            </w:pPr>
            <w:r>
              <w:rPr>
                <w:b/>
                <w:bCs/>
                <w:color w:val="FFFFFF"/>
                <w:sz w:val="20"/>
                <w:szCs w:val="20"/>
              </w:rPr>
              <w:t xml:space="preserve">Mean Loan Amt</w:t>
            </w:r>
          </w:p>
        </w:tc>
        <w:tc>
          <w:tcPr>
            <w:tcW w:type="dxa" w:w="1600"/>
            <w:shd w:fill="1F3864" w:val="clear"/>
            <w:tcMar>
              <w:top w:type="dxa" w:w="80"/>
              <w:left w:type="dxa" w:w="100"/>
              <w:bottom w:type="dxa" w:w="80"/>
              <w:right w:type="dxa" w:w="100"/>
            </w:tcMar>
            <w:vAlign w:val="center"/>
          </w:tcPr>
          <w:p>
            <w:pPr>
              <w:jc w:val="center"/>
            </w:pPr>
            <w:r>
              <w:rPr>
                <w:b/>
                <w:bCs/>
                <w:color w:val="FFFFFF"/>
                <w:sz w:val="20"/>
                <w:szCs w:val="20"/>
              </w:rPr>
              <w:t xml:space="preserve">Mean Rate</w:t>
            </w:r>
          </w:p>
        </w:tc>
        <w:tc>
          <w:tcPr>
            <w:tcW w:type="dxa" w:w="2200"/>
            <w:shd w:fill="1F3864" w:val="clear"/>
            <w:tcMar>
              <w:top w:type="dxa" w:w="80"/>
              <w:left w:type="dxa" w:w="100"/>
              <w:bottom w:type="dxa" w:w="80"/>
              <w:right w:type="dxa" w:w="100"/>
            </w:tcMar>
            <w:vAlign w:val="center"/>
          </w:tcPr>
          <w:p>
            <w:pPr>
              <w:jc w:val="center"/>
            </w:pPr>
            <w:r>
              <w:rPr>
                <w:b/>
                <w:bCs/>
                <w:color w:val="FFFFFF"/>
                <w:sz w:val="20"/>
                <w:szCs w:val="20"/>
              </w:rPr>
              <w:t xml:space="preserve">Mean Credit Score</w:t>
            </w:r>
          </w:p>
        </w:tc>
        <w:tc>
          <w:tcPr>
            <w:tcW w:type="dxa" w:w="1760"/>
            <w:shd w:fill="1F3864" w:val="clear"/>
            <w:tcMar>
              <w:top w:type="dxa" w:w="80"/>
              <w:left w:type="dxa" w:w="100"/>
              <w:bottom w:type="dxa" w:w="80"/>
              <w:right w:type="dxa" w:w="100"/>
            </w:tcMar>
            <w:vAlign w:val="center"/>
          </w:tcPr>
          <w:p>
            <w:pPr>
              <w:jc w:val="center"/>
            </w:pPr>
            <w:r>
              <w:rPr>
                <w:b/>
                <w:bCs/>
                <w:color w:val="FFFFFF"/>
                <w:sz w:val="20"/>
                <w:szCs w:val="20"/>
              </w:rPr>
              <w:t xml:space="preserve">Mean DTI</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Current</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1,454</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$70,770.63</w:t>
            </w:r>
          </w:p>
        </w:tc>
        <w:tc>
          <w:tcPr>
            <w:tcW w:type="dxa" w:w="1600"/>
            <w:tcMar>
              <w:top w:type="dxa" w:w="80"/>
              <w:left w:type="dxa" w:w="100"/>
              <w:bottom w:type="dxa" w:w="80"/>
              <w:right w:type="dxa" w:w="100"/>
            </w:tcMar>
            <w:vAlign w:val="center"/>
          </w:tcPr>
          <w:p>
            <w:pPr>
              <w:jc w:val="center"/>
            </w:pPr>
            <w:r>
              <w:rPr>
                <w:b w:val="false"/>
                <w:bCs w:val="false"/>
                <w:color w:val="000000"/>
                <w:sz w:val="20"/>
                <w:szCs w:val="20"/>
              </w:rPr>
              <w:t xml:space="preserve">11.35%</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684.7</w:t>
            </w:r>
          </w:p>
        </w:tc>
        <w:tc>
          <w:tcPr>
            <w:tcW w:type="dxa" w:w="1760"/>
            <w:tcMar>
              <w:top w:type="dxa" w:w="80"/>
              <w:left w:type="dxa" w:w="100"/>
              <w:bottom w:type="dxa" w:w="80"/>
              <w:right w:type="dxa" w:w="100"/>
            </w:tcMar>
            <w:vAlign w:val="center"/>
          </w:tcPr>
          <w:p>
            <w:pPr>
              <w:jc w:val="center"/>
            </w:pPr>
            <w:r>
              <w:rPr>
                <w:b w:val="false"/>
                <w:bCs w:val="false"/>
                <w:color w:val="000000"/>
                <w:sz w:val="20"/>
                <w:szCs w:val="20"/>
              </w:rPr>
              <w:t xml:space="preserve">0.31</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Paid Off</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532</w:t>
            </w:r>
          </w:p>
        </w:tc>
        <w:tc>
          <w:tcPr>
            <w:tcW w:type="dxa" w:w="20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$67,404.88</w:t>
            </w:r>
          </w:p>
        </w:tc>
        <w:tc>
          <w:tcPr>
            <w:tcW w:type="dxa" w:w="16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12.21%</w:t>
            </w:r>
          </w:p>
        </w:tc>
        <w:tc>
          <w:tcPr>
            <w:tcW w:type="dxa" w:w="2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670.3</w:t>
            </w:r>
          </w:p>
        </w:tc>
        <w:tc>
          <w:tcPr>
            <w:tcW w:type="dxa" w:w="17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0.31</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Delinquent</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248</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$57,476.85</w:t>
            </w:r>
          </w:p>
        </w:tc>
        <w:tc>
          <w:tcPr>
            <w:tcW w:type="dxa" w:w="1600"/>
            <w:tcMar>
              <w:top w:type="dxa" w:w="80"/>
              <w:left w:type="dxa" w:w="100"/>
              <w:bottom w:type="dxa" w:w="80"/>
              <w:right w:type="dxa" w:w="100"/>
            </w:tcMar>
            <w:vAlign w:val="center"/>
          </w:tcPr>
          <w:p>
            <w:pPr>
              <w:jc w:val="center"/>
            </w:pPr>
            <w:r>
              <w:rPr>
                <w:b w:val="false"/>
                <w:bCs w:val="false"/>
                <w:color w:val="000000"/>
                <w:sz w:val="20"/>
                <w:szCs w:val="20"/>
              </w:rPr>
              <w:t xml:space="preserve">13.36%</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645.6</w:t>
            </w:r>
          </w:p>
        </w:tc>
        <w:tc>
          <w:tcPr>
            <w:tcW w:type="dxa" w:w="1760"/>
            <w:tcMar>
              <w:top w:type="dxa" w:w="80"/>
              <w:left w:type="dxa" w:w="100"/>
              <w:bottom w:type="dxa" w:w="80"/>
              <w:right w:type="dxa" w:w="100"/>
            </w:tcMar>
            <w:vAlign w:val="center"/>
          </w:tcPr>
          <w:p>
            <w:pPr>
              <w:jc w:val="center"/>
            </w:pPr>
            <w:r>
              <w:rPr>
                <w:b w:val="false"/>
                <w:bCs w:val="false"/>
                <w:color w:val="000000"/>
                <w:sz w:val="20"/>
                <w:szCs w:val="20"/>
              </w:rPr>
              <w:t xml:space="preserve">0.32</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Default</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106</w:t>
            </w:r>
          </w:p>
        </w:tc>
        <w:tc>
          <w:tcPr>
            <w:tcW w:type="dxa" w:w="20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$66,399.23</w:t>
            </w:r>
          </w:p>
        </w:tc>
        <w:tc>
          <w:tcPr>
            <w:tcW w:type="dxa" w:w="16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14.23%</w:t>
            </w:r>
          </w:p>
        </w:tc>
        <w:tc>
          <w:tcPr>
            <w:tcW w:type="dxa" w:w="2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617.1</w:t>
            </w:r>
          </w:p>
        </w:tc>
        <w:tc>
          <w:tcPr>
            <w:tcW w:type="dxa" w:w="17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0.33</w:t>
            </w:r>
          </w:p>
        </w:tc>
      </w:tr>
    </w:tbl>
    <w:p>
      <w:pPr>
        <w:spacing w:after="160" w:line="276"/>
      </w:pPr>
      <w:r>
        <w:t xml:space="preserve"/>
      </w:r>
    </w:p>
    <w:p>
      <w:pPr>
        <w:spacing w:after="160" w:line="276"/>
      </w:pPr>
      <w:r>
        <w:t xml:space="preserve">The risk gradient is consistent across every metric: as loan status moves from Current to Default, mean interest rate rises (11.35% → 14.23%), mean credit score falls (684.7 → 617.1), and mean debt-to-income ratio rises (0.31 → 0.33). These are exactly the signals a credit-risk model would use, and they move together in the expected direction — an encouraging sign that the data reflects genuine underwriting and repayment behavior rather than noise.</w:t>
      </w:r>
    </w:p>
    <w:p>
      <w:pPr>
        <w:pStyle w:val="Heading2"/>
        <w:spacing w:after="120" w:before="240"/>
      </w:pPr>
      <w:r>
        <w:rPr>
          <w:b/>
          <w:bCs/>
          <w:color w:val="4C72B0"/>
        </w:rPr>
        <w:t xml:space="preserve">6.2 Default Rate by Loan Purpose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6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Loan Purpose</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Count</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Defaults</w:t>
            </w:r>
          </w:p>
        </w:tc>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Default Rate</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Home Improvement</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724</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47</w:t>
            </w:r>
          </w:p>
        </w:tc>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6.5%</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Personal</w:t>
            </w:r>
          </w:p>
        </w:tc>
        <w:tc>
          <w:tcPr>
            <w:tcW w:type="dxa" w:w="18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475</w:t>
            </w:r>
          </w:p>
        </w:tc>
        <w:tc>
          <w:tcPr>
            <w:tcW w:type="dxa" w:w="18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23</w:t>
            </w:r>
          </w:p>
        </w:tc>
        <w:tc>
          <w:tcPr>
            <w:tcW w:type="dxa" w:w="26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4.8%</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Business</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328</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11</w:t>
            </w:r>
          </w:p>
        </w:tc>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3.4%</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Auto</w:t>
            </w:r>
          </w:p>
        </w:tc>
        <w:tc>
          <w:tcPr>
            <w:tcW w:type="dxa" w:w="18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603</w:t>
            </w:r>
          </w:p>
        </w:tc>
        <w:tc>
          <w:tcPr>
            <w:tcW w:type="dxa" w:w="18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20</w:t>
            </w:r>
          </w:p>
        </w:tc>
        <w:tc>
          <w:tcPr>
            <w:tcW w:type="dxa" w:w="26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3.3%</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Education</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210</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2.4%</w:t>
            </w:r>
          </w:p>
        </w:tc>
      </w:tr>
    </w:tbl>
    <w:p>
      <w:pPr>
        <w:spacing w:after="160" w:line="276"/>
      </w:pPr>
      <w:r>
        <w:t xml:space="preserve"/>
      </w:r>
    </w:p>
    <w:p>
      <w:pPr>
        <w:spacing w:after="160" w:line="276"/>
      </w:pPr>
      <w:r>
        <w:t xml:space="preserve">Home Improvement loans default at nearly triple the rate of Education loans (6.5% vs. 2.4%), and sit almost 2 points above the 4.5% portfolio-wide average. Every group has at least 210 loans, well above the 30-record threshold needed for a reliable rate, so this difference is unlikely to be a small-sample artifact and is worth investigating further — for example, whether Home Improvement loans are underwritten differently or tend to carry higher balances relative to collateral value.</w:t>
      </w:r>
    </w:p>
    <w:p>
      <w:pPr>
        <w:pStyle w:val="Heading1"/>
        <w:spacing w:after="160" w:before="360"/>
      </w:pPr>
      <w:r>
        <w:rPr>
          <w:b/>
          <w:bCs/>
          <w:color w:val="1F3864"/>
        </w:rPr>
        <w:t xml:space="preserve">7. Relationships Between Variables</w:t>
      </w:r>
    </w:p>
    <w:p>
      <w:pPr>
        <w:spacing w:after="160" w:line="276"/>
      </w:pPr>
      <w:r>
        <w:t xml:space="preserve">The correlation matrix below covers all numeric columns except the identifier fields (loan_id, borrower_id), which carry no analytical meaning.</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900"/>
        <w:gridCol w:w="1560"/>
        <w:gridCol w:w="1560"/>
        <w:gridCol w:w="1560"/>
        <w:gridCol w:w="1900"/>
        <w:gridCol w:w="1560"/>
        <w:gridCol w:w="1560"/>
      </w:tblGrid>
      <w:tr>
        <w:trPr>
          <w:tblHeader/>
        </w:trPr>
        <w:tc>
          <w:tcPr>
            <w:tcW w:type="dxa" w:w="1900"/>
            <w:shd w:fill="1F3864" w:val="clear"/>
            <w:tcMar>
              <w:top w:type="dxa" w:w="80"/>
              <w:left w:type="dxa" w:w="100"/>
              <w:bottom w:type="dxa" w:w="80"/>
              <w:right w:type="dxa" w:w="100"/>
            </w:tcMar>
            <w:vAlign w:val="center"/>
          </w:tcPr>
          <w:p>
            <w:pPr>
              <w:jc w:val="center"/>
            </w:pPr>
            <w:r>
              <w:rPr>
                <w:b/>
                <w:bCs/>
                <w:color w:val="FFFFFF"/>
                <w:sz w:val="20"/>
                <w:szCs w:val="20"/>
              </w:rPr>
              <w:t xml:space="preserve"/>
            </w:r>
          </w:p>
        </w:tc>
        <w:tc>
          <w:tcPr>
            <w:tcW w:type="dxa" w:w="1560"/>
            <w:shd w:fill="1F3864" w:val="clear"/>
            <w:tcMar>
              <w:top w:type="dxa" w:w="80"/>
              <w:left w:type="dxa" w:w="100"/>
              <w:bottom w:type="dxa" w:w="80"/>
              <w:right w:type="dxa" w:w="100"/>
            </w:tcMar>
            <w:vAlign w:val="center"/>
          </w:tcPr>
          <w:p>
            <w:pPr>
              <w:jc w:val="center"/>
            </w:pPr>
            <w:r>
              <w:rPr>
                <w:b/>
                <w:bCs/>
                <w:color w:val="FFFFFF"/>
                <w:sz w:val="20"/>
                <w:szCs w:val="20"/>
              </w:rPr>
              <w:t xml:space="preserve">Loan Amt</w:t>
            </w:r>
          </w:p>
        </w:tc>
        <w:tc>
          <w:tcPr>
            <w:tcW w:type="dxa" w:w="1560"/>
            <w:shd w:fill="1F3864" w:val="clear"/>
            <w:tcMar>
              <w:top w:type="dxa" w:w="80"/>
              <w:left w:type="dxa" w:w="100"/>
              <w:bottom w:type="dxa" w:w="80"/>
              <w:right w:type="dxa" w:w="100"/>
            </w:tcMar>
            <w:vAlign w:val="center"/>
          </w:tcPr>
          <w:p>
            <w:pPr>
              <w:jc w:val="center"/>
            </w:pPr>
            <w:r>
              <w:rPr>
                <w:b/>
                <w:bCs/>
                <w:color w:val="FFFFFF"/>
                <w:sz w:val="20"/>
                <w:szCs w:val="20"/>
              </w:rPr>
              <w:t xml:space="preserve">Rate</w:t>
            </w:r>
          </w:p>
        </w:tc>
        <w:tc>
          <w:tcPr>
            <w:tcW w:type="dxa" w:w="1560"/>
            <w:shd w:fill="1F3864" w:val="clear"/>
            <w:tcMar>
              <w:top w:type="dxa" w:w="80"/>
              <w:left w:type="dxa" w:w="100"/>
              <w:bottom w:type="dxa" w:w="80"/>
              <w:right w:type="dxa" w:w="100"/>
            </w:tcMar>
            <w:vAlign w:val="center"/>
          </w:tcPr>
          <w:p>
            <w:pPr>
              <w:jc w:val="center"/>
            </w:pPr>
            <w:r>
              <w:rPr>
                <w:b/>
                <w:bCs/>
                <w:color w:val="FFFFFF"/>
                <w:sz w:val="20"/>
                <w:szCs w:val="20"/>
              </w:rPr>
              <w:t xml:space="preserve">Term</w:t>
            </w:r>
          </w:p>
        </w:tc>
        <w:tc>
          <w:tcPr>
            <w:tcW w:type="dxa" w:w="1900"/>
            <w:shd w:fill="1F3864" w:val="clear"/>
            <w:tcMar>
              <w:top w:type="dxa" w:w="80"/>
              <w:left w:type="dxa" w:w="100"/>
              <w:bottom w:type="dxa" w:w="80"/>
              <w:right w:type="dxa" w:w="100"/>
            </w:tcMar>
            <w:vAlign w:val="center"/>
          </w:tcPr>
          <w:p>
            <w:pPr>
              <w:jc w:val="center"/>
            </w:pPr>
            <w:r>
              <w:rPr>
                <w:b/>
                <w:bCs/>
                <w:color w:val="FFFFFF"/>
                <w:sz w:val="20"/>
                <w:szCs w:val="20"/>
              </w:rPr>
              <w:t xml:space="preserve">Credit Score</w:t>
            </w:r>
          </w:p>
        </w:tc>
        <w:tc>
          <w:tcPr>
            <w:tcW w:type="dxa" w:w="1560"/>
            <w:shd w:fill="1F3864" w:val="clear"/>
            <w:tcMar>
              <w:top w:type="dxa" w:w="80"/>
              <w:left w:type="dxa" w:w="100"/>
              <w:bottom w:type="dxa" w:w="80"/>
              <w:right w:type="dxa" w:w="100"/>
            </w:tcMar>
            <w:vAlign w:val="center"/>
          </w:tcPr>
          <w:p>
            <w:pPr>
              <w:jc w:val="center"/>
            </w:pPr>
            <w:r>
              <w:rPr>
                <w:b/>
                <w:bCs/>
                <w:color w:val="FFFFFF"/>
                <w:sz w:val="20"/>
                <w:szCs w:val="20"/>
              </w:rPr>
              <w:t xml:space="preserve">DTI</w:t>
            </w:r>
          </w:p>
        </w:tc>
        <w:tc>
          <w:tcPr>
            <w:tcW w:type="dxa" w:w="1560"/>
            <w:shd w:fill="1F3864" w:val="clear"/>
            <w:tcMar>
              <w:top w:type="dxa" w:w="80"/>
              <w:left w:type="dxa" w:w="100"/>
              <w:bottom w:type="dxa" w:w="80"/>
              <w:right w:type="dxa" w:w="100"/>
            </w:tcMar>
            <w:vAlign w:val="center"/>
          </w:tcPr>
          <w:p>
            <w:pPr>
              <w:jc w:val="center"/>
            </w:pPr>
            <w:r>
              <w:rPr>
                <w:b/>
                <w:bCs/>
                <w:color w:val="FFFFFF"/>
                <w:sz w:val="20"/>
                <w:szCs w:val="20"/>
              </w:rPr>
              <w:t xml:space="preserve">Income</w:t>
            </w:r>
          </w:p>
        </w:tc>
      </w:tr>
      <w:tr>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Loan Amt</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-0.01</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0.00</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0.03</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-0.01</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0.02</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Rate</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-0.01</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0.01</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-0.84</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0.00</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0.05</w:t>
            </w:r>
          </w:p>
        </w:tc>
      </w:tr>
      <w:tr>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Term</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0.00</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0.01</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-0.01</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0.02</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0.00</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Credit Score</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0.03</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-0.84</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-0.01</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0.00</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-0.04</w:t>
            </w:r>
          </w:p>
        </w:tc>
      </w:tr>
      <w:tr>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DTI</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-0.01</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0.00</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0.02</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0.00</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1560"/>
            <w:tcMar>
              <w:top w:type="dxa" w:w="80"/>
              <w:left w:type="dxa" w:w="100"/>
              <w:bottom w:type="dxa" w:w="80"/>
              <w:right w:type="dxa" w:w="100"/>
            </w:tcMar>
            <w:vAlign w:val="center"/>
          </w:tcPr>
          <w:p>
            <w:pPr>
              <w:jc w:val="center"/>
            </w:pPr>
            <w:r>
              <w:rPr>
                <w:b w:val="false"/>
                <w:bCs w:val="false"/>
                <w:color w:val="000000"/>
                <w:sz w:val="20"/>
                <w:szCs w:val="20"/>
              </w:rPr>
              <w:t xml:space="preserve">-0.01</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Income</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0.02</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0.05</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0.00</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-0.04</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-0.01</w:t>
            </w:r>
          </w:p>
        </w:tc>
        <w:tc>
          <w:tcPr>
            <w:tcW w:type="dxa" w:w="1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r>
    </w:tbl>
    <w:p>
      <w:pPr>
        <w:spacing w:after="160" w:line="276"/>
      </w:pPr>
      <w:r>
        <w:t xml:space="preserve"/>
      </w:r>
    </w:p>
    <w:p>
      <w:pPr>
        <w:spacing w:after="160" w:line="276"/>
      </w:pPr>
      <w:r>
        <w:rPr>
          <w:b w:val="false"/>
          <w:bCs w:val="false"/>
        </w:rPr>
        <w:t xml:space="preserve">Credit score and interest rate are strongly negatively correlated (r = -0.84) — by a wide margin the strongest relationship in the dataset. Every other pair of variables is essentially uncorrelated (|r| ≤ 0.05), including loan amount vs. annual income, which might be expected to move together but does not in this portfolio. The top five strongest correlations, all by absolute value, are listed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400"/>
      </w:tblGrid>
      <w:tr>
        <w:trPr>
          <w:tblHeader/>
        </w:trPr>
        <w:tc>
          <w:tcPr>
            <w:tcW w:type="dxa" w:w="4400"/>
            <w:shd w:fill="1F3864" w:val="clear"/>
            <w:tcMar>
              <w:top w:type="dxa" w:w="80"/>
              <w:left w:type="dxa" w:w="100"/>
              <w:bottom w:type="dxa" w:w="80"/>
              <w:right w:type="dxa" w:w="100"/>
            </w:tcMar>
            <w:vAlign w:val="center"/>
          </w:tcPr>
          <w:p>
            <w:pPr>
              <w:jc w:val="center"/>
            </w:pPr>
            <w:r>
              <w:rPr>
                <w:b/>
                <w:bCs/>
                <w:color w:val="FFFFFF"/>
                <w:sz w:val="20"/>
                <w:szCs w:val="20"/>
              </w:rPr>
              <w:t xml:space="preserve">Variable Pair</w:t>
            </w:r>
          </w:p>
        </w:tc>
        <w:tc>
          <w:tcPr>
            <w:tcW w:type="dxa" w:w="2800"/>
            <w:shd w:fill="1F3864" w:val="clear"/>
            <w:tcMar>
              <w:top w:type="dxa" w:w="80"/>
              <w:left w:type="dxa" w:w="100"/>
              <w:bottom w:type="dxa" w:w="80"/>
              <w:right w:type="dxa" w:w="100"/>
            </w:tcMar>
            <w:vAlign w:val="center"/>
          </w:tcPr>
          <w:p>
            <w:pPr>
              <w:jc w:val="center"/>
            </w:pPr>
            <w:r>
              <w:rPr>
                <w:b/>
                <w:bCs/>
                <w:color w:val="FFFFFF"/>
                <w:sz w:val="20"/>
                <w:szCs w:val="20"/>
              </w:rPr>
              <w:t xml:space="preserve">Correlation (r)</w:t>
            </w:r>
          </w:p>
        </w:tc>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Direction</w:t>
            </w:r>
          </w:p>
        </w:tc>
      </w:tr>
      <w:tr>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credit_score ↔ interest_rate</w:t>
            </w:r>
          </w:p>
        </w:tc>
        <w:tc>
          <w:tcPr>
            <w:tcW w:type="dxa" w:w="2800"/>
            <w:tcMar>
              <w:top w:type="dxa" w:w="80"/>
              <w:left w:type="dxa" w:w="100"/>
              <w:bottom w:type="dxa" w:w="80"/>
              <w:right w:type="dxa" w:w="100"/>
            </w:tcMar>
            <w:vAlign w:val="center"/>
          </w:tcPr>
          <w:p>
            <w:pPr>
              <w:jc w:val="center"/>
            </w:pPr>
            <w:r>
              <w:rPr>
                <w:b w:val="false"/>
                <w:bCs w:val="false"/>
                <w:color w:val="000000"/>
                <w:sz w:val="20"/>
                <w:szCs w:val="20"/>
              </w:rPr>
              <w:t xml:space="preserve">-0.84</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Negative</w:t>
            </w:r>
          </w:p>
        </w:tc>
      </w:tr>
      <w:tr>
        <w:tc>
          <w:tcPr>
            <w:tcW w:type="dxa" w:w="4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annual_income ↔ interest_rate</w:t>
            </w:r>
          </w:p>
        </w:tc>
        <w:tc>
          <w:tcPr>
            <w:tcW w:type="dxa" w:w="28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0.05</w:t>
            </w:r>
          </w:p>
        </w:tc>
        <w:tc>
          <w:tcPr>
            <w:tcW w:type="dxa" w:w="2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Positive</w:t>
            </w:r>
          </w:p>
        </w:tc>
      </w:tr>
      <w:tr>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annual_income ↔ credit_score</w:t>
            </w:r>
          </w:p>
        </w:tc>
        <w:tc>
          <w:tcPr>
            <w:tcW w:type="dxa" w:w="2800"/>
            <w:tcMar>
              <w:top w:type="dxa" w:w="80"/>
              <w:left w:type="dxa" w:w="100"/>
              <w:bottom w:type="dxa" w:w="80"/>
              <w:right w:type="dxa" w:w="100"/>
            </w:tcMar>
            <w:vAlign w:val="center"/>
          </w:tcPr>
          <w:p>
            <w:pPr>
              <w:jc w:val="center"/>
            </w:pPr>
            <w:r>
              <w:rPr>
                <w:b w:val="false"/>
                <w:bCs w:val="false"/>
                <w:color w:val="000000"/>
                <w:sz w:val="20"/>
                <w:szCs w:val="20"/>
              </w:rPr>
              <w:t xml:space="preserve">-0.04</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Negative</w:t>
            </w:r>
          </w:p>
        </w:tc>
      </w:tr>
      <w:tr>
        <w:tc>
          <w:tcPr>
            <w:tcW w:type="dxa" w:w="4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credit_score ↔ loan_amount</w:t>
            </w:r>
          </w:p>
        </w:tc>
        <w:tc>
          <w:tcPr>
            <w:tcW w:type="dxa" w:w="28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0.03</w:t>
            </w:r>
          </w:p>
        </w:tc>
        <w:tc>
          <w:tcPr>
            <w:tcW w:type="dxa" w:w="2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Positive</w:t>
            </w:r>
          </w:p>
        </w:tc>
      </w:tr>
      <w:tr>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debt_to_income_ratio ↔ loan_term_months</w:t>
            </w:r>
          </w:p>
        </w:tc>
        <w:tc>
          <w:tcPr>
            <w:tcW w:type="dxa" w:w="2800"/>
            <w:tcMar>
              <w:top w:type="dxa" w:w="80"/>
              <w:left w:type="dxa" w:w="100"/>
              <w:bottom w:type="dxa" w:w="80"/>
              <w:right w:type="dxa" w:w="100"/>
            </w:tcMar>
            <w:vAlign w:val="center"/>
          </w:tcPr>
          <w:p>
            <w:pPr>
              <w:jc w:val="center"/>
            </w:pPr>
            <w:r>
              <w:rPr>
                <w:b w:val="false"/>
                <w:bCs w:val="false"/>
                <w:color w:val="000000"/>
                <w:sz w:val="20"/>
                <w:szCs w:val="20"/>
              </w:rPr>
              <w:t xml:space="preserve">0.02</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Positive</w:t>
            </w:r>
          </w:p>
        </w:tc>
      </w:tr>
    </w:tbl>
    <w:p>
      <w:pPr>
        <w:pStyle w:val="Heading1"/>
        <w:spacing w:after="160" w:before="360"/>
      </w:pPr>
      <w:r>
        <w:rPr>
          <w:b/>
          <w:bCs/>
          <w:color w:val="1F3864"/>
        </w:rPr>
        <w:t xml:space="preserve">8. Conclusions and Recommended Next Steps</w:t>
      </w:r>
    </w:p>
    <w:p>
      <w:pPr>
        <w:pStyle w:val="Heading2"/>
        <w:spacing w:after="120" w:before="240"/>
      </w:pPr>
      <w:r>
        <w:rPr>
          <w:b/>
          <w:bCs/>
          <w:color w:val="4C72B0"/>
        </w:rPr>
        <w:t xml:space="preserve">8.1 Key Findings</w:t>
      </w:r>
    </w:p>
    <w:p>
      <w:pPr>
        <w:pStyle w:val="ListParagraph"/>
        <w:numPr>
          <w:ilvl w:val="0"/>
          <w:numId w:val="1"/>
        </w:numPr>
        <w:spacing w:after="80"/>
      </w:pPr>
      <w:r>
        <w:t xml:space="preserve">The portfolio of 2,340 loans is 62.1% Current, with a 4.5% default rate and 10.6% delinquency rate — together, 15.1% of loans are past due or worse.</w:t>
      </w:r>
    </w:p>
    <w:p>
      <w:pPr>
        <w:pStyle w:val="ListParagraph"/>
        <w:numPr>
          <w:ilvl w:val="0"/>
          <w:numId w:val="1"/>
        </w:numPr>
        <w:spacing w:after="80"/>
      </w:pPr>
      <w:r>
        <w:t xml:space="preserve">Credit score is the dominant driver of interest rate (r = -0.84); no other variable pair shows a meaningful linear relationship.</w:t>
      </w:r>
    </w:p>
    <w:p>
      <w:pPr>
        <w:pStyle w:val="ListParagraph"/>
        <w:numPr>
          <w:ilvl w:val="0"/>
          <w:numId w:val="1"/>
        </w:numPr>
        <w:spacing w:after="80"/>
      </w:pPr>
      <w:r>
        <w:t xml:space="preserve">Loan amount and annual income are both strongly right-skewed — medians, not means, should be used when describing the “typical” loan or borrower.</w:t>
      </w:r>
    </w:p>
    <w:p>
      <w:pPr>
        <w:pStyle w:val="ListParagraph"/>
        <w:numPr>
          <w:ilvl w:val="0"/>
          <w:numId w:val="1"/>
        </w:numPr>
        <w:spacing w:after="80"/>
      </w:pPr>
      <w:r>
        <w:t xml:space="preserve">Default risk rises consistently with lower credit score, higher interest rate, and higher debt-to-income ratio, matching underwriting expectations.</w:t>
      </w:r>
    </w:p>
    <w:p>
      <w:pPr>
        <w:pStyle w:val="ListParagraph"/>
        <w:numPr>
          <w:ilvl w:val="0"/>
          <w:numId w:val="1"/>
        </w:numPr>
        <w:spacing w:after="80"/>
      </w:pPr>
      <w:r>
        <w:t xml:space="preserve">Home Improvement loans default nearly 3x as often as Education loans (6.5% vs. 2.4%) and are worth a closer look.</w:t>
      </w:r>
    </w:p>
    <w:p>
      <w:pPr>
        <w:pStyle w:val="Heading2"/>
        <w:spacing w:after="120" w:before="240"/>
      </w:pPr>
      <w:r>
        <w:rPr>
          <w:b/>
          <w:bCs/>
          <w:color w:val="4C72B0"/>
        </w:rPr>
        <w:t xml:space="preserve">8.2 Data Quality Issues to Resolve</w:t>
      </w:r>
    </w:p>
    <w:p>
      <w:pPr>
        <w:pStyle w:val="ListParagraph"/>
        <w:numPr>
          <w:ilvl w:val="0"/>
          <w:numId w:val="1"/>
        </w:numPr>
        <w:spacing w:after="80"/>
      </w:pPr>
      <w:r>
        <w:t xml:space="preserve">47 missing credit_score values (2.0%) are concentrated in Delinquent/Default loans — exclude with an explicit note, or use median imputation, rather than dropping silently.</w:t>
      </w:r>
    </w:p>
    <w:p>
      <w:pPr>
        <w:pStyle w:val="ListParagraph"/>
        <w:numPr>
          <w:ilvl w:val="0"/>
          <w:numId w:val="1"/>
        </w:numPr>
        <w:spacing w:after="80"/>
      </w:pPr>
      <w:r>
        <w:t xml:space="preserve">The state column mixes abbreviations and full names for at least 6 states, fragmenting what should be single categories — standardize before any geographic analysis.</w:t>
      </w:r>
    </w:p>
    <w:p>
      <w:pPr>
        <w:pStyle w:val="ListParagraph"/>
        <w:numPr>
          <w:ilvl w:val="0"/>
          <w:numId w:val="1"/>
        </w:numPr>
        <w:spacing w:after="80"/>
      </w:pPr>
      <w:r>
        <w:t xml:space="preserve">These findings are exploratory, not causal — the correlations and group differences observed here describe patterns in the historical data and should be validated further before being used for underwriting decisions.</w:t>
      </w:r>
    </w:p>
    <w:p>
      <w:pPr>
        <w:pBdr>
          <w:top w:val="single" w:color="CCCCCC" w:sz="6"/>
        </w:pBdr>
        <w:spacing w:before="480"/>
      </w:pPr>
    </w:p>
    <w:p>
      <w:pPr>
        <w:spacing w:before="160"/>
        <w:jc w:val="center"/>
      </w:pPr>
      <w:r>
        <w:rPr>
          <w:i/>
          <w:iCs/>
          <w:color w:val="777777"/>
          <w:sz w:val="18"/>
          <w:szCs w:val="18"/>
        </w:rPr>
        <w:t xml:space="preserve">Source: outputs/analysis_report.txt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2026-09-16T18:40:27.964Z</dcterms:created>
  <dcterms:modified xsi:type="dcterms:W3CDTF">2026-09-16T18:40:27.964Z</dcterms:modified>
</cp:coreProperties>
</file>

<file path=docProps/custom.xml><?xml version="1.0" encoding="utf-8"?>
<Properties xmlns="http://schemas.openxmlformats.org/officeDocument/2006/custom-properties" xmlns:vt="http://schemas.openxmlformats.org/officeDocument/2006/docPropsVTypes"/>
</file>