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Author"/>
      </w:pPr>
      <w:r>
        <w:t xml:space="preserve">Carl</w:t>
      </w:r>
      <w:r>
        <w:t xml:space="preserve"> </w:t>
      </w:r>
      <w:r>
        <w:t xml:space="preserve">Skog</w:t>
      </w:r>
    </w:p>
    <w:bookmarkStart w:id="24" w:name="abstract"/>
    <w:p>
      <w:pPr>
        <w:pStyle w:val="Heading1"/>
      </w:pPr>
      <w:r>
        <w:t xml:space="preserve">Abstract</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bookmarkEnd w:id="25"/>
    <w:bookmarkStart w:id="31" w:name="introduction-1"/>
    <w:p>
      <w:pPr>
        <w:pStyle w:val="Heading1"/>
      </w:pPr>
      <w:r>
        <w:t xml:space="preserve">Introduction</w:t>
      </w:r>
    </w:p>
    <w:bookmarkStart w:id="26"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 </w:t>
      </w:r>
      <w:r>
        <w:t xml:space="preserve">(1)</w:t>
      </w:r>
      <w:r>
        <w:t xml:space="preserve">. Beyond the high mortality rate, trauma also imposes a substantial socio-economic burden, due to long-term disabilities and rehabilitation needs</w:t>
      </w:r>
      <w:r>
        <w:t xml:space="preserve"> </w:t>
      </w:r>
      <w:r>
        <w:t xml:space="preserve">(1)</w:t>
      </w:r>
      <w:r>
        <w:t xml:space="preserve">. Hemorrhagic shock, the second most common cause of death following trauma, is the leading preventable cause of death within the first 24 hours post-injury</w:t>
      </w:r>
      <w:r>
        <w:t xml:space="preserve"> </w:t>
      </w:r>
      <w:r>
        <w:t xml:space="preserve">(2–4)</w:t>
      </w:r>
      <w:r>
        <w:t xml:space="preserve">.</w:t>
      </w:r>
    </w:p>
    <w:bookmarkEnd w:id="26"/>
    <w:bookmarkStart w:id="27" w:name="shock-classifications"/>
    <w:p>
      <w:pPr>
        <w:pStyle w:val="Heading2"/>
      </w:pPr>
      <w:r>
        <w:t xml:space="preserve">Shock classifications</w:t>
      </w:r>
    </w:p>
    <w:p>
      <w:pPr>
        <w:pStyle w:val="FirstParagraph"/>
      </w:pPr>
      <w:r>
        <w:t xml:space="preserve">Out of the clinical needs to assess the severity of trauma shock, patients can be categorized by stratifying symptoms and physiological parameters into degrees. Many different scoring systems have been developed, such as ATLS classification for hemorrhagic shock (See Table @ref(tab:alts)</w:t>
      </w:r>
      <w:r>
        <w:t xml:space="preserve"> </w:t>
      </w:r>
      <w:r>
        <w:t xml:space="preserve">(5)</w:t>
      </w:r>
      <w:r>
        <w:t xml:space="preserve">), Trauma Associated Severe Hemorrhage (TASH) and Assessment of Blood Consumption (ABC) scores for predicting massive transfusion</w:t>
      </w:r>
      <w:r>
        <w:t xml:space="preserve"> </w:t>
      </w:r>
      <w:r>
        <w:t xml:space="preserve">(6)</w:t>
      </w:r>
      <w:r>
        <w:t xml:space="preserve">. While none of these systems comprehensively classifies shock severity across all types of trauma shock, each aid in assessing severity through core physiological indicators. Ultimately, these classifications rely on vital signs and clinical indicators, highlighting the importance of physiological metrics in evaluating shock severity across clinical settings.</w:t>
      </w:r>
    </w:p>
    <w:p>
      <w:pPr>
        <w:pStyle w:val="TableCaption"/>
      </w:pPr>
      <w:r>
        <w:t xml:space="preserve">ATLS classification for haemorrhagic shock, adapted from</w:t>
      </w:r>
      <w:r>
        <w:t xml:space="preserve"> </w:t>
      </w:r>
      <w:r>
        <w:t xml:space="preserve">(5)</w:t>
      </w:r>
      <w:r>
        <w:t xml:space="preserve"> </w:t>
      </w:r>
      <w:r>
        <w:t xml:space="preserve">{#tbl:atls}.</w:t>
      </w:r>
    </w:p>
    <w:tbl>
      <w:tblPr>
        <w:tblStyle w:val="Table"/>
        <w:tblW w:type="pct" w:w="5000"/>
        <w:tblLook w:firstRow="1" w:lastRow="0" w:firstColumn="0" w:lastColumn="0" w:noHBand="0" w:noVBand="0" w:val="0020"/>
        <w:tblCaption w:val="ATLS classification for haemorrhagic shock, adapted from (5) {#tbl:atls}."/>
      </w:tblPr>
      <w:tblGrid>
        <w:gridCol w:w="2182"/>
        <w:gridCol w:w="810"/>
        <w:gridCol w:w="1309"/>
        <w:gridCol w:w="1683"/>
        <w:gridCol w:w="1933"/>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bookmarkEnd w:id="27"/>
    <w:bookmarkStart w:id="28" w:name="X7b7ce7b375b4752e1f0be695b362dde48ecf6ea"/>
    <w:p>
      <w:pPr>
        <w:pStyle w:val="Heading2"/>
      </w:pPr>
      <w:r>
        <w:t xml:space="preserve">Trauma quality improvement and opportunities for improvement</w:t>
      </w:r>
    </w:p>
    <w:p>
      <w:pPr>
        <w:pStyle w:val="FirstParagraph"/>
      </w:pPr>
      <w:r>
        <w:t xml:space="preserve">The initial management of trauma patients is highly time-sensitive and prone to error</w:t>
      </w:r>
      <w:r>
        <w:t xml:space="preserve"> </w:t>
      </w:r>
      <w:r>
        <w:t xml:space="preserve">(4,7,8)</w:t>
      </w:r>
      <w:r>
        <w:t xml:space="preserve">. Quality Improvement (QI) initiatives address these challenges by systematically evaluating care processes and outcomes, aiming to reduce morbidity and mortality</w:t>
      </w:r>
      <w:r>
        <w:t xml:space="preserve"> </w:t>
      </w:r>
      <w:r>
        <w:t xml:space="preserve">(9)</w:t>
      </w:r>
      <w:r>
        <w:t xml:space="preserve">. Through structured quality measures and collaborative reviews, QI has strengthened trauma care and improved outcomes globally</w:t>
      </w:r>
      <w:r>
        <w:t xml:space="preserve"> </w:t>
      </w:r>
      <w:r>
        <w:t xml:space="preserve">(10,11)</w:t>
      </w:r>
      <w:r>
        <w:t xml:space="preserve">.</w:t>
      </w:r>
      <w:r>
        <w:t xml:space="preserve"> </w:t>
      </w:r>
      <w:r>
        <w:t xml:space="preserve">Identifying Opportunities for Improvement (OFI) offers a broader perspective than traditional mortality reviews by also including non-fatal outcomes</w:t>
      </w:r>
      <w:r>
        <w:t xml:space="preserve"> </w:t>
      </w:r>
      <w:r>
        <w:t xml:space="preserve">(9)</w:t>
      </w:r>
      <w:r>
        <w:t xml:space="preserve">. Structured multidisciplinary morbidity and mortality (M&amp;M) reviews are commonly used to identify OFIs. One systemic and comprehensive way to identify OFI is using the Donabedian framework, which asses the quality of care by the three categories of: structure, process, and outcome</w:t>
      </w:r>
      <w:r>
        <w:t xml:space="preserve"> </w:t>
      </w:r>
      <w:r>
        <w:t xml:space="preserve">(9,12)</w:t>
      </w:r>
      <w:r>
        <w:t xml:space="preserve">.</w:t>
      </w:r>
    </w:p>
    <w:bookmarkEnd w:id="28"/>
    <w:bookmarkStart w:id="29" w:name="shock-and-ofi"/>
    <w:p>
      <w:pPr>
        <w:pStyle w:val="Heading2"/>
      </w:pPr>
      <w:r>
        <w:t xml:space="preserve">Shock and OFI</w:t>
      </w:r>
    </w:p>
    <w:p>
      <w:pPr>
        <w:pStyle w:val="FirstParagraph"/>
      </w:pPr>
      <w:r>
        <w:t xml:space="preserve">As mentioned before hemorrhagic shock is the leading cause of preventable death within the first 24 hours of injury</w:t>
      </w:r>
      <w:r>
        <w:t xml:space="preserve"> </w:t>
      </w:r>
      <w:r>
        <w:t xml:space="preserve">(3)</w:t>
      </w:r>
      <w:r>
        <w:t xml:space="preserve">. Patients in shock have a higher mortality rate than those not</w:t>
      </w:r>
      <w:r>
        <w:t xml:space="preserve"> </w:t>
      </w:r>
      <w:r>
        <w:t xml:space="preserve">(13)</w:t>
      </w:r>
      <w:r>
        <w:t xml:space="preserve">, with a median time to death of just 2 hours</w:t>
      </w:r>
      <w:r>
        <w:t xml:space="preserve"> </w:t>
      </w:r>
      <w:r>
        <w:t xml:space="preserve">(14)</w:t>
      </w:r>
      <w:r>
        <w:t xml:space="preserve">. Despite this, the relationship between shock, its severity, and Opportunities for Improvement (OFI) remains largely unexamined. This knowledge would help clinicians better identify and avoid preventable mistakes in shock patients who need urgent care.</w:t>
      </w:r>
    </w:p>
    <w:bookmarkEnd w:id="29"/>
    <w:bookmarkStart w:id="30"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30"/>
    <w:bookmarkEnd w:id="31"/>
    <w:bookmarkStart w:id="40" w:name="methods-1"/>
    <w:p>
      <w:pPr>
        <w:pStyle w:val="Heading1"/>
      </w:pPr>
      <w:r>
        <w:t xml:space="preserve">Methods</w:t>
      </w:r>
    </w:p>
    <w:bookmarkStart w:id="32"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32"/>
    <w:bookmarkStart w:id="33" w:name="setting"/>
    <w:p>
      <w:pPr>
        <w:pStyle w:val="Heading2"/>
      </w:pPr>
      <w:r>
        <w:t xml:space="preserve">Setting</w:t>
      </w:r>
    </w:p>
    <w:p>
      <w:pPr>
        <w:pStyle w:val="FirstParagraph"/>
      </w:pPr>
      <w:r>
        <w:t xml:space="preserve">The trauma registry includes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33"/>
    <w:bookmarkStart w:id="34"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We included all patients in the trauma registry and Trauma care quality database. We excluded patients younger than 15 and/or were dead on arrival.</w:t>
      </w:r>
    </w:p>
    <w:bookmarkEnd w:id="34"/>
    <w:bookmarkStart w:id="35"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w:t>
      </w:r>
    </w:p>
    <w:p>
      <w:pPr>
        <w:pStyle w:val="BodyText"/>
      </w:pPr>
      <w:r>
        <w:t xml:space="preserve">We included five other metrics to be adjusted for, due to potential for confounding. Pre-injury ASA and gender were categorical, meanwhile age, ISS and INR were kept continuous.</w:t>
      </w:r>
    </w:p>
    <w:bookmarkEnd w:id="35"/>
    <w:bookmarkStart w:id="36" w:name="bias"/>
    <w:p>
      <w:pPr>
        <w:pStyle w:val="Heading2"/>
      </w:pPr>
      <w:r>
        <w:t xml:space="preserve">Bias</w:t>
      </w:r>
    </w:p>
    <w:bookmarkEnd w:id="36"/>
    <w:bookmarkStart w:id="37" w:name="study-size"/>
    <w:p>
      <w:pPr>
        <w:pStyle w:val="Heading2"/>
      </w:pPr>
      <w:r>
        <w:t xml:space="preserve">Study size</w:t>
      </w:r>
    </w:p>
    <w:p>
      <w:pPr>
        <w:pStyle w:val="FirstParagraph"/>
      </w:pPr>
      <w:r>
        <w:t xml:space="preserve">All available data in trauma registry and trauma care quality database will be included.</w:t>
      </w:r>
    </w:p>
    <w:bookmarkEnd w:id="37"/>
    <w:bookmarkStart w:id="38" w:name="quantitative-variables"/>
    <w:p>
      <w:pPr>
        <w:pStyle w:val="Heading2"/>
      </w:pPr>
      <w:r>
        <w:t xml:space="preserve">Quantitative variables</w:t>
      </w:r>
    </w:p>
    <w:p>
      <w:pPr>
        <w:pStyle w:val="FirstParagraph"/>
      </w:pPr>
      <w:r>
        <w:t xml:space="preserve">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w:t>
      </w:r>
      <w:r>
        <w:t xml:space="preserve"> </w:t>
      </w:r>
      <w:r>
        <w:t xml:space="preserve">(5)</w:t>
      </w:r>
      <w:r>
        <w:t xml:space="preserve">,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(15,16)</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(17)</w:t>
      </w:r>
      <w:r>
        <w:t xml:space="preserve">.</w:t>
      </w:r>
    </w:p>
    <w:p>
      <w:pPr>
        <w:pStyle w:val="BodyText"/>
      </w:pPr>
      <w:r>
        <w:rPr>
          <w:bCs/>
          <w:b/>
        </w:rPr>
        <w:t xml:space="preserve">ATLS tenth edition - Systolic blood pressure and Base excess (BD)</w:t>
      </w:r>
    </w:p>
    <w:tbl>
      <w:tblPr>
        <w:tblStyle w:val="Table"/>
        <w:tblW w:type="pct" w:w="5000"/>
        <w:tblLook w:firstRow="1" w:lastRow="0" w:firstColumn="0" w:lastColumn="0" w:noHBand="0" w:noVBand="0" w:val="0020"/>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we choose to follow its original source</w:t>
      </w:r>
      <w:r>
        <w:t xml:space="preserve">(18)</w:t>
      </w:r>
      <w:r>
        <w:t xml:space="preserve">, which defines class I as base deficit (Inverted BE) ≤ 2, with no lower limit (i.e. an upper limit for BE).</w:t>
      </w:r>
    </w:p>
    <w:bookmarkEnd w:id="38"/>
    <w:bookmarkStart w:id="39"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them in a bar chart. Unadjusted logistic regression will be used to determine the association between the OFI, and degree of shock defined separately by classifying BE and SBP roughly according to ATLS classification of hemorrhagic shock. Adjusted logistic regression will then incorporate other patient factors such as age, sex, preinjury ASA, INR, and ISS. It will be presented as odds ratios (OR) between the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 Missing data will be addressed by listwise deletion.</w:t>
      </w:r>
    </w:p>
    <w:bookmarkEnd w:id="39"/>
    <w:bookmarkEnd w:id="40"/>
    <w:bookmarkStart w:id="45" w:name="results-1"/>
    <w:p>
      <w:pPr>
        <w:pStyle w:val="Heading1"/>
      </w:pPr>
      <w:r>
        <w:t xml:space="preserve">Results</w:t>
      </w:r>
    </w:p>
    <w:bookmarkStart w:id="41" w:name="participants-1"/>
    <w:p>
      <w:pPr>
        <w:pStyle w:val="Heading2"/>
      </w:pPr>
      <w:r>
        <w:t xml:space="preserve">Participants</w:t>
      </w:r>
    </w:p>
    <w:p>
      <w:pPr>
        <w:pStyle w:val="FirstParagraph"/>
      </w:pPr>
      <w:r>
        <w:t xml:space="preserve">There were a total of 14022 patients in the trauma registry. After excluding the patients younger than 15 and/or were dead on arrival, there were 12153 patients left. Out of those, 7152 patients had been reviewed for the presence of OFI. A total of 2233 patients were excluded due to missing data, resulting in 4919 patients for the final analysis.</w:t>
      </w:r>
    </w:p>
    <w:p>
      <w:pPr>
        <w:pStyle w:val="BodyText"/>
      </w:pPr>
      <w:r>
        <w:t xml:space="preserve">The variable with most missing data is BE which lack the data for 1721 patients.</w:t>
      </w:r>
    </w:p>
    <w:p>
      <w:pPr>
        <w:pStyle w:val="BodyText"/>
      </w:pP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Possibly preventable deaths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bookmarkEnd w:id="41"/>
    <w:bookmarkStart w:id="42" w:name="descriptive-data"/>
    <w:p>
      <w:pPr>
        <w:pStyle w:val="Heading2"/>
      </w:pPr>
      <w:r>
        <w:t xml:space="preserve">Descriptive data</w:t>
      </w:r>
    </w:p>
    <w:p>
      <w:pPr>
        <w:pStyle w:val="FirstParagraph"/>
      </w:pPr>
      <w:r>
        <w:t xml:space="preserve">The study demographics median age is 39 (25, 56) and the most common gender is male, 3,506 (71%). Clinically, the median ISS is 5 which is considered minor injuries, median INR is 1,00, and the most common Preinjury ASA class is 1, at 62%.</w:t>
      </w:r>
    </w:p>
    <w:p>
      <w:pPr>
        <w:pStyle w:val="BodyText"/>
      </w:pPr>
      <w:r>
        <w:t xml:space="preserve">Table 4 - Sample characteristics used in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bookmarkEnd w:id="42"/>
    <w:bookmarkStart w:id="43"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broad sub-ofi category was clinical judgement error, at 103 (37%). The other three major broad sub-ofis are: inadequate resources 61 (22%), delay in treatment 49 (17%) and missed diagnosis 48 (17%). The smallest one, is other errors, at 5 (1,8%).</w:t>
      </w:r>
    </w:p>
    <w:p>
      <w:pPr>
        <w:pStyle w:val="BodyText"/>
      </w:pPr>
      <w:r>
        <w:t xml:space="preserve">When classified, the most common broad sub-ofi in class 1 (no shock) is clinical judgement error both in the BE and SBP groups, while the other sub-ofi also follow a similar distribution between the groups. The largest sub-ofi continuous to be clinical judgment error for BE group in class 2, 3 and 4, at 34,6%; 31,2%; and 42,9% in this order. On other hand, the largest sub-ofi in SBP class 2 is delay in treatment at 50%. The SBP class 3 is evenly distributed between clinical judgement error and missed diagnosis at 40% each. Lastly, class 4 SBP’s most common sub-ofi is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were decreasing in numbers with increased severity, with class 2: 644 (13%), class 3: 170 (3,5%), and class 4: 116 (2,4%).</w:t>
      </w:r>
    </w:p>
    <w:p>
      <w:pPr>
        <w:pStyle w:val="BodyText"/>
      </w:pPr>
      <w:r>
        <w:t xml:space="preserve">The SBP classification system sorted 4455 (91%) patients as having no shock (class 1), while the remaining classes with patients in shock accounted for 464 (9%) of all the patients. Among the classes defined with shock, class 2 was the biggest at 239 (4,9%), followed by class 4 at 127 (2,6%), and lastly class 3 with 99 (2,0%).</w:t>
      </w:r>
    </w:p>
    <w:p>
      <w:pPr>
        <w:pStyle w:val="BodyText"/>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3"/>
    <w:bookmarkStart w:id="44" w:name="main-results"/>
    <w:p>
      <w:pPr>
        <w:pStyle w:val="Heading2"/>
      </w:pPr>
      <w:r>
        <w:t xml:space="preserve">Main results</w:t>
      </w:r>
    </w:p>
    <w:p>
      <w:pPr>
        <w:pStyle w:val="FirstParagraph"/>
      </w:pPr>
      <w:r>
        <w:t xml:space="preserve">The adjusted analyses showed only statistical significance when comparing BE class 4 to class 1, which had 63% lower odds for OFI (OR 0,37; 95% CI 0,14-0,83; p-value 0.026).</w:t>
      </w:r>
    </w:p>
    <w:p>
      <w:pPr>
        <w:pStyle w:val="BodyText"/>
      </w:pPr>
      <w:r>
        <w:t xml:space="preserve">The un-adjusted analysis showed when comparing to class 1 in BE group, class 2 (OR 1,61; 95% CI 1,17-2,20; p-value 0.003) and 3 (OR 1,91; 95% CI 1,08-3,16; p-value 0.018) were significant in increased risk for OFI. For the SBP group, comparison between class 1 and class 4 showed significant increased risk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44"/>
    <w:bookmarkEnd w:id="45"/>
    <w:bookmarkStart w:id="46" w:name="discussion"/>
    <w:p>
      <w:pPr>
        <w:pStyle w:val="Heading1"/>
      </w:pPr>
      <w:r>
        <w:t xml:space="preserve">Discussion</w:t>
      </w:r>
    </w:p>
    <w:bookmarkEnd w:id="46"/>
    <w:bookmarkStart w:id="47" w:name="conclusion-1"/>
    <w:p>
      <w:pPr>
        <w:pStyle w:val="Heading1"/>
      </w:pPr>
      <w:r>
        <w:t xml:space="preserve">Conclusion</w:t>
      </w:r>
    </w:p>
    <w:bookmarkEnd w:id="47"/>
    <w:bookmarkStart w:id="85" w:name="references"/>
    <w:p>
      <w:pPr>
        <w:pStyle w:val="Heading1"/>
      </w:pPr>
      <w:r>
        <w:t xml:space="preserve">References</w:t>
      </w:r>
    </w:p>
    <w:bookmarkStart w:id="84" w:name="refs"/>
    <w:bookmarkStart w:id="49"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8">
        <w:r>
          <w:rPr>
            <w:rStyle w:val="Hyperlink"/>
          </w:rPr>
          <w:t xml:space="preserve">https://www.who.int/news-room/fact-sheets/detail/injuries-and-violence</w:t>
        </w:r>
      </w:hyperlink>
    </w:p>
    <w:bookmarkEnd w:id="49"/>
    <w:bookmarkStart w:id="51" w:name="ref-kauvar_impact_2006"/>
    <w:p>
      <w:pPr>
        <w:pStyle w:val="Bibliography"/>
      </w:pPr>
      <w:r>
        <w:t xml:space="preserve">2.</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50">
        <w:r>
          <w:rPr>
            <w:rStyle w:val="Hyperlink"/>
          </w:rPr>
          <w:t xml:space="preserve">https://journals.lww.com/jtrauma/fulltext/2006/06001/impact_of_hemorrhage_on_trauma_outcome__an.2.aspx</w:t>
        </w:r>
      </w:hyperlink>
    </w:p>
    <w:bookmarkEnd w:id="51"/>
    <w:bookmarkStart w:id="53" w:name="ref-berry_shock_2015"/>
    <w:p>
      <w:pPr>
        <w:pStyle w:val="Bibliography"/>
      </w:pPr>
      <w:r>
        <w:t xml:space="preserve">3.</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52">
        <w:r>
          <w:rPr>
            <w:rStyle w:val="Hyperlink"/>
          </w:rPr>
          <w:t xml:space="preserve">https://doi.org/10.1007/978-3-642-29613-0_505</w:t>
        </w:r>
      </w:hyperlink>
    </w:p>
    <w:bookmarkEnd w:id="53"/>
    <w:bookmarkStart w:id="55" w:name="ref-teixeira_preventable_2007"/>
    <w:p>
      <w:pPr>
        <w:pStyle w:val="Bibliography"/>
      </w:pPr>
      <w:r>
        <w:t xml:space="preserve">4.</w:t>
      </w:r>
      <w:r>
        <w:t xml:space="preserve"> </w:t>
      </w:r>
      <w:r>
        <w:t xml:space="preserve">	</w:t>
      </w:r>
      <w:r>
        <w:t xml:space="preserve">Teixeira PGR, Inaba K, Hadjizacharia P, Brown C, Salim A, Rhee P, et al.</w:t>
      </w:r>
      <w:r>
        <w:t xml:space="preserve"> </w:t>
      </w:r>
      <w:hyperlink r:id="rId54">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5"/>
    <w:bookmarkStart w:id="57" w:name="ref-noauthor_atls_2018"/>
    <w:p>
      <w:pPr>
        <w:pStyle w:val="Bibliography"/>
      </w:pPr>
      <w:r>
        <w:t xml:space="preserve">5.</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6">
        <w:r>
          <w:rPr>
            <w:rStyle w:val="Hyperlink"/>
          </w:rPr>
          <w:t xml:space="preserve">https://cirugia.facmed.unam.mx/wp-content/uploads/2018/07/Advanced-Trauma-Life-Support.pdf</w:t>
        </w:r>
      </w:hyperlink>
    </w:p>
    <w:bookmarkEnd w:id="57"/>
    <w:bookmarkStart w:id="59" w:name="ref-el-menyar_review_2019"/>
    <w:p>
      <w:pPr>
        <w:pStyle w:val="Bibliography"/>
      </w:pPr>
      <w:r>
        <w:t xml:space="preserve">6.</w:t>
      </w:r>
      <w:r>
        <w:t xml:space="preserve"> </w:t>
      </w:r>
      <w:r>
        <w:t xml:space="preserve">	</w:t>
      </w:r>
      <w:r>
        <w:t xml:space="preserve">El-Menyar A, Mekkodathil A, Abdelrahman H, Latifi R, Galwankar S, Al-Thani H, et al. Review of</w:t>
      </w:r>
      <w:r>
        <w:t xml:space="preserve"> </w:t>
      </w:r>
      <w:r>
        <w:t xml:space="preserve">Existing</w:t>
      </w:r>
      <w:r>
        <w:t xml:space="preserve"> </w:t>
      </w:r>
      <w:r>
        <w:t xml:space="preserve">Scoring</w:t>
      </w:r>
      <w:r>
        <w:t xml:space="preserve"> </w:t>
      </w:r>
      <w:r>
        <w:t xml:space="preserve">Systems</w:t>
      </w:r>
      <w:r>
        <w:t xml:space="preserve"> </w:t>
      </w:r>
      <w:r>
        <w:t xml:space="preserve">for</w:t>
      </w:r>
      <w:r>
        <w:t xml:space="preserve"> </w:t>
      </w:r>
      <w:r>
        <w:t xml:space="preserve">Massive</w:t>
      </w:r>
      <w:r>
        <w:t xml:space="preserve"> </w:t>
      </w:r>
      <w:r>
        <w:t xml:space="preserve">Blood</w:t>
      </w:r>
      <w:r>
        <w:t xml:space="preserve"> </w:t>
      </w:r>
      <w:r>
        <w:t xml:space="preserve">Transfusion</w:t>
      </w:r>
      <w:r>
        <w:t xml:space="preserve"> </w:t>
      </w:r>
      <w:r>
        <w:t xml:space="preserve">in</w:t>
      </w:r>
      <w:r>
        <w:t xml:space="preserve"> </w:t>
      </w:r>
      <w:r>
        <w:t xml:space="preserve">Trauma</w:t>
      </w:r>
      <w:r>
        <w:t xml:space="preserve"> </w:t>
      </w:r>
      <w:r>
        <w:t xml:space="preserve">Patients</w:t>
      </w:r>
      <w:r>
        <w:t xml:space="preserve">:</w:t>
      </w:r>
      <w:r>
        <w:t xml:space="preserve"> </w:t>
      </w:r>
      <w:r>
        <w:t xml:space="preserve">Where</w:t>
      </w:r>
      <w:r>
        <w:t xml:space="preserve"> </w:t>
      </w:r>
      <w:r>
        <w:t xml:space="preserve">Do</w:t>
      </w:r>
      <w:r>
        <w:t xml:space="preserve"> </w:t>
      </w:r>
      <w:r>
        <w:t xml:space="preserve">We</w:t>
      </w:r>
      <w:r>
        <w:t xml:space="preserve"> </w:t>
      </w:r>
      <w:r>
        <w:t xml:space="preserve">Stand</w:t>
      </w:r>
      <w:r>
        <w:t xml:space="preserve">? Shock [Internet]. 2019 Sep [cited 2024 Oct 24];52(3):288. Available from:</w:t>
      </w:r>
      <w:r>
        <w:t xml:space="preserve"> </w:t>
      </w:r>
      <w:hyperlink r:id="rId58">
        <w:r>
          <w:rPr>
            <w:rStyle w:val="Hyperlink"/>
          </w:rPr>
          <w:t xml:space="preserve">https://journals.lww.com/shockjournal/fulltext/2019/09000/review_of_existing_scoring_systems_for_massive.2.aspx</w:t>
        </w:r>
      </w:hyperlink>
    </w:p>
    <w:bookmarkEnd w:id="59"/>
    <w:bookmarkStart w:id="61" w:name="ref-mackersie_pitfalls_2010"/>
    <w:p>
      <w:pPr>
        <w:pStyle w:val="Bibliography"/>
      </w:pPr>
      <w:r>
        <w:t xml:space="preserve">7.</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60">
        <w:r>
          <w:rPr>
            <w:rStyle w:val="Hyperlink"/>
          </w:rPr>
          <w:t xml:space="preserve">https://www.sciencedirect.com/science/article/pii/S0733862709001199</w:t>
        </w:r>
      </w:hyperlink>
    </w:p>
    <w:bookmarkEnd w:id="61"/>
    <w:bookmarkStart w:id="63" w:name="ref-ivatury_patient_2008"/>
    <w:p>
      <w:pPr>
        <w:pStyle w:val="Bibliography"/>
      </w:pPr>
      <w:r>
        <w:t xml:space="preserve">8.</w:t>
      </w:r>
      <w:r>
        <w:t xml:space="preserve"> </w:t>
      </w:r>
      <w:r>
        <w:t xml:space="preserve">	</w:t>
      </w:r>
      <w:r>
        <w:t xml:space="preserve">Ivatury RR, Guilford K, Malhotra AK, Duane T, Aboutanos M, Martin N.</w:t>
      </w:r>
      <w:r>
        <w:t xml:space="preserve"> </w:t>
      </w:r>
      <w:hyperlink r:id="rId6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3"/>
    <w:bookmarkStart w:id="65" w:name="X9db8e71a0533962266d08f8a7d5abffdfc5204c"/>
    <w:p>
      <w:pPr>
        <w:pStyle w:val="Bibliography"/>
      </w:pPr>
      <w:r>
        <w:t xml:space="preserve">9.</w:t>
      </w:r>
      <w:r>
        <w:t xml:space="preserve"> </w:t>
      </w:r>
      <w:r>
        <w:t xml:space="preserve">	</w:t>
      </w:r>
      <w:r>
        <w:t xml:space="preserve">World Health Organization. Guidelines for trauma quality improvement programmes. 2009 [cited 2024 Sep 20];104. Available from:</w:t>
      </w:r>
      <w:r>
        <w:t xml:space="preserve"> </w:t>
      </w:r>
      <w:hyperlink r:id="rId64">
        <w:r>
          <w:rPr>
            <w:rStyle w:val="Hyperlink"/>
          </w:rPr>
          <w:t xml:space="preserve">https://iris.who.int/handle/10665/44061</w:t>
        </w:r>
      </w:hyperlink>
    </w:p>
    <w:bookmarkEnd w:id="65"/>
    <w:bookmarkStart w:id="67" w:name="ref-juillard_establishing_2009"/>
    <w:p>
      <w:pPr>
        <w:pStyle w:val="Bibliography"/>
      </w:pPr>
      <w:r>
        <w:t xml:space="preserve">10.</w:t>
      </w:r>
      <w:r>
        <w:t xml:space="preserve"> </w:t>
      </w:r>
      <w:r>
        <w:t xml:space="preserve">	</w:t>
      </w:r>
      <w:r>
        <w:t xml:space="preserve">Juillard CJ, Mock C, Goosen J, Joshipura M, Civil I.</w:t>
      </w:r>
      <w:r>
        <w:t xml:space="preserve"> </w:t>
      </w:r>
      <w:hyperlink r:id="rId66">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67"/>
    <w:bookmarkStart w:id="69" w:name="ref-hashmi_hospital-based_2013"/>
    <w:p>
      <w:pPr>
        <w:pStyle w:val="Bibliography"/>
      </w:pPr>
      <w:r>
        <w:t xml:space="preserve">11.</w:t>
      </w:r>
      <w:r>
        <w:t xml:space="preserve"> </w:t>
      </w:r>
      <w:r>
        <w:t xml:space="preserve">	</w:t>
      </w:r>
      <w:r>
        <w:t xml:space="preserve">Hashmi ZG, Haider AH, Zafar SN, Kisat M, Moosa A, Siddiqui F, et al.</w:t>
      </w:r>
      <w:r>
        <w:t xml:space="preserve"> </w:t>
      </w:r>
      <w:hyperlink r:id="rId68">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69"/>
    <w:bookmarkStart w:id="71" w:name="ref-donabedian_quality_1988"/>
    <w:p>
      <w:pPr>
        <w:pStyle w:val="Bibliography"/>
      </w:pPr>
      <w:r>
        <w:t xml:space="preserve">12.</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0">
        <w:r>
          <w:rPr>
            <w:rStyle w:val="Hyperlink"/>
          </w:rPr>
          <w:t xml:space="preserve">https://doi.org/10.1001/jama.1988.03410120089033</w:t>
        </w:r>
      </w:hyperlink>
    </w:p>
    <w:bookmarkEnd w:id="71"/>
    <w:bookmarkStart w:id="73" w:name="ref-vang_shock_2022"/>
    <w:p>
      <w:pPr>
        <w:pStyle w:val="Bibliography"/>
      </w:pPr>
      <w:r>
        <w:t xml:space="preserve">13.</w:t>
      </w:r>
      <w:r>
        <w:t xml:space="preserve"> </w:t>
      </w:r>
      <w:r>
        <w:t xml:space="preserve">	</w:t>
      </w:r>
      <w:r>
        <w:t xml:space="preserve">Vang M, Østberg M, Steinmetz J, Rasmussen LS.</w:t>
      </w:r>
      <w:r>
        <w:t xml:space="preserve"> </w:t>
      </w:r>
      <w:hyperlink r:id="rId72">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73"/>
    <w:bookmarkStart w:id="75" w:name="ref-tisherman_detailed_2015"/>
    <w:p>
      <w:pPr>
        <w:pStyle w:val="Bibliography"/>
      </w:pPr>
      <w:r>
        <w:t xml:space="preserve">14.</w:t>
      </w:r>
      <w:r>
        <w:t xml:space="preserve"> </w:t>
      </w:r>
      <w:r>
        <w:t xml:space="preserve">	</w:t>
      </w:r>
      <w:r>
        <w:t xml:space="preserve">Tisherman SA, Schmicker RH, Brasel KJ, Bulger EM, Kerby JD, Minei JP, et al.</w:t>
      </w:r>
      <w:r>
        <w:t xml:space="preserve"> </w:t>
      </w:r>
      <w:hyperlink r:id="rId74">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75"/>
    <w:bookmarkStart w:id="77" w:name="ref-eastridge_hypotension_2007"/>
    <w:p>
      <w:pPr>
        <w:pStyle w:val="Bibliography"/>
      </w:pPr>
      <w:r>
        <w:t xml:space="preserve">15.</w:t>
      </w:r>
      <w:r>
        <w:t xml:space="preserve"> </w:t>
      </w:r>
      <w:r>
        <w:t xml:space="preserve">	</w:t>
      </w:r>
      <w:r>
        <w:t xml:space="preserve">Eastridge BJ, Salinas J, McManus JG, Blackburn L, Bugler EM, Cooke WH, et al.</w:t>
      </w:r>
      <w:r>
        <w:t xml:space="preserve"> </w:t>
      </w:r>
      <w:hyperlink r:id="rId76">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77"/>
    <w:bookmarkStart w:id="79" w:name="ref-oyetunji_redefining_2011"/>
    <w:p>
      <w:pPr>
        <w:pStyle w:val="Bibliography"/>
      </w:pPr>
      <w:r>
        <w:t xml:space="preserve">16.</w:t>
      </w:r>
      <w:r>
        <w:t xml:space="preserve"> </w:t>
      </w:r>
      <w:r>
        <w:t xml:space="preserve">	</w:t>
      </w:r>
      <w:r>
        <w:t xml:space="preserve">Oyetunji TA, Chang DC, Crompton JG, Greene WR, Efron DT, Haut ER, et al.</w:t>
      </w:r>
      <w:r>
        <w:t xml:space="preserve"> </w:t>
      </w:r>
      <w:hyperlink r:id="rId78">
        <w:r>
          <w:rPr>
            <w:rStyle w:val="Hyperlink"/>
          </w:rPr>
          <w:t xml:space="preserve">Redefining hypotension in the elderly: Normotension is not reassuring</w:t>
        </w:r>
      </w:hyperlink>
      <w:r>
        <w:t xml:space="preserve">. Archives of Surgery (Chicago, Ill: 1960). 2011 Jul;146(7):865–9.</w:t>
      </w:r>
      <w:r>
        <w:t xml:space="preserve"> </w:t>
      </w:r>
    </w:p>
    <w:bookmarkEnd w:id="79"/>
    <w:bookmarkStart w:id="81" w:name="ref-mutschler_critical_2013"/>
    <w:p>
      <w:pPr>
        <w:pStyle w:val="Bibliography"/>
      </w:pPr>
      <w:r>
        <w:t xml:space="preserve">17.</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80">
        <w:r>
          <w:rPr>
            <w:rStyle w:val="Hyperlink"/>
          </w:rPr>
          <w:t xml:space="preserve">https://www.sciencedirect.com/science/article/pii/S0300957212003693</w:t>
        </w:r>
      </w:hyperlink>
    </w:p>
    <w:bookmarkEnd w:id="81"/>
    <w:bookmarkStart w:id="83" w:name="ref-mutschler_renaissance_2013"/>
    <w:p>
      <w:pPr>
        <w:pStyle w:val="Bibliography"/>
      </w:pPr>
      <w:r>
        <w:t xml:space="preserve">18.</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82">
        <w:r>
          <w:rPr>
            <w:rStyle w:val="Hyperlink"/>
          </w:rPr>
          <w:t xml:space="preserve">https://pmc.ncbi.nlm.nih.gov/articles/PMC3672480/</w:t>
        </w:r>
      </w:hyperlink>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78"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52" Target="https://doi.org/10.1007/978-3-642-29613-0_505" TargetMode="External" /><Relationship Type="http://schemas.openxmlformats.org/officeDocument/2006/relationships/hyperlink" Id="rId72" Target="https://doi.org/10.1007/s00068-022-01932-z" TargetMode="External" /><Relationship Type="http://schemas.openxmlformats.org/officeDocument/2006/relationships/hyperlink" Id="rId66" Target="https://doi.org/10.1007/s00268-009-9959-8"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b013e31809ed924" TargetMode="External" /><Relationship Type="http://schemas.openxmlformats.org/officeDocument/2006/relationships/hyperlink" Id="rId54"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50" Target="https://journals.lww.com/jtrauma/fulltext/2006/06001/impact_of_hemorrhage_on_trauma_outcome__an.2.aspx" TargetMode="External" /><Relationship Type="http://schemas.openxmlformats.org/officeDocument/2006/relationships/hyperlink" Id="rId58" Target="https://journals.lww.com/shockjournal/fulltext/2019/09000/review_of_existing_scoring_systems_for_massive.2.aspx" TargetMode="External" /><Relationship Type="http://schemas.openxmlformats.org/officeDocument/2006/relationships/hyperlink" Id="rId82" Target="https://pmc.ncbi.nlm.nih.gov/articles/PMC3672480/" TargetMode="External" /><Relationship Type="http://schemas.openxmlformats.org/officeDocument/2006/relationships/hyperlink" Id="rId80" Target="https://www.sciencedirect.com/science/article/pii/S0300957212003693"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48"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78"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52" Target="https://doi.org/10.1007/978-3-642-29613-0_505" TargetMode="External" /><Relationship Type="http://schemas.openxmlformats.org/officeDocument/2006/relationships/hyperlink" Id="rId72" Target="https://doi.org/10.1007/s00068-022-01932-z" TargetMode="External" /><Relationship Type="http://schemas.openxmlformats.org/officeDocument/2006/relationships/hyperlink" Id="rId66" Target="https://doi.org/10.1007/s00268-009-9959-8"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b013e31809ed924" TargetMode="External" /><Relationship Type="http://schemas.openxmlformats.org/officeDocument/2006/relationships/hyperlink" Id="rId54"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50" Target="https://journals.lww.com/jtrauma/fulltext/2006/06001/impact_of_hemorrhage_on_trauma_outcome__an.2.aspx" TargetMode="External" /><Relationship Type="http://schemas.openxmlformats.org/officeDocument/2006/relationships/hyperlink" Id="rId58" Target="https://journals.lww.com/shockjournal/fulltext/2019/09000/review_of_existing_scoring_systems_for_massive.2.aspx" TargetMode="External" /><Relationship Type="http://schemas.openxmlformats.org/officeDocument/2006/relationships/hyperlink" Id="rId82" Target="https://pmc.ncbi.nlm.nih.gov/articles/PMC3672480/" TargetMode="External" /><Relationship Type="http://schemas.openxmlformats.org/officeDocument/2006/relationships/hyperlink" Id="rId80" Target="https://www.sciencedirect.com/science/article/pii/S0300957212003693"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48"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2024-11-29T10:17:33Z</dcterms:created>
  <dcterms:modified xsi:type="dcterms:W3CDTF">2024-11-29T10:17:33Z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