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Author"/>
      </w:pPr>
      <w:r>
        <w:t xml:space="preserve">Your</w:t>
      </w:r>
      <w:r>
        <w:t xml:space="preserve"> </w:t>
      </w:r>
      <w:r>
        <w:t xml:space="preserve">name</w:t>
      </w:r>
      <w:r>
        <w:t xml:space="preserve"> </w:t>
      </w:r>
      <w:r>
        <w:t xml:space="preserve">here</w:t>
      </w:r>
    </w:p>
    <w:bookmarkStart w:id="24" w:name="abstract"/>
    <w:p>
      <w:pPr>
        <w:pStyle w:val="Heading1"/>
      </w:pPr>
      <w:r>
        <w:t xml:space="preserve">Abstract</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p>
      <w:pPr>
        <w:pStyle w:val="FirstParagraph"/>
      </w:pPr>
      <w:r>
        <w:t xml:space="preserve">You can cite document here like this</w:t>
      </w:r>
      <w:r>
        <w:t xml:space="preserve"> </w:t>
      </w:r>
      <w:r>
        <w:t xml:space="preserve">(</w:t>
      </w:r>
      <w:r>
        <w:rPr>
          <w:bCs/>
          <w:b/>
        </w:rPr>
        <w:t xml:space="preserve">exampleKey9999?</w:t>
      </w:r>
      <w:r>
        <w:t xml:space="preserve">)</w:t>
      </w:r>
      <w:r>
        <w:t xml:space="preserve">. Open the file bibliography.bib to learn more.</w:t>
      </w:r>
    </w:p>
    <w:p>
      <w:pPr>
        <w:pStyle w:val="BodyText"/>
      </w:pPr>
      <w:r>
        <w:t xml:space="preserve">Trauma is a major global public health concern. It causes over four milion death and affects hundreds of millions each year, among those younger populations are the most affected</w:t>
      </w:r>
      <w:r>
        <w:t xml:space="preserve"> </w:t>
      </w:r>
      <w:r>
        <w:t xml:space="preserve">(1)</w:t>
      </w:r>
      <w:r>
        <w:t xml:space="preserve">. The initial management of trauma patients once they reach hospital is very time sensitive and error prone</w:t>
      </w:r>
      <w:r>
        <w:t xml:space="preserve"> </w:t>
      </w:r>
      <w:r>
        <w:t xml:space="preserve">(2)</w:t>
      </w:r>
      <w:r>
        <w:t xml:space="preserve"> </w:t>
      </w:r>
      <w:r>
        <w:t xml:space="preserve">[</w:t>
      </w:r>
      <w:r>
        <w:t xml:space="preserve">(3)</w:t>
      </w:r>
      <w:r>
        <w:t xml:space="preserve">]</w:t>
      </w:r>
      <w:r>
        <w:t xml:space="preserve">(4)</w:t>
      </w:r>
      <w:r>
        <w:t xml:space="preserve">, and shock is the most common potentially preventable death within the first 24h of injury</w:t>
      </w:r>
      <w:r>
        <w:t xml:space="preserve">(5)</w:t>
      </w:r>
      <w:r>
        <w:t xml:space="preserve">. It is also the second major cause of early mortality in trauma patients</w:t>
      </w:r>
      <w:r>
        <w:t xml:space="preserve"> </w:t>
      </w:r>
      <w:r>
        <w:t xml:space="preserve">(6)</w:t>
      </w:r>
      <w:r>
        <w:t xml:space="preserve">, and patients in shock have a higher mortality rate than those not</w:t>
      </w:r>
      <w:r>
        <w:t xml:space="preserve">(7)</w:t>
      </w:r>
      <w:r>
        <w:t xml:space="preserve">.</w:t>
      </w:r>
    </w:p>
    <w:p>
      <w:pPr>
        <w:pStyle w:val="BodyText"/>
      </w:pPr>
      <w:r>
        <w:t xml:space="preserve">The definition for shock is circulatory failure leading to insuficient perfusion and oxygenation of tissue and organ</w:t>
      </w:r>
      <w:r>
        <w:t xml:space="preserve">(8)</w:t>
      </w:r>
      <w:r>
        <w:t xml:space="preserve">. There are four types of causes, which are hypovolemic, obstructive, cardiogenic and distributive. These causes can occur alone or in combination. The most usual one during trauma are hypovolemic in form of a large bleeding</w:t>
      </w:r>
      <w:r>
        <w:t xml:space="preserve">(3)</w:t>
      </w:r>
      <w:r>
        <w:t xml:space="preserve">.</w:t>
      </w:r>
    </w:p>
    <w:p>
      <w:pPr>
        <w:pStyle w:val="BodyText"/>
      </w:pPr>
      <w:r>
        <w:t xml:space="preserve">To differentiate the severity of trauma shock, we can divide shock into different degrees. One of such classification is the ATLS classification for major haemorrhage. The classification is divided into four classes, based on the patients: estimated bloodloss, heart frequency (HF), bloodpressure (BP), pulse pressure, respiratory rate (RR), mental status and urine output. However, this only meant to be used for hypovolemic shocks and not the other types. There is other classifications for predicting massive transfusion (TASH,TBSS, ABC), triaging (RETTS) or tracking the clinical deterioration of patients (NEWS2). The common denominator for these classifications is they are all roughly based on vital parameters, however none of them is specifically designed to classify trauma shock degree regardless of the type/cause of shock. ATLS in this regard, even though having its own shortcomings</w:t>
      </w:r>
      <w:r>
        <w:t xml:space="preserve">(9)</w:t>
      </w:r>
      <w:r>
        <w:t xml:space="preserve">, still is one of the most used classifications for this topic(Källa).</w:t>
      </w:r>
    </w:p>
    <w:p>
      <w:pPr>
        <w:pStyle w:val="BodyText"/>
      </w:pPr>
      <w:r>
        <w:t xml:space="preserve">One way to improve trauma care quality is trough identifying Opportunities for Improvement (OFI). This method has an advantage compared to traditional mortality reviews in that it also includes non-fatals. There are different processes to finding OFIs, but one of the primary ways is through structured multidisciplinary morbidity and mortality reviews of patient cases</w:t>
      </w:r>
      <w:r>
        <w:t xml:space="preserve"> </w:t>
      </w:r>
      <w:r>
        <w:t xml:space="preserve">(10)</w:t>
      </w:r>
      <w:r>
        <w:t xml:space="preserve">. In order for the review content to be as comprehensive as possible for trauma care, the Donabedian quality of care framework can be used</w:t>
      </w:r>
      <w:r>
        <w:t xml:space="preserve">(11)</w:t>
      </w:r>
      <w:r>
        <w:t xml:space="preserve">. It is based on the three factors of structure, process and outcome. By following this framework, healthcare providers will be able to systematically find and address OFIs[källa?]. This will in turn improve the effectiveness of trauma care, directly impacting mortality and morbidity[källa?/8].</w:t>
      </w:r>
    </w:p>
    <w:p>
      <w:pPr>
        <w:pStyle w:val="BodyText"/>
      </w:pPr>
      <w:r>
        <w:t xml:space="preserve">This study aims to describe the types of opportunities for improvement for adult trauma patients arriving in shock, and to assess how the degree of shock is associated with opportunities for improvement.</w:t>
      </w:r>
    </w:p>
    <w:bookmarkEnd w:id="25"/>
    <w:bookmarkStart w:id="34" w:name="methods-1"/>
    <w:p>
      <w:pPr>
        <w:pStyle w:val="Heading1"/>
      </w:pPr>
      <w:r>
        <w:t xml:space="preserve">Methods</w:t>
      </w:r>
    </w:p>
    <w:bookmarkStart w:id="26"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 We then linked the two databases to assess what types of OFI occurred in patients arriving in shock and use logistic regression to assess the association between the degree of shock and odds of opportunities for improvement.</w:t>
      </w:r>
    </w:p>
    <w:bookmarkEnd w:id="26"/>
    <w:bookmarkStart w:id="27" w:name="setting"/>
    <w:p>
      <w:pPr>
        <w:pStyle w:val="Heading2"/>
      </w:pPr>
      <w:r>
        <w:t xml:space="preserve">Setting</w:t>
      </w:r>
    </w:p>
    <w:p>
      <w:pPr>
        <w:pStyle w:val="FirstParagraph"/>
      </w:pPr>
      <w:r>
        <w:t xml:space="preserve">The trauma registry includes about 14000 patients treated at Karolinska University Hospital in Solna between 2014 and 2023. The</w:t>
      </w:r>
      <w:r>
        <w:t xml:space="preserve"> </w:t>
      </w:r>
      <w:r>
        <w:t xml:space="preserve">“</w:t>
      </w:r>
      <w:r>
        <w:t xml:space="preserve">problem</w:t>
      </w:r>
      <w:r>
        <w:t xml:space="preserve">”</w:t>
      </w:r>
      <w:r>
        <w:t xml:space="preserve"> </w:t>
      </w:r>
      <w:r>
        <w:t xml:space="preserve">database is a subset of the trauma registry and includes about ? patients selected for review. The Karolinska University Hospital in Solna treats all major trauma in the greater metropolitan area of Stockholm.</w:t>
      </w:r>
    </w:p>
    <w:bookmarkEnd w:id="27"/>
    <w:bookmarkStart w:id="28" w:name="participants"/>
    <w:p>
      <w:pPr>
        <w:pStyle w:val="Heading2"/>
      </w:pPr>
      <w:r>
        <w:t xml:space="preserve">Participants</w:t>
      </w:r>
    </w:p>
    <w:p>
      <w:pPr>
        <w:pStyle w:val="FirstParagraph"/>
      </w:pPr>
      <w:r>
        <w:t xml:space="preserve">To qualify into the trauma registry, requires admission by trauma team activation or any admission with an Injury Severity Score (ISS) of more than nine.</w:t>
      </w:r>
    </w:p>
    <w:p>
      <w:pPr>
        <w:pStyle w:val="BodyText"/>
      </w:pPr>
      <w:r>
        <w:t xml:space="preserve">Every trauma patient at Karolinska University Hospital is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p>
      <w:pPr>
        <w:pStyle w:val="BodyText"/>
      </w:pPr>
      <w:r>
        <w:t xml:space="preserve">We included all patients in</w:t>
      </w:r>
      <w:r>
        <w:t xml:space="preserve"> </w:t>
      </w:r>
      <w:r>
        <w:t xml:space="preserve">“</w:t>
      </w:r>
      <w:r>
        <w:t xml:space="preserve">SWETRAU</w:t>
      </w:r>
      <w:r>
        <w:t xml:space="preserve">”</w:t>
      </w:r>
      <w:r>
        <w:t xml:space="preserve"> </w:t>
      </w:r>
      <w:r>
        <w:t xml:space="preserve">and</w:t>
      </w:r>
      <w:r>
        <w:t xml:space="preserve"> </w:t>
      </w:r>
      <w:r>
        <w:t xml:space="preserve">“</w:t>
      </w:r>
      <w:r>
        <w:t xml:space="preserve">Problem</w:t>
      </w:r>
      <w:r>
        <w:t xml:space="preserve">”</w:t>
      </w:r>
      <w:r>
        <w:t xml:space="preserve"> </w:t>
      </w:r>
      <w:r>
        <w:t xml:space="preserve">between 2014 and 2023 We excluded patients younger than 15 and/or were dead on arrival.</w:t>
      </w:r>
    </w:p>
    <w:bookmarkEnd w:id="28"/>
    <w:bookmarkStart w:id="29" w:name="variables-and-data-sourcesmeasurements"/>
    <w:p>
      <w:pPr>
        <w:pStyle w:val="Heading2"/>
      </w:pPr>
      <w:r>
        <w:t xml:space="preserve">Variables and data sources/measurements</w:t>
      </w:r>
    </w:p>
    <w:p>
      <w:pPr>
        <w:pStyle w:val="FirstParagraph"/>
      </w:pPr>
      <w:r>
        <w:t xml:space="preserve">The outcome was defined as presence of atleast one OFI, determined by the multidisciplinary M&amp;M conference in the</w:t>
      </w:r>
      <w:r>
        <w:t xml:space="preserve"> </w:t>
      </w:r>
      <w:r>
        <w:t xml:space="preserve">“</w:t>
      </w:r>
      <w:r>
        <w:t xml:space="preserve">problem</w:t>
      </w:r>
      <w:r>
        <w:t xml:space="preserve">”</w:t>
      </w:r>
      <w:r>
        <w:t xml:space="preserve"> </w:t>
      </w:r>
      <w:r>
        <w:t xml:space="preserve">registry. An OFI can be various types of errors, which are categorized into: clinical judgement error, inadequate resources, delay in treatment, missed injury, inadequate protocols,</w:t>
      </w:r>
      <w:r>
        <w:t xml:space="preserve"> </w:t>
      </w:r>
      <w:r>
        <w:t xml:space="preserve">“</w:t>
      </w:r>
      <w:r>
        <w:t xml:space="preserve">preventable death</w:t>
      </w:r>
      <w:r>
        <w:t xml:space="preserve">”</w:t>
      </w:r>
      <w:r>
        <w:t xml:space="preserve"> </w:t>
      </w:r>
      <w:r>
        <w:t xml:space="preserve">(den här var väl inte ens med i</w:t>
      </w:r>
      <w:r>
        <w:t xml:space="preserve"> </w:t>
      </w:r>
      <w:r>
        <w:t xml:space="preserve">“</w:t>
      </w:r>
      <w:r>
        <w:t xml:space="preserve">problem</w:t>
      </w:r>
      <w:r>
        <w:t xml:space="preserve">”</w:t>
      </w:r>
      <w:r>
        <w:t xml:space="preserve">, fast fanns med i studien som Martin delade på discord) and other errors.</w:t>
      </w:r>
    </w:p>
    <w:p>
      <w:pPr>
        <w:pStyle w:val="BodyText"/>
      </w:pPr>
      <w:r>
        <w:t xml:space="preserve">In this study, the outcomes will be studied in two ways, one is the amount of occurrence for various types of OFI in shock patients, and the other is binary where odds of OFI for every shock class i calculated out of presence of OFI or not. (kanske inte ens en del av metod)</w:t>
      </w:r>
    </w:p>
    <w:p>
      <w:pPr>
        <w:pStyle w:val="BodyText"/>
      </w:pPr>
      <w:r>
        <w:t xml:space="preserve">To classify the patients the following measurement will be used as independent variables for classification of shock regardless of their cause. Heart rate(HR), systolic blood pressure(SBP), respiratory rate(RR) and mental status.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(12)</w:t>
      </w:r>
      <w:r>
        <w:t xml:space="preserve">]</w:t>
      </w:r>
      <w:r>
        <w:t xml:space="preserve">(13)</w:t>
      </w:r>
      <w:r>
        <w:t xml:space="preserve">(14)</w:t>
      </w:r>
      <w:r>
        <w:t xml:space="preserve">.</w:t>
      </w:r>
    </w:p>
    <w:p>
      <w:pPr>
        <w:pStyle w:val="BodyText"/>
      </w:pPr>
      <w:r>
        <w:t xml:space="preserve">Version 1,</w:t>
      </w:r>
      <w:r>
        <w:t xml:space="preserve"> </w:t>
      </w:r>
      <w:r>
        <w:t xml:space="preserve">Due to the tenth edition of ATLS classifications lack actual numbers, we will be using simplified and numerical version approximated by Dunham et al</w:t>
      </w:r>
      <w:r>
        <w:t xml:space="preserve">(15)</w:t>
      </w:r>
      <w:r>
        <w:t xml:space="preserve">. (INSERT PICTURE)</w:t>
      </w:r>
    </w:p>
    <w:p>
      <w:pPr>
        <w:pStyle w:val="BodyText"/>
      </w:pPr>
      <w:r>
        <w:t xml:space="preserve">Version 2,</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 class I to II and normal/below in class III and clearly below normal i class IV. These two studies, redefined hypotension as 110mmhg respective 90mmhg dependent on age[</w:t>
      </w:r>
      <w:r>
        <w:t xml:space="preserve">(16)</w:t>
      </w:r>
      <w:r>
        <w:t xml:space="preserve">]</w:t>
      </w:r>
      <w:r>
        <w:t xml:space="preserve">(17)</w:t>
      </w:r>
      <w:r>
        <w:t xml:space="preserve">, therefore we choose class III as 110-90mmgh and class IV below 90mmhg. For mental status, according to the tenth edition ATLS, class I and II should have normal GCS, and class III and IV have lower GCS. Therefore we decided to use GCS 15 for class I + II and GCS &lt;15 for class III and IV.</w:t>
      </w:r>
    </w:p>
    <w:p>
      <w:pPr>
        <w:numPr>
          <w:ilvl w:val="0"/>
          <w:numId w:val="1001"/>
        </w:numPr>
        <w:pStyle w:val="Compact"/>
      </w:pPr>
      <w:r>
        <w:t xml:space="preserve">Hur gör vi med de som hamnar mellan klasserna?</w:t>
      </w:r>
      <w:r>
        <w:t xml:space="preserve"> </w:t>
      </w:r>
      <w:r>
        <w:t xml:space="preserve">To classify, all of the parameters in one class needs to be fulfilled. In the cases where the parameters belong in different classes, we will be classifying according to the most severe parameter in the same way as Dunham et al</w:t>
      </w:r>
      <w:r>
        <w:t xml:space="preserve">(15)</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p>
    <w:p>
      <w:pPr>
        <w:pStyle w:val="FirstParagraph"/>
      </w:pPr>
      <w:r>
        <w:t xml:space="preserve">To prevent classifying non-shock traumatic brain injury as class III and worse shock based on GCS, we decided to only include those who also present a circulatory parameter in accordance with class III or IV.</w:t>
      </w:r>
      <w:r>
        <w:t xml:space="preserve"> </w:t>
      </w:r>
      <w:r>
        <w:t xml:space="preserve">- eller ta bort GCS helt och hållet? För i enlighet med ovan kommer GCS alltid att prioriteras bort och då finns ingen anlending att ha med det…</w:t>
      </w:r>
    </w:p>
    <w:p>
      <w:pPr>
        <w:pStyle w:val="BodyText"/>
      </w:pPr>
      <w:r>
        <w:t xml:space="preserve">Version 3, simplaste och den jag gillar mest, men kan andra sjukdomar som gluykolen förgiftning sabba tanken?</w:t>
      </w:r>
      <w:r>
        <w:t xml:space="preserve"> </w:t>
      </w: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(15)</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29"/>
    <w:bookmarkStart w:id="30" w:name="bias"/>
    <w:p>
      <w:pPr>
        <w:pStyle w:val="Heading2"/>
      </w:pPr>
      <w:r>
        <w:t xml:space="preserve">Bias</w:t>
      </w:r>
    </w:p>
    <w:bookmarkEnd w:id="30"/>
    <w:bookmarkStart w:id="31" w:name="study-size"/>
    <w:p>
      <w:pPr>
        <w:pStyle w:val="Heading2"/>
      </w:pPr>
      <w:r>
        <w:t xml:space="preserve">Study size</w:t>
      </w:r>
    </w:p>
    <w:p>
      <w:pPr>
        <w:pStyle w:val="FirstParagraph"/>
      </w:pPr>
      <w:r>
        <w:t xml:space="preserve">All available data in</w:t>
      </w:r>
      <w:r>
        <w:t xml:space="preserve"> </w:t>
      </w:r>
      <w:r>
        <w:t xml:space="preserve">“</w:t>
      </w:r>
      <w:r>
        <w:t xml:space="preserve">SWETRAU</w:t>
      </w:r>
      <w:r>
        <w:t xml:space="preserve">”</w:t>
      </w:r>
      <w:r>
        <w:t xml:space="preserve"> </w:t>
      </w:r>
      <w:r>
        <w:t xml:space="preserve">and</w:t>
      </w:r>
      <w:r>
        <w:t xml:space="preserve"> </w:t>
      </w:r>
      <w:r>
        <w:t xml:space="preserve">“</w:t>
      </w:r>
      <w:r>
        <w:t xml:space="preserve">Problem</w:t>
      </w:r>
      <w:r>
        <w:t xml:space="preserve">”</w:t>
      </w:r>
      <w:r>
        <w:t xml:space="preserve"> </w:t>
      </w:r>
      <w:r>
        <w:t xml:space="preserve">database will be included.</w:t>
      </w:r>
    </w:p>
    <w:bookmarkEnd w:id="31"/>
    <w:bookmarkStart w:id="32" w:name="quantitative-variables"/>
    <w:p>
      <w:pPr>
        <w:pStyle w:val="Heading2"/>
      </w:pPr>
      <w:r>
        <w:t xml:space="preserve">Quantitative variables</w:t>
      </w:r>
    </w:p>
    <w:bookmarkEnd w:id="32"/>
    <w:bookmarkStart w:id="33" w:name="statistical-methods"/>
    <w:p>
      <w:pPr>
        <w:pStyle w:val="Heading2"/>
      </w:pPr>
      <w:r>
        <w:t xml:space="preserve">Statistical methods</w:t>
      </w:r>
    </w:p>
    <w:p>
      <w:pPr>
        <w:pStyle w:val="FirstParagraph"/>
      </w:pPr>
      <w:r>
        <w:t xml:space="preserve">The statistical analysis will be performed using R, a programing language and environment for statistical computing. We will present the type of OFI as percentage distributions and then visualize it in a pie chart. Bivariable logistic regression will be used to determine the association between the OFI and degree/class of shock according to ATLS.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w:t>
      </w:r>
      <w:r>
        <w:t xml:space="preserve"> </w:t>
      </w:r>
      <w:r>
        <w:t xml:space="preserve">“</w:t>
      </w:r>
      <w:r>
        <w:t xml:space="preserve">problem</w:t>
      </w:r>
      <w:r>
        <w:t xml:space="preserve">”</w:t>
      </w:r>
      <w:r>
        <w:t xml:space="preserve"> </w:t>
      </w:r>
      <w:r>
        <w:t xml:space="preserve">database to ensure objectivity.</w:t>
      </w:r>
    </w:p>
    <w:bookmarkEnd w:id="33"/>
    <w:bookmarkEnd w:id="34"/>
    <w:bookmarkStart w:id="39" w:name="results-1"/>
    <w:p>
      <w:pPr>
        <w:pStyle w:val="Heading1"/>
      </w:pPr>
      <w:r>
        <w:t xml:space="preserve">Results</w:t>
      </w:r>
    </w:p>
    <w:p>
      <w:pPr>
        <w:pStyle w:val="FirstParagraph"/>
      </w:pPr>
      <w:r>
        <w:t xml:space="preserve">You can include code in this document like this:</w:t>
      </w:r>
    </w:p>
    <w:bookmarkStart w:id="35" w:name="dlftlursxi"/>
    <w:p>
      <w:pPr>
        <w:pStyle w:val="BodyText"/>
      </w:pPr>
      <w:r>
        <w:t xml:space="preserve">Characteristic</w:t>
      </w:r>
    </w:p>
    <w:p>
      <w:pPr>
        <w:pStyle w:val="BodyText"/>
      </w:pPr>
      <w:r>
        <w:t xml:space="preserve">No</w:t>
      </w:r>
      <w:r>
        <w:t xml:space="preserve"> </w:t>
      </w:r>
      <w:r>
        <w:t xml:space="preserve">N = 1,572</w:t>
      </w:r>
      <w:r>
        <w:t xml:space="preserve">1</w:t>
      </w:r>
    </w:p>
    <w:p>
      <w:pPr>
        <w:pStyle w:val="BodyText"/>
      </w:pPr>
      <w:r>
        <w:t xml:space="preserve">Yes</w:t>
      </w:r>
      <w:r>
        <w:t xml:space="preserve"> </w:t>
      </w:r>
      <w:r>
        <w:t xml:space="preserve">N = 5,010</w:t>
      </w:r>
      <w:r>
        <w:t xml:space="preserve">1</w:t>
      </w:r>
    </w:p>
    <w:p>
      <w:pPr>
        <w:pStyle w:val="BodyText"/>
      </w:pPr>
      <w:r>
        <w:t xml:space="preserve">Age (Years)</w:t>
      </w:r>
    </w:p>
    <w:p>
      <w:pPr>
        <w:pStyle w:val="BodyText"/>
      </w:pPr>
      <w:r>
        <w:t xml:space="preserve">56 (33, 78)</w:t>
      </w:r>
    </w:p>
    <w:p>
      <w:pPr>
        <w:pStyle w:val="BodyText"/>
      </w:pPr>
      <w:r>
        <w:t xml:space="preserve">56 (34, 79)</w:t>
      </w:r>
    </w:p>
    <w:p>
      <w:pPr>
        <w:pStyle w:val="BodyText"/>
      </w:pPr>
      <w:r>
        <w:t xml:space="preserve">Gender (M/F)</w:t>
      </w:r>
    </w:p>
    <w:p>
      <w:pPr>
        <w:pStyle w:val="BodyText"/>
      </w:pPr>
    </w:p>
    <w:p>
      <w:pPr>
        <w:pStyle w:val="BodyText"/>
      </w:pPr>
    </w:p>
    <w:p>
      <w:pPr>
        <w:pStyle w:val="BodyText"/>
      </w:pPr>
      <w:r>
        <w:t xml:space="preserve">    Female</w:t>
      </w:r>
    </w:p>
    <w:p>
      <w:pPr>
        <w:pStyle w:val="BodyText"/>
      </w:pPr>
      <w:r>
        <w:t xml:space="preserve">755 (48%)</w:t>
      </w:r>
    </w:p>
    <w:p>
      <w:pPr>
        <w:pStyle w:val="BodyText"/>
      </w:pPr>
      <w:r>
        <w:t xml:space="preserve">2,535 (51%)</w:t>
      </w:r>
    </w:p>
    <w:p>
      <w:pPr>
        <w:pStyle w:val="BodyText"/>
      </w:pPr>
      <w:r>
        <w:t xml:space="preserve">    Male</w:t>
      </w:r>
    </w:p>
    <w:p>
      <w:pPr>
        <w:pStyle w:val="BodyText"/>
      </w:pPr>
      <w:r>
        <w:t xml:space="preserve">817 (52%)</w:t>
      </w:r>
    </w:p>
    <w:p>
      <w:pPr>
        <w:pStyle w:val="BodyText"/>
      </w:pPr>
      <w:r>
        <w:t xml:space="preserve">2,475 (49%)</w:t>
      </w:r>
    </w:p>
    <w:p>
      <w:pPr>
        <w:pStyle w:val="BodyText"/>
      </w:pPr>
      <w:r>
        <w:t xml:space="preserve">Pre-injury ASA</w:t>
      </w:r>
    </w:p>
    <w:p>
      <w:pPr>
        <w:pStyle w:val="BodyText"/>
      </w:pPr>
    </w:p>
    <w:p>
      <w:pPr>
        <w:pStyle w:val="BodyText"/>
      </w:pPr>
    </w:p>
    <w:p>
      <w:pPr>
        <w:pStyle w:val="BodyText"/>
      </w:pPr>
      <w:r>
        <w:t xml:space="preserve">    1</w:t>
      </w:r>
    </w:p>
    <w:p>
      <w:pPr>
        <w:pStyle w:val="BodyText"/>
      </w:pPr>
      <w:r>
        <w:t xml:space="preserve">246 (23%)</w:t>
      </w:r>
    </w:p>
    <w:p>
      <w:pPr>
        <w:pStyle w:val="BodyText"/>
      </w:pPr>
      <w:r>
        <w:t xml:space="preserve">851 (26%)</w:t>
      </w:r>
    </w:p>
    <w:p>
      <w:pPr>
        <w:pStyle w:val="BodyText"/>
      </w:pPr>
      <w:r>
        <w:t xml:space="preserve">    2</w:t>
      </w:r>
    </w:p>
    <w:p>
      <w:pPr>
        <w:pStyle w:val="BodyText"/>
      </w:pPr>
      <w:r>
        <w:t xml:space="preserve">310 (29%)</w:t>
      </w:r>
    </w:p>
    <w:p>
      <w:pPr>
        <w:pStyle w:val="BodyText"/>
      </w:pPr>
      <w:r>
        <w:t xml:space="preserve">819 (25%)</w:t>
      </w:r>
    </w:p>
    <w:p>
      <w:pPr>
        <w:pStyle w:val="BodyText"/>
      </w:pPr>
      <w:r>
        <w:t xml:space="preserve">    3</w:t>
      </w:r>
    </w:p>
    <w:p>
      <w:pPr>
        <w:pStyle w:val="BodyText"/>
      </w:pPr>
      <w:r>
        <w:t xml:space="preserve">248 (24%)</w:t>
      </w:r>
    </w:p>
    <w:p>
      <w:pPr>
        <w:pStyle w:val="BodyText"/>
      </w:pPr>
      <w:r>
        <w:t xml:space="preserve">821 (25%)</w:t>
      </w:r>
    </w:p>
    <w:p>
      <w:pPr>
        <w:pStyle w:val="BodyText"/>
      </w:pPr>
      <w:r>
        <w:t xml:space="preserve">    4</w:t>
      </w:r>
    </w:p>
    <w:p>
      <w:pPr>
        <w:pStyle w:val="BodyText"/>
      </w:pPr>
      <w:r>
        <w:t xml:space="preserve">247 (24%)</w:t>
      </w:r>
    </w:p>
    <w:p>
      <w:pPr>
        <w:pStyle w:val="BodyText"/>
      </w:pPr>
      <w:r>
        <w:t xml:space="preserve">827 (25%)</w:t>
      </w:r>
    </w:p>
    <w:p>
      <w:pPr>
        <w:pStyle w:val="BodyText"/>
      </w:pPr>
      <w:r>
        <w:t xml:space="preserve">    Unknown</w:t>
      </w:r>
    </w:p>
    <w:p>
      <w:pPr>
        <w:pStyle w:val="BodyText"/>
      </w:pPr>
      <w:r>
        <w:t xml:space="preserve">521</w:t>
      </w:r>
    </w:p>
    <w:p>
      <w:pPr>
        <w:pStyle w:val="BodyText"/>
      </w:pPr>
      <w:r>
        <w:t xml:space="preserve">1,692</w:t>
      </w:r>
    </w:p>
    <w:p>
      <w:pPr>
        <w:pStyle w:val="BodyText"/>
      </w:pPr>
      <w:r>
        <w:t xml:space="preserve">Systolic blood pressure (mmhg)</w:t>
      </w:r>
    </w:p>
    <w:p>
      <w:pPr>
        <w:pStyle w:val="BodyText"/>
      </w:pPr>
      <w:r>
        <w:t xml:space="preserve">148 (99, 194)</w:t>
      </w:r>
    </w:p>
    <w:p>
      <w:pPr>
        <w:pStyle w:val="BodyText"/>
      </w:pPr>
      <w:r>
        <w:t xml:space="preserve">143 (94, 194)</w:t>
      </w:r>
    </w:p>
    <w:p>
      <w:pPr>
        <w:pStyle w:val="BodyText"/>
      </w:pPr>
      <w:r>
        <w:t xml:space="preserve">    Unknown</w:t>
      </w:r>
    </w:p>
    <w:p>
      <w:pPr>
        <w:pStyle w:val="BodyText"/>
      </w:pPr>
      <w:r>
        <w:t xml:space="preserve">6</w:t>
      </w:r>
    </w:p>
    <w:p>
      <w:pPr>
        <w:pStyle w:val="BodyText"/>
      </w:pPr>
      <w:r>
        <w:t xml:space="preserve">19</w:t>
      </w:r>
    </w:p>
    <w:p>
      <w:pPr>
        <w:pStyle w:val="BodyText"/>
      </w:pPr>
      <w:r>
        <w:t xml:space="preserve">Injury Severity Score</w:t>
      </w:r>
    </w:p>
    <w:p>
      <w:pPr>
        <w:pStyle w:val="BodyText"/>
      </w:pPr>
      <w:r>
        <w:t xml:space="preserve">25 (12, 42)</w:t>
      </w:r>
    </w:p>
    <w:p>
      <w:pPr>
        <w:pStyle w:val="BodyText"/>
      </w:pPr>
      <w:r>
        <w:t xml:space="preserve">25 (12, 41)</w:t>
      </w:r>
    </w:p>
    <w:p>
      <w:pPr>
        <w:pStyle w:val="BodyText"/>
      </w:pPr>
      <w:r>
        <w:t xml:space="preserve">    Unknown</w:t>
      </w:r>
    </w:p>
    <w:p>
      <w:pPr>
        <w:pStyle w:val="BodyText"/>
      </w:pPr>
      <w:r>
        <w:t xml:space="preserve">32</w:t>
      </w:r>
    </w:p>
    <w:p>
      <w:pPr>
        <w:pStyle w:val="BodyText"/>
      </w:pPr>
      <w:r>
        <w:t xml:space="preserve">103</w:t>
      </w:r>
    </w:p>
    <w:p>
      <w:pPr>
        <w:pStyle w:val="BodyText"/>
      </w:pPr>
      <w:r>
        <w:t xml:space="preserve">Shock class classified according to BE</w:t>
      </w:r>
    </w:p>
    <w:p>
      <w:pPr>
        <w:pStyle w:val="BodyText"/>
      </w:pPr>
    </w:p>
    <w:p>
      <w:pPr>
        <w:pStyle w:val="BodyText"/>
      </w:pPr>
    </w:p>
    <w:p>
      <w:pPr>
        <w:pStyle w:val="BodyText"/>
      </w:pPr>
      <w:r>
        <w:t xml:space="preserve">    Class 1</w:t>
      </w:r>
    </w:p>
    <w:p>
      <w:pPr>
        <w:pStyle w:val="BodyText"/>
      </w:pPr>
      <w:r>
        <w:t xml:space="preserve">113 (7.2%)</w:t>
      </w:r>
    </w:p>
    <w:p>
      <w:pPr>
        <w:pStyle w:val="BodyText"/>
      </w:pPr>
      <w:r>
        <w:t xml:space="preserve">313 (6.3%)</w:t>
      </w:r>
    </w:p>
    <w:p>
      <w:pPr>
        <w:pStyle w:val="BodyText"/>
      </w:pPr>
      <w:r>
        <w:t xml:space="preserve">    Class 2</w:t>
      </w:r>
    </w:p>
    <w:p>
      <w:pPr>
        <w:pStyle w:val="BodyText"/>
      </w:pPr>
      <w:r>
        <w:t xml:space="preserve">210 (13%)</w:t>
      </w:r>
    </w:p>
    <w:p>
      <w:pPr>
        <w:pStyle w:val="BodyText"/>
      </w:pPr>
      <w:r>
        <w:t xml:space="preserve">625 (13%)</w:t>
      </w:r>
    </w:p>
    <w:p>
      <w:pPr>
        <w:pStyle w:val="BodyText"/>
      </w:pPr>
      <w:r>
        <w:t xml:space="preserve">    Class 3</w:t>
      </w:r>
    </w:p>
    <w:p>
      <w:pPr>
        <w:pStyle w:val="BodyText"/>
      </w:pPr>
      <w:r>
        <w:t xml:space="preserve">172 (11%)</w:t>
      </w:r>
    </w:p>
    <w:p>
      <w:pPr>
        <w:pStyle w:val="BodyText"/>
      </w:pPr>
      <w:r>
        <w:t xml:space="preserve">607 (12%)</w:t>
      </w:r>
    </w:p>
    <w:p>
      <w:pPr>
        <w:pStyle w:val="BodyText"/>
      </w:pPr>
      <w:r>
        <w:t xml:space="preserve">    Class 4</w:t>
      </w:r>
    </w:p>
    <w:p>
      <w:pPr>
        <w:pStyle w:val="BodyText"/>
      </w:pPr>
      <w:r>
        <w:t xml:space="preserve">597 (38%)</w:t>
      </w:r>
    </w:p>
    <w:p>
      <w:pPr>
        <w:pStyle w:val="BodyText"/>
      </w:pPr>
      <w:r>
        <w:t xml:space="preserve">1,810 (36%)</w:t>
      </w:r>
    </w:p>
    <w:p>
      <w:pPr>
        <w:pStyle w:val="BodyText"/>
      </w:pPr>
      <w:r>
        <w:t xml:space="preserve">    no shock</w:t>
      </w:r>
    </w:p>
    <w:p>
      <w:pPr>
        <w:pStyle w:val="BodyText"/>
      </w:pPr>
      <w:r>
        <w:t xml:space="preserve">474 (30%)</w:t>
      </w:r>
    </w:p>
    <w:p>
      <w:pPr>
        <w:pStyle w:val="BodyText"/>
      </w:pPr>
      <w:r>
        <w:t xml:space="preserve">1,637 (33%)</w:t>
      </w:r>
    </w:p>
    <w:p>
      <w:pPr>
        <w:pStyle w:val="BodyText"/>
      </w:pPr>
      <w:r>
        <w:t xml:space="preserve">    Unknown</w:t>
      </w:r>
    </w:p>
    <w:p>
      <w:pPr>
        <w:pStyle w:val="BodyText"/>
      </w:pPr>
      <w:r>
        <w:t xml:space="preserve">6</w:t>
      </w:r>
    </w:p>
    <w:p>
      <w:pPr>
        <w:pStyle w:val="BodyText"/>
      </w:pPr>
      <w:r>
        <w:t xml:space="preserve">18</w:t>
      </w:r>
    </w:p>
    <w:p>
      <w:pPr>
        <w:pStyle w:val="BodyText"/>
      </w:pPr>
      <w:r>
        <w:t xml:space="preserve">Base Excess (BE)</w:t>
      </w:r>
    </w:p>
    <w:p>
      <w:pPr>
        <w:pStyle w:val="BodyText"/>
      </w:pPr>
      <w:r>
        <w:t xml:space="preserve">-6 (-15, 2)</w:t>
      </w:r>
    </w:p>
    <w:p>
      <w:pPr>
        <w:pStyle w:val="BodyText"/>
      </w:pPr>
      <w:r>
        <w:t xml:space="preserve">-6 (-14, 2)</w:t>
      </w:r>
    </w:p>
    <w:p>
      <w:pPr>
        <w:pStyle w:val="BodyText"/>
      </w:pPr>
      <w:r>
        <w:t xml:space="preserve">    Unknown</w:t>
      </w:r>
    </w:p>
    <w:p>
      <w:pPr>
        <w:pStyle w:val="BodyText"/>
      </w:pPr>
      <w:r>
        <w:t xml:space="preserve">6</w:t>
      </w:r>
    </w:p>
    <w:p>
      <w:pPr>
        <w:pStyle w:val="BodyText"/>
      </w:pPr>
      <w:r>
        <w:t xml:space="preserve">18</w:t>
      </w:r>
    </w:p>
    <w:p>
      <w:pPr>
        <w:pStyle w:val="BodyText"/>
      </w:pPr>
      <w:r>
        <w:t xml:space="preserve">Shock class classified according to SBP</w:t>
      </w:r>
    </w:p>
    <w:p>
      <w:pPr>
        <w:pStyle w:val="BodyText"/>
      </w:pPr>
    </w:p>
    <w:p>
      <w:pPr>
        <w:pStyle w:val="BodyText"/>
      </w:pPr>
    </w:p>
    <w:p>
      <w:pPr>
        <w:pStyle w:val="BodyText"/>
      </w:pPr>
      <w:r>
        <w:t xml:space="preserve">    Class 1</w:t>
      </w:r>
    </w:p>
    <w:p>
      <w:pPr>
        <w:pStyle w:val="BodyText"/>
      </w:pPr>
      <w:r>
        <w:t xml:space="preserve">148 (9.5%)</w:t>
      </w:r>
    </w:p>
    <w:p>
      <w:pPr>
        <w:pStyle w:val="BodyText"/>
      </w:pPr>
      <w:r>
        <w:t xml:space="preserve">531 (11%)</w:t>
      </w:r>
    </w:p>
    <w:p>
      <w:pPr>
        <w:pStyle w:val="BodyText"/>
      </w:pPr>
      <w:r>
        <w:t xml:space="preserve">    Class 2</w:t>
      </w:r>
    </w:p>
    <w:p>
      <w:pPr>
        <w:pStyle w:val="BodyText"/>
      </w:pPr>
      <w:r>
        <w:t xml:space="preserve">319 (20%)</w:t>
      </w:r>
    </w:p>
    <w:p>
      <w:pPr>
        <w:pStyle w:val="BodyText"/>
      </w:pPr>
      <w:r>
        <w:t xml:space="preserve">1,119 (22%)</w:t>
      </w:r>
    </w:p>
    <w:p>
      <w:pPr>
        <w:pStyle w:val="BodyText"/>
      </w:pPr>
      <w:r>
        <w:t xml:space="preserve">    no shock</w:t>
      </w:r>
    </w:p>
    <w:p>
      <w:pPr>
        <w:pStyle w:val="BodyText"/>
      </w:pPr>
      <w:r>
        <w:t xml:space="preserve">1,099 (70%)</w:t>
      </w:r>
    </w:p>
    <w:p>
      <w:pPr>
        <w:pStyle w:val="BodyText"/>
      </w:pPr>
      <w:r>
        <w:t xml:space="preserve">3,341 (67%)</w:t>
      </w:r>
    </w:p>
    <w:p>
      <w:pPr>
        <w:pStyle w:val="BodyText"/>
      </w:pPr>
      <w:r>
        <w:t xml:space="preserve">    Unknown</w:t>
      </w:r>
    </w:p>
    <w:p>
      <w:pPr>
        <w:pStyle w:val="BodyText"/>
      </w:pPr>
      <w:r>
        <w:t xml:space="preserve">6</w:t>
      </w:r>
    </w:p>
    <w:p>
      <w:pPr>
        <w:pStyle w:val="BodyText"/>
      </w:pPr>
      <w:r>
        <w:t xml:space="preserve">19</w:t>
      </w:r>
    </w:p>
    <w:p>
      <w:pPr>
        <w:pStyle w:val="BodyText"/>
      </w:pPr>
      <w:r>
        <w:t xml:space="preserve">1</w:t>
      </w:r>
      <w:r>
        <w:t xml:space="preserve"> </w:t>
      </w:r>
      <w:r>
        <w:t xml:space="preserve">Median (Q1, Q3); n (%)</w:t>
      </w:r>
    </w:p>
    <w:bookmarkEnd w:id="35"/>
    <w:p>
      <w:pPr>
        <w:pStyle w:val="BodyText"/>
      </w:pPr>
      <w:r>
        <w:t xml:space="preserve">You can also embed plots:</w:t>
      </w:r>
    </w:p>
    <w:p>
      <w:pPr>
        <w:pStyle w:val="BodyText"/>
      </w:pPr>
      <w:r>
        <w:drawing>
          <wp:inline>
            <wp:extent cx="4620126" cy="3696101"/>
            <wp:effectExtent b="0" l="0" r="0" t="0"/>
            <wp:docPr descr="" title="" id="37" name="Picture"/>
            <a:graphic>
              <a:graphicData uri="http://schemas.openxmlformats.org/drawingml/2006/picture">
                <pic:pic>
                  <pic:nvPicPr>
                    <pic:cNvPr descr="manuscript_files/figure-docx/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mix text and code, so called inline code, like this: 7.</w:t>
      </w:r>
    </w:p>
    <w:bookmarkEnd w:id="39"/>
    <w:bookmarkStart w:id="40" w:name="discussion"/>
    <w:p>
      <w:pPr>
        <w:pStyle w:val="Heading1"/>
      </w:pPr>
      <w:r>
        <w:t xml:space="preserve">Discussion</w:t>
      </w:r>
    </w:p>
    <w:bookmarkEnd w:id="40"/>
    <w:bookmarkStart w:id="41" w:name="conclusion-1"/>
    <w:p>
      <w:pPr>
        <w:pStyle w:val="Heading1"/>
      </w:pPr>
      <w:r>
        <w:t xml:space="preserve">Conclusion</w:t>
      </w:r>
    </w:p>
    <w:bookmarkEnd w:id="41"/>
    <w:bookmarkStart w:id="77" w:name="references"/>
    <w:p>
      <w:pPr>
        <w:pStyle w:val="Heading1"/>
      </w:pPr>
      <w:r>
        <w:t xml:space="preserve">References</w:t>
      </w:r>
    </w:p>
    <w:bookmarkStart w:id="76" w:name="refs"/>
    <w:bookmarkStart w:id="43"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2">
        <w:r>
          <w:rPr>
            <w:rStyle w:val="Hyperlink"/>
          </w:rPr>
          <w:t xml:space="preserve">https://www.who.int/news-room/fact-sheets/detail/injuries-and-violence</w:t>
        </w:r>
      </w:hyperlink>
    </w:p>
    <w:bookmarkEnd w:id="43"/>
    <w:bookmarkStart w:id="45" w:name="ref-mackersie_pitfalls_2010"/>
    <w:p>
      <w:pPr>
        <w:pStyle w:val="Bibliography"/>
      </w:pPr>
      <w:r>
        <w:t xml:space="preserve">2.</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44">
        <w:r>
          <w:rPr>
            <w:rStyle w:val="Hyperlink"/>
          </w:rPr>
          <w:t xml:space="preserve">https://www.sciencedirect.com/science/article/pii/S0733862709001199</w:t>
        </w:r>
      </w:hyperlink>
    </w:p>
    <w:bookmarkEnd w:id="45"/>
    <w:bookmarkStart w:id="47" w:name="ref-teixeira_preventable_2007"/>
    <w:p>
      <w:pPr>
        <w:pStyle w:val="Bibliography"/>
      </w:pPr>
      <w:r>
        <w:t xml:space="preserve">3.</w:t>
      </w:r>
      <w:r>
        <w:t xml:space="preserve"> </w:t>
      </w:r>
      <w:r>
        <w:t xml:space="preserve">	</w:t>
      </w:r>
      <w:r>
        <w:t xml:space="preserve">Teixeira PGR, Inaba K, Hadjizacharia P, Brown C, Salim A, Rhee P, et al.</w:t>
      </w:r>
      <w:r>
        <w:t xml:space="preserve"> </w:t>
      </w:r>
      <w:hyperlink r:id="rId46">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47"/>
    <w:bookmarkStart w:id="49" w:name="ref-ivatury_patient_2008"/>
    <w:p>
      <w:pPr>
        <w:pStyle w:val="Bibliography"/>
      </w:pPr>
      <w:r>
        <w:t xml:space="preserve">4.</w:t>
      </w:r>
      <w:r>
        <w:t xml:space="preserve"> </w:t>
      </w:r>
      <w:r>
        <w:t xml:space="preserve">	</w:t>
      </w:r>
      <w:r>
        <w:t xml:space="preserve">Ivatury RR, Guilford K, Malhotra AK, Duane T, Aboutanos M, Martin N.</w:t>
      </w:r>
      <w:r>
        <w:t xml:space="preserve"> </w:t>
      </w:r>
      <w:hyperlink r:id="rId48">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49"/>
    <w:bookmarkStart w:id="51" w:name="ref-berry_shock_2015"/>
    <w:p>
      <w:pPr>
        <w:pStyle w:val="Bibliography"/>
      </w:pPr>
      <w:r>
        <w:t xml:space="preserve">5.</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50">
        <w:r>
          <w:rPr>
            <w:rStyle w:val="Hyperlink"/>
          </w:rPr>
          <w:t xml:space="preserve">https://doi.org/10.1007/978-3-642-29613-0_505</w:t>
        </w:r>
      </w:hyperlink>
    </w:p>
    <w:bookmarkEnd w:id="51"/>
    <w:bookmarkStart w:id="53" w:name="ref-kauvar_impact_2006"/>
    <w:p>
      <w:pPr>
        <w:pStyle w:val="Bibliography"/>
      </w:pPr>
      <w:r>
        <w:t xml:space="preserve">6.</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52">
        <w:r>
          <w:rPr>
            <w:rStyle w:val="Hyperlink"/>
          </w:rPr>
          <w:t xml:space="preserve">https://journals.lww.com/jtrauma/fulltext/2006/06001/impact_of_hemorrhage_on_trauma_outcome__an.2.aspx</w:t>
        </w:r>
      </w:hyperlink>
    </w:p>
    <w:bookmarkEnd w:id="53"/>
    <w:bookmarkStart w:id="55" w:name="ref-vang_shock_2022"/>
    <w:p>
      <w:pPr>
        <w:pStyle w:val="Bibliography"/>
      </w:pPr>
      <w:r>
        <w:t xml:space="preserve">7.</w:t>
      </w:r>
      <w:r>
        <w:t xml:space="preserve"> </w:t>
      </w:r>
      <w:r>
        <w:t xml:space="preserve">	</w:t>
      </w:r>
      <w:r>
        <w:t xml:space="preserve">Vang M, Østberg M, Steinmetz J, Rasmussen LS.</w:t>
      </w:r>
      <w:r>
        <w:t xml:space="preserve"> </w:t>
      </w:r>
      <w:hyperlink r:id="rId54">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55"/>
    <w:bookmarkStart w:id="57" w:name="ref-leech_shock_2023"/>
    <w:p>
      <w:pPr>
        <w:pStyle w:val="Bibliography"/>
      </w:pPr>
      <w:r>
        <w:t xml:space="preserve">8.</w:t>
      </w:r>
      <w:r>
        <w:t xml:space="preserve"> </w:t>
      </w:r>
      <w:r>
        <w:t xml:space="preserve">	</w:t>
      </w:r>
      <w:r>
        <w:t xml:space="preserve">Leech C, Turner J.</w:t>
      </w:r>
      <w:r>
        <w:t xml:space="preserve"> </w:t>
      </w:r>
      <w:hyperlink r:id="rId56">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57"/>
    <w:bookmarkStart w:id="59" w:name="ref-guly_vital_2011"/>
    <w:p>
      <w:pPr>
        <w:pStyle w:val="Bibliography"/>
      </w:pPr>
      <w:r>
        <w:t xml:space="preserve">9.</w:t>
      </w:r>
      <w:r>
        <w:t xml:space="preserve"> </w:t>
      </w:r>
      <w:r>
        <w:t xml:space="preserve">	</w:t>
      </w:r>
      <w:r>
        <w:t xml:space="preserve">Guly HR, Bouamra O, Spiers M, Dark P, Coats T, Lecky FE, et al.</w:t>
      </w:r>
      <w:r>
        <w:t xml:space="preserve"> </w:t>
      </w:r>
      <w:hyperlink r:id="rId58">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59"/>
    <w:bookmarkStart w:id="61" w:name="X9db8e71a0533962266d08f8a7d5abffdfc5204c"/>
    <w:p>
      <w:pPr>
        <w:pStyle w:val="Bibliography"/>
      </w:pPr>
      <w:r>
        <w:t xml:space="preserve">10.</w:t>
      </w:r>
      <w:r>
        <w:t xml:space="preserve"> </w:t>
      </w:r>
      <w:r>
        <w:t xml:space="preserve">	</w:t>
      </w:r>
      <w:r>
        <w:t xml:space="preserve">World Health Organization. Guidelines for trauma quality improvement programmes. 2009 [cited 2024 Sep 20];104. Available from:</w:t>
      </w:r>
      <w:r>
        <w:t xml:space="preserve"> </w:t>
      </w:r>
      <w:hyperlink r:id="rId60">
        <w:r>
          <w:rPr>
            <w:rStyle w:val="Hyperlink"/>
          </w:rPr>
          <w:t xml:space="preserve">https://iris.who.int/handle/10665/44061</w:t>
        </w:r>
      </w:hyperlink>
    </w:p>
    <w:bookmarkEnd w:id="61"/>
    <w:bookmarkStart w:id="63" w:name="ref-donabedian_quality_1988"/>
    <w:p>
      <w:pPr>
        <w:pStyle w:val="Bibliography"/>
      </w:pPr>
      <w:r>
        <w:t xml:space="preserve">11.</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62">
        <w:r>
          <w:rPr>
            <w:rStyle w:val="Hyperlink"/>
          </w:rPr>
          <w:t xml:space="preserve">https://doi.org/10.1001/jama.1988.03410120089033</w:t>
        </w:r>
      </w:hyperlink>
    </w:p>
    <w:bookmarkEnd w:id="63"/>
    <w:bookmarkStart w:id="65" w:name="ref-yucel_trauma_2006"/>
    <w:p>
      <w:pPr>
        <w:pStyle w:val="Bibliography"/>
      </w:pPr>
      <w:r>
        <w:t xml:space="preserve">12.</w:t>
      </w:r>
      <w:r>
        <w:t xml:space="preserve"> </w:t>
      </w:r>
      <w:r>
        <w:t xml:space="preserve">	</w:t>
      </w:r>
      <w:r>
        <w:t xml:space="preserve">Yücel N, Lefering R, Maegele M, Vorweg M, Tjardes T, Ruchholtz S, et al.</w:t>
      </w:r>
      <w:r>
        <w:t xml:space="preserve"> </w:t>
      </w:r>
      <w:hyperlink r:id="rId64">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65"/>
    <w:bookmarkStart w:id="67" w:name="ref-ogura_modified_2016"/>
    <w:p>
      <w:pPr>
        <w:pStyle w:val="Bibliography"/>
      </w:pPr>
      <w:r>
        <w:t xml:space="preserve">13.</w:t>
      </w:r>
      <w:r>
        <w:t xml:space="preserve"> </w:t>
      </w:r>
      <w:r>
        <w:t xml:space="preserve">	</w:t>
      </w:r>
      <w:r>
        <w:t xml:space="preserve">Ogura T, Lefor AK, Masuda M, Kushimoto S.</w:t>
      </w:r>
      <w:r>
        <w:t xml:space="preserve"> </w:t>
      </w:r>
      <w:hyperlink r:id="rId66">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67"/>
    <w:bookmarkStart w:id="69" w:name="ref-hanlin_prehospital_2024"/>
    <w:p>
      <w:pPr>
        <w:pStyle w:val="Bibliography"/>
      </w:pPr>
      <w:r>
        <w:t xml:space="preserve">14.</w:t>
      </w:r>
      <w:r>
        <w:t xml:space="preserve"> </w:t>
      </w:r>
      <w:r>
        <w:t xml:space="preserve">	</w:t>
      </w:r>
      <w:r>
        <w:t xml:space="preserve">Hanlin E, Meyer DE, Heft N, Stilgenbauer H, Cotton B, Bourgeois M, et al.</w:t>
      </w:r>
      <w:r>
        <w:t xml:space="preserve"> </w:t>
      </w:r>
      <w:hyperlink r:id="rId68">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69"/>
    <w:bookmarkStart w:id="71" w:name="ref-dunham_comparison_2017"/>
    <w:p>
      <w:pPr>
        <w:pStyle w:val="Bibliography"/>
      </w:pPr>
      <w:r>
        <w:t xml:space="preserve">15.</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70">
        <w:r>
          <w:rPr>
            <w:rStyle w:val="Hyperlink"/>
          </w:rPr>
          <w:t xml:space="preserve">https://www.sciencedirect.com/science/article/pii/S0020138317303972</w:t>
        </w:r>
      </w:hyperlink>
    </w:p>
    <w:bookmarkEnd w:id="71"/>
    <w:bookmarkStart w:id="73" w:name="ref-eastridge_hypotension_2007"/>
    <w:p>
      <w:pPr>
        <w:pStyle w:val="Bibliography"/>
      </w:pPr>
      <w:r>
        <w:t xml:space="preserve">16.</w:t>
      </w:r>
      <w:r>
        <w:t xml:space="preserve"> </w:t>
      </w:r>
      <w:r>
        <w:t xml:space="preserve">	</w:t>
      </w:r>
      <w:r>
        <w:t xml:space="preserve">Eastridge BJ, Salinas J, McManus JG, Blackburn L, Bugler EM, Cooke WH, et al.</w:t>
      </w:r>
      <w:r>
        <w:t xml:space="preserve"> </w:t>
      </w:r>
      <w:hyperlink r:id="rId72">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73"/>
    <w:bookmarkStart w:id="75" w:name="ref-oyetunji_redefining_2011"/>
    <w:p>
      <w:pPr>
        <w:pStyle w:val="Bibliography"/>
      </w:pPr>
      <w:r>
        <w:t xml:space="preserve">17.</w:t>
      </w:r>
      <w:r>
        <w:t xml:space="preserve"> </w:t>
      </w:r>
      <w:r>
        <w:t xml:space="preserve">	</w:t>
      </w:r>
      <w:r>
        <w:t xml:space="preserve">Oyetunji TA, Chang DC, Crompton JG, Greene WR, Efron DT, Haut ER, et al.</w:t>
      </w:r>
      <w:r>
        <w:t xml:space="preserve"> </w:t>
      </w:r>
      <w:hyperlink r:id="rId74">
        <w:r>
          <w:rPr>
            <w:rStyle w:val="Hyperlink"/>
          </w:rPr>
          <w:t xml:space="preserve">Redefining hypotension in the elderly: Normotension is not reassuring</w:t>
        </w:r>
      </w:hyperlink>
      <w:r>
        <w:t xml:space="preserve">. Archives of Surgery (Chicago, Ill: 1960). 2011 Jul;146(7):865–9.</w:t>
      </w:r>
      <w:r>
        <w:t xml:space="preserve"> </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74" Target="https://doi.org/10.1001/archsurg.2011.154" TargetMode="External" /><Relationship Type="http://schemas.openxmlformats.org/officeDocument/2006/relationships/hyperlink" Id="rId62" Target="https://doi.org/10.1001/jama.1988.03410120089033" TargetMode="External" /><Relationship Type="http://schemas.openxmlformats.org/officeDocument/2006/relationships/hyperlink" Id="rId50" Target="https://doi.org/10.1007/978-3-642-29613-0_505" TargetMode="External" /><Relationship Type="http://schemas.openxmlformats.org/officeDocument/2006/relationships/hyperlink" Id="rId54" Target="https://doi.org/10.1007/s00068-022-01932-z" TargetMode="External" /><Relationship Type="http://schemas.openxmlformats.org/officeDocument/2006/relationships/hyperlink" Id="rId66" Target="https://doi.org/10.1016/j.ajem.2016.02.072" TargetMode="External" /><Relationship Type="http://schemas.openxmlformats.org/officeDocument/2006/relationships/hyperlink" Id="rId56" Target="https://doi.org/10.1016/j.emc.2022.09.007" TargetMode="External" /><Relationship Type="http://schemas.openxmlformats.org/officeDocument/2006/relationships/hyperlink" Id="rId58" Target="https://doi.org/10.1016/j.resuscitation.2011.01.013" TargetMode="External" /><Relationship Type="http://schemas.openxmlformats.org/officeDocument/2006/relationships/hyperlink" Id="rId68" Target="https://doi.org/10.1080/10903127.2023.2166174" TargetMode="External" /><Relationship Type="http://schemas.openxmlformats.org/officeDocument/2006/relationships/hyperlink" Id="rId64" Target="https://doi.org/10.1097/01.ta.0000220386.84012.bf" TargetMode="External" /><Relationship Type="http://schemas.openxmlformats.org/officeDocument/2006/relationships/hyperlink" Id="rId72" Target="https://doi.org/10.1097/TA.0b013e31809ed924" TargetMode="External" /><Relationship Type="http://schemas.openxmlformats.org/officeDocument/2006/relationships/hyperlink" Id="rId46" Target="https://doi.org/10.1097/TA.0b013e31815078ae" TargetMode="External" /><Relationship Type="http://schemas.openxmlformats.org/officeDocument/2006/relationships/hyperlink" Id="rId48" Target="https://doi.org/10.1097/TA.0b013e318163359d" TargetMode="External" /><Relationship Type="http://schemas.openxmlformats.org/officeDocument/2006/relationships/hyperlink" Id="rId60" Target="https://iris.who.int/handle/10665/44061" TargetMode="External" /><Relationship Type="http://schemas.openxmlformats.org/officeDocument/2006/relationships/hyperlink" Id="rId52" Target="https://journals.lww.com/jtrauma/fulltext/2006/06001/impact_of_hemorrhage_on_trauma_outcome__an.2.aspx" TargetMode="External" /><Relationship Type="http://schemas.openxmlformats.org/officeDocument/2006/relationships/hyperlink" Id="rId70" Target="https://www.sciencedirect.com/science/article/pii/S0020138317303972" TargetMode="External" /><Relationship Type="http://schemas.openxmlformats.org/officeDocument/2006/relationships/hyperlink" Id="rId44" Target="https://www.sciencedirect.com/science/article/pii/S0733862709001199" TargetMode="External" /><Relationship Type="http://schemas.openxmlformats.org/officeDocument/2006/relationships/hyperlink" Id="rId42"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01/archsurg.2011.154" TargetMode="External" /><Relationship Type="http://schemas.openxmlformats.org/officeDocument/2006/relationships/hyperlink" Id="rId62" Target="https://doi.org/10.1001/jama.1988.03410120089033" TargetMode="External" /><Relationship Type="http://schemas.openxmlformats.org/officeDocument/2006/relationships/hyperlink" Id="rId50" Target="https://doi.org/10.1007/978-3-642-29613-0_505" TargetMode="External" /><Relationship Type="http://schemas.openxmlformats.org/officeDocument/2006/relationships/hyperlink" Id="rId54" Target="https://doi.org/10.1007/s00068-022-01932-z" TargetMode="External" /><Relationship Type="http://schemas.openxmlformats.org/officeDocument/2006/relationships/hyperlink" Id="rId66" Target="https://doi.org/10.1016/j.ajem.2016.02.072" TargetMode="External" /><Relationship Type="http://schemas.openxmlformats.org/officeDocument/2006/relationships/hyperlink" Id="rId56" Target="https://doi.org/10.1016/j.emc.2022.09.007" TargetMode="External" /><Relationship Type="http://schemas.openxmlformats.org/officeDocument/2006/relationships/hyperlink" Id="rId58" Target="https://doi.org/10.1016/j.resuscitation.2011.01.013" TargetMode="External" /><Relationship Type="http://schemas.openxmlformats.org/officeDocument/2006/relationships/hyperlink" Id="rId68" Target="https://doi.org/10.1080/10903127.2023.2166174" TargetMode="External" /><Relationship Type="http://schemas.openxmlformats.org/officeDocument/2006/relationships/hyperlink" Id="rId64" Target="https://doi.org/10.1097/01.ta.0000220386.84012.bf" TargetMode="External" /><Relationship Type="http://schemas.openxmlformats.org/officeDocument/2006/relationships/hyperlink" Id="rId72" Target="https://doi.org/10.1097/TA.0b013e31809ed924" TargetMode="External" /><Relationship Type="http://schemas.openxmlformats.org/officeDocument/2006/relationships/hyperlink" Id="rId46" Target="https://doi.org/10.1097/TA.0b013e31815078ae" TargetMode="External" /><Relationship Type="http://schemas.openxmlformats.org/officeDocument/2006/relationships/hyperlink" Id="rId48" Target="https://doi.org/10.1097/TA.0b013e318163359d" TargetMode="External" /><Relationship Type="http://schemas.openxmlformats.org/officeDocument/2006/relationships/hyperlink" Id="rId60" Target="https://iris.who.int/handle/10665/44061" TargetMode="External" /><Relationship Type="http://schemas.openxmlformats.org/officeDocument/2006/relationships/hyperlink" Id="rId52" Target="https://journals.lww.com/jtrauma/fulltext/2006/06001/impact_of_hemorrhage_on_trauma_outcome__an.2.aspx" TargetMode="External" /><Relationship Type="http://schemas.openxmlformats.org/officeDocument/2006/relationships/hyperlink" Id="rId70" Target="https://www.sciencedirect.com/science/article/pii/S0020138317303972" TargetMode="External" /><Relationship Type="http://schemas.openxmlformats.org/officeDocument/2006/relationships/hyperlink" Id="rId44" Target="https://www.sciencedirect.com/science/article/pii/S0733862709001199" TargetMode="External" /><Relationship Type="http://schemas.openxmlformats.org/officeDocument/2006/relationships/hyperlink" Id="rId42"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Your name here</dc:creator>
  <cp:keywords/>
  <dcterms:created xsi:type="dcterms:W3CDTF">2024-10-15T17:52:03Z</dcterms:created>
  <dcterms:modified xsi:type="dcterms:W3CDTF">2024-10-15T17:52:03Z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