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Opportunities</w:t>
      </w:r>
      <w:r>
        <w:t xml:space="preserve"> </w:t>
      </w:r>
      <w:r>
        <w:t xml:space="preserve">for</w:t>
      </w:r>
      <w:r>
        <w:t xml:space="preserve"> </w:t>
      </w:r>
      <w:r>
        <w:t xml:space="preserve">improvement</w:t>
      </w:r>
      <w:r>
        <w:t xml:space="preserve"> </w:t>
      </w:r>
      <w:r>
        <w:t xml:space="preserve">in</w:t>
      </w:r>
      <w:r>
        <w:t xml:space="preserve"> </w:t>
      </w:r>
      <w:r>
        <w:t xml:space="preserve">the</w:t>
      </w:r>
      <w:r>
        <w:t xml:space="preserve"> </w:t>
      </w:r>
      <w:r>
        <w:t xml:space="preserve">care</w:t>
      </w:r>
      <w:r>
        <w:t xml:space="preserve"> </w:t>
      </w:r>
      <w:r>
        <w:t xml:space="preserve">of</w:t>
      </w:r>
      <w:r>
        <w:t xml:space="preserve"> </w:t>
      </w:r>
      <w:r>
        <w:t xml:space="preserve">adult</w:t>
      </w:r>
      <w:r>
        <w:t xml:space="preserve"> </w:t>
      </w:r>
      <w:r>
        <w:t xml:space="preserve">trauma</w:t>
      </w:r>
      <w:r>
        <w:t xml:space="preserve"> </w:t>
      </w:r>
      <w:r>
        <w:t xml:space="preserve">patients</w:t>
      </w:r>
      <w:r>
        <w:t xml:space="preserve"> </w:t>
      </w:r>
      <w:r>
        <w:t xml:space="preserve">arriving</w:t>
      </w:r>
      <w:r>
        <w:t xml:space="preserve"> </w:t>
      </w:r>
      <w:r>
        <w:t xml:space="preserve">in</w:t>
      </w:r>
      <w:r>
        <w:t xml:space="preserve"> </w:t>
      </w:r>
      <w:r>
        <w:t xml:space="preserve">shock</w:t>
      </w:r>
    </w:p>
    <w:p>
      <w:pPr>
        <w:pStyle w:val="Author"/>
      </w:pPr>
      <w:r>
        <w:t xml:space="preserve">Carl</w:t>
      </w:r>
      <w:r>
        <w:t xml:space="preserve"> </w:t>
      </w:r>
      <w:r>
        <w:t xml:space="preserve">Skog</w:t>
      </w:r>
    </w:p>
    <w:bookmarkStart w:id="24" w:name="abstract"/>
    <w:p>
      <w:pPr>
        <w:pStyle w:val="Heading1"/>
      </w:pPr>
      <w:r>
        <w:t xml:space="preserve">Abstract</w:t>
      </w:r>
    </w:p>
    <w:bookmarkStart w:id="20" w:name="background"/>
    <w:p>
      <w:pPr>
        <w:pStyle w:val="Heading2"/>
      </w:pPr>
      <w:r>
        <w:t xml:space="preserve">Background</w:t>
      </w:r>
    </w:p>
    <w:bookmarkEnd w:id="20"/>
    <w:bookmarkStart w:id="21" w:name="methods"/>
    <w:p>
      <w:pPr>
        <w:pStyle w:val="Heading2"/>
      </w:pPr>
      <w:r>
        <w:t xml:space="preserve">Methods</w:t>
      </w:r>
    </w:p>
    <w:bookmarkEnd w:id="21"/>
    <w:bookmarkStart w:id="22" w:name="results"/>
    <w:p>
      <w:pPr>
        <w:pStyle w:val="Heading2"/>
      </w:pPr>
      <w:r>
        <w:t xml:space="preserve">Results</w:t>
      </w:r>
    </w:p>
    <w:bookmarkEnd w:id="22"/>
    <w:bookmarkStart w:id="23" w:name="conclusion"/>
    <w:p>
      <w:pPr>
        <w:pStyle w:val="Heading2"/>
      </w:pPr>
      <w:r>
        <w:t xml:space="preserve">Conclusion</w:t>
      </w:r>
    </w:p>
    <w:bookmarkEnd w:id="23"/>
    <w:bookmarkEnd w:id="24"/>
    <w:bookmarkStart w:id="25" w:name="introduction"/>
    <w:p>
      <w:pPr>
        <w:pStyle w:val="Heading1"/>
      </w:pPr>
      <w:r>
        <w:t xml:space="preserve">Introduction</w:t>
      </w:r>
    </w:p>
    <w:bookmarkEnd w:id="25"/>
    <w:bookmarkStart w:id="31" w:name="introduction-1"/>
    <w:p>
      <w:pPr>
        <w:pStyle w:val="Heading1"/>
      </w:pPr>
      <w:r>
        <w:t xml:space="preserve">Introduction</w:t>
      </w:r>
    </w:p>
    <w:bookmarkStart w:id="26" w:name="epidemiology"/>
    <w:p>
      <w:pPr>
        <w:pStyle w:val="Heading2"/>
      </w:pPr>
      <w:r>
        <w:t xml:space="preserve">Epidemiology</w:t>
      </w:r>
    </w:p>
    <w:p>
      <w:pPr>
        <w:pStyle w:val="FirstParagraph"/>
      </w:pPr>
      <w:r>
        <w:t xml:space="preserve">Trauma is a major global public health concern. It causes over four million deaths, among those younger populations are the most affected</w:t>
      </w:r>
      <w:r>
        <w:t xml:space="preserve"> </w:t>
      </w:r>
      <w:r>
        <w:t xml:space="preserve">(1)</w:t>
      </w:r>
      <w:r>
        <w:t xml:space="preserve">. Beyond the high mortality rate, trauma also imposes a substantial socio-economic burden, due to long-term disabilities and rehabilitation needs</w:t>
      </w:r>
      <w:r>
        <w:t xml:space="preserve"> </w:t>
      </w:r>
      <w:r>
        <w:t xml:space="preserve">(1)</w:t>
      </w:r>
      <w:r>
        <w:t xml:space="preserve">. Hemorrhagic shock, the second most common cause of death following trauma, is the leading preventable cause of death within the first 24 hours post-injury</w:t>
      </w:r>
      <w:r>
        <w:t xml:space="preserve"> </w:t>
      </w:r>
      <w:r>
        <w:t xml:space="preserve">(2–4)</w:t>
      </w:r>
      <w:r>
        <w:t xml:space="preserve">.</w:t>
      </w:r>
    </w:p>
    <w:bookmarkEnd w:id="26"/>
    <w:bookmarkStart w:id="27" w:name="shock-classifications"/>
    <w:p>
      <w:pPr>
        <w:pStyle w:val="Heading2"/>
      </w:pPr>
      <w:r>
        <w:t xml:space="preserve">Shock classifications</w:t>
      </w:r>
    </w:p>
    <w:p>
      <w:pPr>
        <w:pStyle w:val="FirstParagraph"/>
      </w:pPr>
      <w:r>
        <w:t xml:space="preserve">Out of the clinical needs to assess the severity of trauma shock, patients can be categorized by stratifying symptoms and physiological parameters into degrees. Many different scoring systems have been developed, such as ATLS classification for hemorrhagic shock (See Table @ref(tab:alts)</w:t>
      </w:r>
      <w:r>
        <w:t xml:space="preserve"> </w:t>
      </w:r>
      <w:r>
        <w:t xml:space="preserve">(5)</w:t>
      </w:r>
      <w:r>
        <w:t xml:space="preserve">), Trauma Associated Severe Hemorrhage (TASH) and Assessment of Blood Consumption (ABC) scores for predicting massive transfusion</w:t>
      </w:r>
      <w:r>
        <w:t xml:space="preserve"> </w:t>
      </w:r>
      <w:r>
        <w:t xml:space="preserve">(6)</w:t>
      </w:r>
      <w:r>
        <w:t xml:space="preserve">. While none of these systems comprehensively classifies shock severity across all types of trauma shock, each aid in assessing severity through core physiological indicators. Ultimately, these classifications rely on vital signs and clinical indicators, highlighting the importance of physiological metrics in evaluating shock severity across clinical settings.</w:t>
      </w:r>
    </w:p>
    <w:p>
      <w:pPr>
        <w:pStyle w:val="TableCaption"/>
      </w:pPr>
      <w:r>
        <w:t xml:space="preserve">ATLS classification for haemorrhagic shock, adapted from</w:t>
      </w:r>
      <w:r>
        <w:t xml:space="preserve"> </w:t>
      </w:r>
      <w:r>
        <w:t xml:space="preserve">(5)</w:t>
      </w:r>
      <w:r>
        <w:t xml:space="preserve"> </w:t>
      </w:r>
      <w:r>
        <w:t xml:space="preserve">{#tbl:atls}.</w:t>
      </w:r>
    </w:p>
    <w:tbl>
      <w:tblPr>
        <w:tblStyle w:val="Table"/>
        <w:tblW w:type="pct" w:w="5000"/>
        <w:tblLook w:firstRow="1" w:lastRow="0" w:firstColumn="0" w:lastColumn="0" w:noHBand="0" w:noVBand="0" w:val="0020"/>
        <w:jc w:val="start"/>
        <w:tblCaption w:val="ATLS classification for haemorrhagic shock, adapted from (5) {#tbl:atls}."/>
      </w:tblPr>
      <w:tblGrid>
        <w:gridCol w:w="2182"/>
        <w:gridCol w:w="810"/>
        <w:gridCol w:w="1309"/>
        <w:gridCol w:w="1683"/>
        <w:gridCol w:w="1933"/>
      </w:tblGrid>
      <w:tr>
        <w:trPr>
          <w:tblHeader w:val="true"/>
        </w:trPr>
        <w:tc>
          <w:tcPr/>
          <w:p>
            <w:pPr>
              <w:pStyle w:val="Compact"/>
              <w:jc w:val="left"/>
            </w:pPr>
            <w:r>
              <w:rPr>
                <w:bCs/>
                <w:b/>
              </w:rPr>
              <w:t xml:space="preserve">Parameter</w:t>
            </w:r>
          </w:p>
        </w:tc>
        <w:tc>
          <w:tcPr/>
          <w:p>
            <w:pPr>
              <w:pStyle w:val="Compact"/>
              <w:jc w:val="left"/>
            </w:pPr>
            <w:r>
              <w:rPr>
                <w:bCs/>
                <w:b/>
              </w:rPr>
              <w:t xml:space="preserve">Class I</w:t>
            </w:r>
          </w:p>
        </w:tc>
        <w:tc>
          <w:tcPr/>
          <w:p>
            <w:pPr>
              <w:pStyle w:val="Compact"/>
              <w:jc w:val="left"/>
            </w:pPr>
            <w:r>
              <w:rPr>
                <w:bCs/>
                <w:b/>
              </w:rPr>
              <w:t xml:space="preserve">Class II</w:t>
            </w:r>
            <w:r>
              <w:t xml:space="preserve"> </w:t>
            </w:r>
            <w:r>
              <w:t xml:space="preserve">(Mild)</w:t>
            </w:r>
          </w:p>
        </w:tc>
        <w:tc>
          <w:tcPr/>
          <w:p>
            <w:pPr>
              <w:pStyle w:val="Compact"/>
              <w:jc w:val="left"/>
            </w:pPr>
            <w:r>
              <w:rPr>
                <w:bCs/>
                <w:b/>
              </w:rPr>
              <w:t xml:space="preserve">Class III</w:t>
            </w:r>
            <w:r>
              <w:t xml:space="preserve"> </w:t>
            </w:r>
            <w:r>
              <w:t xml:space="preserve">(Moderate)</w:t>
            </w:r>
          </w:p>
        </w:tc>
        <w:tc>
          <w:tcPr/>
          <w:p>
            <w:pPr>
              <w:pStyle w:val="Compact"/>
              <w:jc w:val="left"/>
            </w:pPr>
            <w:r>
              <w:rPr>
                <w:bCs/>
                <w:b/>
              </w:rPr>
              <w:t xml:space="preserve">Class IV</w:t>
            </w:r>
            <w:r>
              <w:t xml:space="preserve"> </w:t>
            </w:r>
            <w:r>
              <w:t xml:space="preserve">(Severe)</w:t>
            </w:r>
          </w:p>
        </w:tc>
      </w:tr>
      <w:tr>
        <w:tc>
          <w:tcPr/>
          <w:p>
            <w:pPr>
              <w:pStyle w:val="Compact"/>
              <w:jc w:val="left"/>
            </w:pPr>
            <w:r>
              <w:t xml:space="preserve">Approximate blood loss</w:t>
            </w:r>
          </w:p>
        </w:tc>
        <w:tc>
          <w:tcPr/>
          <w:p>
            <w:pPr>
              <w:pStyle w:val="Compact"/>
              <w:jc w:val="left"/>
            </w:pPr>
            <w:r>
              <w:t xml:space="preserve">&lt;15%</w:t>
            </w:r>
          </w:p>
        </w:tc>
        <w:tc>
          <w:tcPr/>
          <w:p>
            <w:pPr>
              <w:pStyle w:val="Compact"/>
              <w:jc w:val="left"/>
            </w:pPr>
            <w:r>
              <w:t xml:space="preserve">15–30%</w:t>
            </w:r>
          </w:p>
        </w:tc>
        <w:tc>
          <w:tcPr/>
          <w:p>
            <w:pPr>
              <w:pStyle w:val="Compact"/>
              <w:jc w:val="left"/>
            </w:pPr>
            <w:r>
              <w:t xml:space="preserve">31–40%</w:t>
            </w:r>
          </w:p>
        </w:tc>
        <w:tc>
          <w:tcPr/>
          <w:p>
            <w:pPr>
              <w:pStyle w:val="Compact"/>
              <w:jc w:val="left"/>
            </w:pPr>
            <w:r>
              <w:t xml:space="preserve">&gt;40%</w:t>
            </w:r>
          </w:p>
        </w:tc>
      </w:tr>
      <w:tr>
        <w:tc>
          <w:tcPr/>
          <w:p>
            <w:pPr>
              <w:pStyle w:val="Compact"/>
              <w:jc w:val="left"/>
            </w:pPr>
            <w:r>
              <w:t xml:space="preserve">Heart rate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Blood pressure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Pulse pressure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Respiratory rate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Urine output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Glasgow Coma Scale score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Base deficit</w:t>
            </w:r>
          </w:p>
        </w:tc>
        <w:tc>
          <w:tcPr/>
          <w:p>
            <w:pPr>
              <w:pStyle w:val="Compact"/>
              <w:jc w:val="left"/>
            </w:pPr>
            <w:r>
              <w:t xml:space="preserve">0 to –2 mEq/L</w:t>
            </w:r>
          </w:p>
        </w:tc>
        <w:tc>
          <w:tcPr/>
          <w:p>
            <w:pPr>
              <w:pStyle w:val="Compact"/>
              <w:jc w:val="left"/>
            </w:pPr>
            <w:r>
              <w:t xml:space="preserve">–2 to –6 mEq/L</w:t>
            </w:r>
          </w:p>
        </w:tc>
        <w:tc>
          <w:tcPr/>
          <w:p>
            <w:pPr>
              <w:pStyle w:val="Compact"/>
              <w:jc w:val="left"/>
            </w:pPr>
            <w:r>
              <w:t xml:space="preserve">–6 to –10 mEq/L</w:t>
            </w:r>
          </w:p>
        </w:tc>
        <w:tc>
          <w:tcPr/>
          <w:p>
            <w:pPr>
              <w:pStyle w:val="Compact"/>
              <w:jc w:val="left"/>
            </w:pPr>
            <w:r>
              <w:t xml:space="preserve">–10 mEq/L or less</w:t>
            </w:r>
          </w:p>
        </w:tc>
      </w:tr>
      <w:tr>
        <w:tc>
          <w:tcPr/>
          <w:p>
            <w:pPr>
              <w:pStyle w:val="Compact"/>
              <w:jc w:val="left"/>
            </w:pPr>
            <w:r>
              <w:t xml:space="preserve">Need for blood products</w:t>
            </w:r>
          </w:p>
        </w:tc>
        <w:tc>
          <w:tcPr/>
          <w:p>
            <w:pPr>
              <w:pStyle w:val="Compact"/>
              <w:jc w:val="left"/>
            </w:pPr>
            <w:r>
              <w:t xml:space="preserve">Monitor</w:t>
            </w:r>
          </w:p>
        </w:tc>
        <w:tc>
          <w:tcPr/>
          <w:p>
            <w:pPr>
              <w:pStyle w:val="Compact"/>
              <w:jc w:val="left"/>
            </w:pPr>
            <w:r>
              <w:t xml:space="preserve">Possible</w:t>
            </w:r>
          </w:p>
        </w:tc>
        <w:tc>
          <w:tcPr/>
          <w:p>
            <w:pPr>
              <w:pStyle w:val="Compact"/>
              <w:jc w:val="left"/>
            </w:pPr>
            <w:r>
              <w:t xml:space="preserve">Yes</w:t>
            </w:r>
          </w:p>
        </w:tc>
        <w:tc>
          <w:tcPr/>
          <w:p>
            <w:pPr>
              <w:pStyle w:val="Compact"/>
              <w:jc w:val="left"/>
            </w:pPr>
            <w:r>
              <w:t xml:space="preserve">Massive Transfusion Protocol</w:t>
            </w:r>
          </w:p>
        </w:tc>
      </w:tr>
    </w:tbl>
    <w:bookmarkEnd w:id="27"/>
    <w:bookmarkStart w:id="28" w:name="X7b7ce7b375b4752e1f0be695b362dde48ecf6ea"/>
    <w:p>
      <w:pPr>
        <w:pStyle w:val="Heading2"/>
      </w:pPr>
      <w:r>
        <w:t xml:space="preserve">Trauma quality improvement and opportunities for improvement</w:t>
      </w:r>
    </w:p>
    <w:p>
      <w:pPr>
        <w:pStyle w:val="FirstParagraph"/>
      </w:pPr>
      <w:r>
        <w:t xml:space="preserve">The initial management of trauma patients is highly time-sensitive and prone to error</w:t>
      </w:r>
      <w:r>
        <w:t xml:space="preserve"> </w:t>
      </w:r>
      <w:r>
        <w:t xml:space="preserve">(4,7,8)</w:t>
      </w:r>
      <w:r>
        <w:t xml:space="preserve">. Quality Improvement (QI) initiatives address these challenges by systematically evaluating care processes and outcomes, aiming to reduce morbidity and mortality</w:t>
      </w:r>
      <w:r>
        <w:t xml:space="preserve"> </w:t>
      </w:r>
      <w:r>
        <w:t xml:space="preserve">(9)</w:t>
      </w:r>
      <w:r>
        <w:t xml:space="preserve">. Through structured quality measures and collaborative reviews, QI has strengthened trauma care and improved outcomes globally</w:t>
      </w:r>
      <w:r>
        <w:t xml:space="preserve"> </w:t>
      </w:r>
      <w:r>
        <w:t xml:space="preserve">(10,11)</w:t>
      </w:r>
      <w:r>
        <w:t xml:space="preserve">.</w:t>
      </w:r>
      <w:r>
        <w:t xml:space="preserve"> </w:t>
      </w:r>
      <w:r>
        <w:t xml:space="preserve">Identifying Opportunities for Improvement (OFI) offers a broader perspective than traditional mortality reviews by also including non-fatal outcomes</w:t>
      </w:r>
      <w:r>
        <w:t xml:space="preserve"> </w:t>
      </w:r>
      <w:r>
        <w:t xml:space="preserve">(9)</w:t>
      </w:r>
      <w:r>
        <w:t xml:space="preserve">. Structured multidisciplinary morbidity and mortality (M&amp;M) reviews are commonly used to identify OFIs. One systemic and comprehensive way to identify OFI is using the Donabedian framework, which asses the quality of care by the three categories of: structure, process, and outcome</w:t>
      </w:r>
      <w:r>
        <w:t xml:space="preserve"> </w:t>
      </w:r>
      <w:r>
        <w:t xml:space="preserve">(9,12)</w:t>
      </w:r>
      <w:r>
        <w:t xml:space="preserve">.</w:t>
      </w:r>
    </w:p>
    <w:bookmarkEnd w:id="28"/>
    <w:bookmarkStart w:id="29" w:name="shock-and-ofi"/>
    <w:p>
      <w:pPr>
        <w:pStyle w:val="Heading2"/>
      </w:pPr>
      <w:r>
        <w:t xml:space="preserve">Shock and OFI</w:t>
      </w:r>
    </w:p>
    <w:p>
      <w:pPr>
        <w:pStyle w:val="FirstParagraph"/>
      </w:pPr>
      <w:r>
        <w:t xml:space="preserve">As mentioned before hemorrhagic shock is the leading cause of preventable death within the first 24 hours of injury</w:t>
      </w:r>
      <w:r>
        <w:t xml:space="preserve"> </w:t>
      </w:r>
      <w:r>
        <w:t xml:space="preserve">(3)</w:t>
      </w:r>
      <w:r>
        <w:t xml:space="preserve">. Patients in shock have a higher mortality rate than those not</w:t>
      </w:r>
      <w:r>
        <w:t xml:space="preserve"> </w:t>
      </w:r>
      <w:r>
        <w:t xml:space="preserve">(13)</w:t>
      </w:r>
      <w:r>
        <w:t xml:space="preserve">, with a median time to death of just 2 hours</w:t>
      </w:r>
      <w:r>
        <w:t xml:space="preserve"> </w:t>
      </w:r>
      <w:r>
        <w:t xml:space="preserve">(14)</w:t>
      </w:r>
      <w:r>
        <w:t xml:space="preserve">. Despite this, the relationship between shock, its severity, and Opportunities for Improvement (OFI) remains largely unexamined. This knowledge would help clinicians better identify and avoid preventable mistakes in shock patients who need urgent care.</w:t>
      </w:r>
    </w:p>
    <w:bookmarkEnd w:id="29"/>
    <w:bookmarkStart w:id="30" w:name="aims"/>
    <w:p>
      <w:pPr>
        <w:pStyle w:val="Heading2"/>
      </w:pPr>
      <w:r>
        <w:t xml:space="preserve">Aims</w:t>
      </w:r>
    </w:p>
    <w:p>
      <w:pPr>
        <w:pStyle w:val="FirstParagraph"/>
      </w:pPr>
      <w:r>
        <w:t xml:space="preserve">This study aims to describe the types of opportunities for improvement for adult trauma patients arriving in shock, and to assess how the degree of shock is associated with opportunities for improvement.</w:t>
      </w:r>
    </w:p>
    <w:bookmarkEnd w:id="30"/>
    <w:bookmarkEnd w:id="31"/>
    <w:bookmarkStart w:id="40" w:name="methods-1"/>
    <w:p>
      <w:pPr>
        <w:pStyle w:val="Heading1"/>
      </w:pPr>
      <w:r>
        <w:t xml:space="preserve">Methods</w:t>
      </w:r>
    </w:p>
    <w:bookmarkStart w:id="32" w:name="study-design"/>
    <w:p>
      <w:pPr>
        <w:pStyle w:val="Heading2"/>
      </w:pPr>
      <w:r>
        <w:t xml:space="preserve">Study design</w:t>
      </w:r>
    </w:p>
    <w:p>
      <w:pPr>
        <w:pStyle w:val="FirstParagraph"/>
      </w:pPr>
      <w:r>
        <w:t xml:space="preserve">We conducted a registry based retrospective cohort study, using data from the trauma registry and trauma care quality database at the Karolinska University Hospital in Solna.</w:t>
      </w:r>
    </w:p>
    <w:bookmarkEnd w:id="32"/>
    <w:bookmarkStart w:id="33" w:name="setting"/>
    <w:p>
      <w:pPr>
        <w:pStyle w:val="Heading2"/>
      </w:pPr>
      <w:r>
        <w:t xml:space="preserve">Setting</w:t>
      </w:r>
    </w:p>
    <w:p>
      <w:pPr>
        <w:pStyle w:val="FirstParagraph"/>
      </w:pPr>
      <w:r>
        <w:t xml:space="preserve">The trauma registry includes patients treated at Karolinska University Hospital in Solna, which treats all major trauma in the greater metropolitan area of Stockholm. We included patients registered between 2014 and 2023. The trauma care quality database is a subset of the trauma registry and includes patients selected for review.</w:t>
      </w:r>
    </w:p>
    <w:bookmarkEnd w:id="33"/>
    <w:bookmarkStart w:id="34" w:name="participants"/>
    <w:p>
      <w:pPr>
        <w:pStyle w:val="Heading2"/>
      </w:pPr>
      <w:r>
        <w:t xml:space="preserve">Participants</w:t>
      </w:r>
    </w:p>
    <w:p>
      <w:pPr>
        <w:pStyle w:val="FirstParagraph"/>
      </w:pPr>
      <w:r>
        <w:t xml:space="preserve">Inclusion in the trauma registry requires either admission through trauma team activation or presenting with an Injury Severity Score (ISS) greater than nine after admission to the Karolinska University Hopsital. Each trauma patient is then included in a morbidity and mortality review process, which involves both individual case evaluations by specialized nurses and audit filters. Patients identified with a high potential for OFIs are discussed at multidisciplinary conferences. The identified OFIs are then categorized into broad and detailed categories. The presence or absence of OFIs is determined by consensus among all participants and is documented in the trauma care quality database.</w:t>
      </w:r>
    </w:p>
    <w:p>
      <w:pPr>
        <w:pStyle w:val="BodyText"/>
      </w:pPr>
      <w:r>
        <w:t xml:space="preserve">We included all patients in the trauma registry and Trauma care quality database. We excluded patients younger than 15 and/or were dead on arrival.</w:t>
      </w:r>
    </w:p>
    <w:bookmarkEnd w:id="34"/>
    <w:bookmarkStart w:id="35" w:name="variables-and-data-sourcesmeasurements"/>
    <w:p>
      <w:pPr>
        <w:pStyle w:val="Heading2"/>
      </w:pPr>
      <w:r>
        <w:t xml:space="preserve">Variables and data sources/measurements</w:t>
      </w:r>
    </w:p>
    <w:p>
      <w:pPr>
        <w:pStyle w:val="FirstParagraph"/>
      </w:pPr>
      <w:r>
        <w:t xml:space="preserve">The outcome was defined as the presence of at least one OFI, determined by the multidisciplinary M&amp;M conference in the trauma care quality registry. An OFI can be various types of preventable events, and can be categorized as: clinical judgment error, inadequate resources, delay in treatment, missed injury, inadequate protocols, preventable death and other errors.</w:t>
      </w:r>
    </w:p>
    <w:p>
      <w:pPr>
        <w:pStyle w:val="BodyText"/>
      </w:pPr>
      <w:r>
        <w:t xml:space="preserve">The patients will be classified to different degrees of shock in parallel and separately, once with systolic blood pressure (SBP) and once with base excess (BE), regardless of their cause of shock. Based on these two parameters, the patients will be classified into four classes roughly based on the ATLS trauma shock classifications.</w:t>
      </w:r>
    </w:p>
    <w:p>
      <w:pPr>
        <w:pStyle w:val="BodyText"/>
      </w:pPr>
      <w:r>
        <w:t xml:space="preserve">We included five other metrics to be adjusted for, due to potential for confounding. Pre-injury ASA and gender were categorical, meanwhile age, ISS and INR were kept continuous.</w:t>
      </w:r>
    </w:p>
    <w:bookmarkEnd w:id="35"/>
    <w:bookmarkStart w:id="36" w:name="bias"/>
    <w:p>
      <w:pPr>
        <w:pStyle w:val="Heading2"/>
      </w:pPr>
      <w:r>
        <w:t xml:space="preserve">Bias</w:t>
      </w:r>
    </w:p>
    <w:bookmarkEnd w:id="36"/>
    <w:bookmarkStart w:id="37" w:name="study-size"/>
    <w:p>
      <w:pPr>
        <w:pStyle w:val="Heading2"/>
      </w:pPr>
      <w:r>
        <w:t xml:space="preserve">Study size</w:t>
      </w:r>
    </w:p>
    <w:p>
      <w:pPr>
        <w:pStyle w:val="FirstParagraph"/>
      </w:pPr>
      <w:r>
        <w:t xml:space="preserve">All available data in trauma registry and trauma care quality database will be included.</w:t>
      </w:r>
    </w:p>
    <w:bookmarkEnd w:id="37"/>
    <w:bookmarkStart w:id="38" w:name="quantitative-variables"/>
    <w:p>
      <w:pPr>
        <w:pStyle w:val="Heading2"/>
      </w:pPr>
      <w:r>
        <w:t xml:space="preserve">Quantitative variables</w:t>
      </w:r>
    </w:p>
    <w:p>
      <w:pPr>
        <w:pStyle w:val="FirstParagraph"/>
      </w:pPr>
      <w:r>
        <w:t xml:space="preserve">The BE parameter was divided into four classes with these cutoffs: Class I (above -2), Class II (-2 to -6), Class III (-6 to -10), and Class IV (below -10). Similarly, SBP was divided into four classes: Class I (above 110 mmHg), Class II (109-100 mmHg), Class III (99-90 mmHg), and Class IV (below 90 mmHg).</w:t>
      </w:r>
      <w:r>
        <w:t xml:space="preserve"> </w:t>
      </w:r>
      <w:r>
        <w:t xml:space="preserve">This classification follows the tenth edition ATLS hemorrhage classification</w:t>
      </w:r>
      <w:r>
        <w:t xml:space="preserve"> </w:t>
      </w:r>
      <w:r>
        <w:t xml:space="preserve">(5)</w:t>
      </w:r>
      <w:r>
        <w:t xml:space="preserve">, which does not specify exact values for any parameter other than BE. To solve this, we assigned numerical SBP values to each class based on findings from Eastridge et al. and Oyetunji et al., who redefined hypotension as 110 mmHg respective 90 mmHg dependent on age</w:t>
      </w:r>
      <w:r>
        <w:t xml:space="preserve">(15,16)</w:t>
      </w:r>
      <w:r>
        <w:t xml:space="preserve">. Therefore, we used 110 mmHg as the lower limit for (Class I: no shock) - (ATLS: normal SBP) and below 90 mmHg for (Class IV: clear shock) - (ATLS: clear hypotension), class 2 and 3 divided equally in between. This also aligns with the classification done by Mutschler et al.</w:t>
      </w:r>
      <w:r>
        <w:t xml:space="preserve">(17)</w:t>
      </w:r>
      <w:r>
        <w:t xml:space="preserve">.</w:t>
      </w:r>
    </w:p>
    <w:p>
      <w:pPr>
        <w:pStyle w:val="BodyText"/>
      </w:pPr>
      <w:r>
        <w:rPr>
          <w:bCs/>
          <w:b/>
        </w:rPr>
        <w:t xml:space="preserve">ATLS tenth edition - Systolic blood pressure and Base excess (BD)</w:t>
      </w:r>
    </w:p>
    <w:tbl>
      <w:tblPr>
        <w:tblStyle w:val="Table"/>
        <w:tblW w:type="pct" w:w="5000"/>
        <w:tblLook w:firstRow="1" w:lastRow="0" w:firstColumn="0" w:lastColumn="0" w:noHBand="0" w:noVBand="0" w:val="0020"/>
        <w:jc w:val="start"/>
      </w:tblPr>
      <w:tblGrid>
        <w:gridCol w:w="2165"/>
        <w:gridCol w:w="804"/>
        <w:gridCol w:w="1361"/>
        <w:gridCol w:w="1670"/>
        <w:gridCol w:w="1918"/>
      </w:tblGrid>
      <w:tr>
        <w:trPr>
          <w:tblHeader w:val="true"/>
        </w:trPr>
        <w:tc>
          <w:tcPr/>
          <w:p>
            <w:pPr>
              <w:pStyle w:val="Compact"/>
              <w:jc w:val="left"/>
            </w:pPr>
            <w:r>
              <w:rPr>
                <w:bCs/>
                <w:b/>
              </w:rPr>
              <w:t xml:space="preserve">Parameter - original ATLS 10th edition</w:t>
            </w:r>
          </w:p>
        </w:tc>
        <w:tc>
          <w:tcPr/>
          <w:p>
            <w:pPr>
              <w:pStyle w:val="Compact"/>
              <w:jc w:val="left"/>
            </w:pPr>
            <w:r>
              <w:rPr>
                <w:bCs/>
                <w:b/>
              </w:rPr>
              <w:t xml:space="preserve">Class I</w:t>
            </w:r>
          </w:p>
        </w:tc>
        <w:tc>
          <w:tcPr/>
          <w:p>
            <w:pPr>
              <w:pStyle w:val="Compact"/>
              <w:jc w:val="left"/>
            </w:pPr>
            <w:r>
              <w:rPr>
                <w:bCs/>
                <w:b/>
              </w:rPr>
              <w:t xml:space="preserve">Class II</w:t>
            </w:r>
            <w:r>
              <w:t xml:space="preserve"> </w:t>
            </w:r>
            <w:r>
              <w:t xml:space="preserve">(Mild)</w:t>
            </w:r>
          </w:p>
        </w:tc>
        <w:tc>
          <w:tcPr/>
          <w:p>
            <w:pPr>
              <w:pStyle w:val="Compact"/>
              <w:jc w:val="left"/>
            </w:pPr>
            <w:r>
              <w:rPr>
                <w:bCs/>
                <w:b/>
              </w:rPr>
              <w:t xml:space="preserve">Class III</w:t>
            </w:r>
            <w:r>
              <w:t xml:space="preserve"> </w:t>
            </w:r>
            <w:r>
              <w:t xml:space="preserve">(Moderate)</w:t>
            </w:r>
          </w:p>
        </w:tc>
        <w:tc>
          <w:tcPr/>
          <w:p>
            <w:pPr>
              <w:pStyle w:val="Compact"/>
              <w:jc w:val="left"/>
            </w:pPr>
            <w:r>
              <w:rPr>
                <w:bCs/>
                <w:b/>
              </w:rPr>
              <w:t xml:space="preserve">Class IV</w:t>
            </w:r>
            <w:r>
              <w:t xml:space="preserve"> </w:t>
            </w:r>
            <w:r>
              <w:t xml:space="preserve">(Severe)</w:t>
            </w:r>
          </w:p>
        </w:tc>
      </w:tr>
      <w:tr>
        <w:tc>
          <w:tcPr/>
          <w:p>
            <w:pPr>
              <w:pStyle w:val="Compact"/>
              <w:jc w:val="left"/>
            </w:pPr>
            <w:r>
              <w:t xml:space="preserve">Base deficit</w:t>
            </w:r>
          </w:p>
        </w:tc>
        <w:tc>
          <w:tcPr/>
          <w:p>
            <w:pPr>
              <w:pStyle w:val="Compact"/>
              <w:jc w:val="left"/>
            </w:pPr>
            <w:r>
              <w:t xml:space="preserve">0 to –2 mEq/L</w:t>
            </w:r>
          </w:p>
        </w:tc>
        <w:tc>
          <w:tcPr/>
          <w:p>
            <w:pPr>
              <w:pStyle w:val="Compact"/>
              <w:jc w:val="left"/>
            </w:pPr>
            <w:r>
              <w:t xml:space="preserve">–2 to –6 mEq/L</w:t>
            </w:r>
          </w:p>
        </w:tc>
        <w:tc>
          <w:tcPr/>
          <w:p>
            <w:pPr>
              <w:pStyle w:val="Compact"/>
              <w:jc w:val="left"/>
            </w:pPr>
            <w:r>
              <w:t xml:space="preserve">–6 to –10 mEq/L</w:t>
            </w:r>
          </w:p>
        </w:tc>
        <w:tc>
          <w:tcPr/>
          <w:p>
            <w:pPr>
              <w:pStyle w:val="Compact"/>
              <w:jc w:val="left"/>
            </w:pPr>
            <w:r>
              <w:t xml:space="preserve">–10 mEq/L or less</w:t>
            </w:r>
          </w:p>
        </w:tc>
      </w:tr>
      <w:tr>
        <w:tc>
          <w:tcPr/>
          <w:p>
            <w:pPr>
              <w:pStyle w:val="Compact"/>
              <w:jc w:val="left"/>
            </w:pPr>
            <w:r>
              <w:t xml:space="preserve">Systolic Blood pressure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Cs/>
                <w:b/>
              </w:rPr>
              <w:t xml:space="preserve">Parameter - numerical approximated SBP</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Systolic Blood pressure</w:t>
            </w:r>
          </w:p>
        </w:tc>
        <w:tc>
          <w:tcPr/>
          <w:p>
            <w:pPr>
              <w:pStyle w:val="Compact"/>
              <w:jc w:val="left"/>
            </w:pPr>
            <w:r>
              <w:t xml:space="preserve">&gt;110 mmhg</w:t>
            </w:r>
          </w:p>
        </w:tc>
        <w:tc>
          <w:tcPr/>
          <w:p>
            <w:pPr>
              <w:pStyle w:val="Compact"/>
              <w:jc w:val="left"/>
            </w:pPr>
            <w:r>
              <w:t xml:space="preserve">109-100 mmhg</w:t>
            </w:r>
          </w:p>
        </w:tc>
        <w:tc>
          <w:tcPr/>
          <w:p>
            <w:pPr>
              <w:pStyle w:val="Compact"/>
              <w:jc w:val="left"/>
            </w:pPr>
            <w:r>
              <w:t xml:space="preserve">99-90 mmhg</w:t>
            </w:r>
          </w:p>
        </w:tc>
        <w:tc>
          <w:tcPr/>
          <w:p>
            <w:pPr>
              <w:pStyle w:val="Compact"/>
              <w:jc w:val="left"/>
            </w:pPr>
            <w:r>
              <w:t xml:space="preserve">&lt;90 mmhg</w:t>
            </w:r>
          </w:p>
        </w:tc>
      </w:tr>
    </w:tbl>
    <w:p>
      <w:pPr>
        <w:pStyle w:val="BodyText"/>
      </w:pPr>
      <w:r>
        <w:t xml:space="preserve">Please note that ATLS classification defines class I for the BE parameter as (0 to -2) however, we choose to follow its original source</w:t>
      </w:r>
      <w:r>
        <w:t xml:space="preserve">(18)</w:t>
      </w:r>
      <w:r>
        <w:t xml:space="preserve">, which defines class I as base deficit (Inverted BE) ≤ 2, with no lower limit (i.e. an upper limit for BE).</w:t>
      </w:r>
    </w:p>
    <w:bookmarkEnd w:id="38"/>
    <w:bookmarkStart w:id="39" w:name="statistical-methods"/>
    <w:p>
      <w:pPr>
        <w:pStyle w:val="Heading2"/>
      </w:pPr>
      <w:r>
        <w:t xml:space="preserve">Statistical methods</w:t>
      </w:r>
    </w:p>
    <w:p>
      <w:pPr>
        <w:pStyle w:val="FirstParagraph"/>
      </w:pPr>
      <w:r>
        <w:t xml:space="preserve">The statistical analysis will be performed using R, a programming language and environment for statistical computing. We will present the types of OFI as percentage distributions and then visualize them in a bar chart. Unadjusted logistic regression will be used to determine the association between the OFI, and degree of shock defined separately by classifying BE and SBP roughly according to ATLS classification of hemorrhagic shock. Adjusted logistic regression will then incorporate other patient factors such as age, sex, preinjury ASA, INR, and ISS. It will be presented as odds ratios (OR) between the presence of OFI, and shock classes. The OR will be determined with 95% confidence intervals, and a significance level of 5% will be used. All statistical analysis will first be done on synthetic data and later implemented on the data collected from the trauma registry and the trauma care quality database to ensure objectivity. Missing data will be addressed by listwise deletion.</w:t>
      </w:r>
    </w:p>
    <w:bookmarkEnd w:id="39"/>
    <w:bookmarkEnd w:id="40"/>
    <w:bookmarkStart w:id="45" w:name="results-1"/>
    <w:p>
      <w:pPr>
        <w:pStyle w:val="Heading1"/>
      </w:pPr>
      <w:r>
        <w:t xml:space="preserve">Results</w:t>
      </w:r>
    </w:p>
    <w:bookmarkStart w:id="41" w:name="participants-1"/>
    <w:p>
      <w:pPr>
        <w:pStyle w:val="Heading2"/>
      </w:pPr>
      <w:r>
        <w:t xml:space="preserve">Participants</w:t>
      </w:r>
    </w:p>
    <w:p>
      <w:pPr>
        <w:pStyle w:val="FirstParagraph"/>
      </w:pPr>
      <w:r>
        <w:t xml:space="preserve">There were a total of 14022 patients in the trauma registry. After excluding the patients younger than 15 and/or were dead on arrival, there were 12153 patients left. Out of those, 7152 patients had been reviewed for the presence of OFI. A total of 2233 patients were excluded due to missing data, resulting in 4919 patients for the final analysis.</w:t>
      </w:r>
    </w:p>
    <w:p>
      <w:pPr>
        <w:pStyle w:val="BodyText"/>
      </w:pPr>
      <w:r>
        <w:t xml:space="preserve">The variable with most missing data is BE which lack the data for 1721 patients.</w:t>
      </w:r>
    </w:p>
    <w:p>
      <w:pPr>
        <w:pStyle w:val="BodyText"/>
      </w:pPr>
      <w:r>
        <w:t xml:space="preserve">Table 3 - Sample characteristics showing missing data.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7,152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6,716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Yes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436</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(28,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4,993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4,362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4,121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(121,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(121,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(120,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 Excess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(-1.3,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(-2.4,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4,391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4,162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6,356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5,983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 Fisher's exact test</w:t>
            </w:r>
          </w:p>
        </w:tc>
      </w:tr>
    </w:tbl>
    <w:bookmarkEnd w:id="41"/>
    <w:bookmarkStart w:id="42" w:name="descriptive-data"/>
    <w:p>
      <w:pPr>
        <w:pStyle w:val="Heading2"/>
      </w:pPr>
      <w:r>
        <w:t xml:space="preserve">Descriptive data</w:t>
      </w:r>
    </w:p>
    <w:p>
      <w:pPr>
        <w:pStyle w:val="FirstParagraph"/>
      </w:pPr>
      <w:r>
        <w:t xml:space="preserve">The study demographics median age is 39 (25, 56) and the most common gender is male, 3,506 (71%). Clinically, the median ISS is 5 which is considered minor injuries, median INR is 1,00, and the most common Preinjury ASA class is 1, at 62%.</w:t>
      </w:r>
    </w:p>
    <w:p>
      <w:pPr>
        <w:pStyle w:val="BodyText"/>
      </w:pPr>
      <w:r>
        <w:t xml:space="preserve">Table 4 - Sample characteristics used in regression.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4,919</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4,638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Yes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281</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1,413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1,341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3,506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3,297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 Excess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(-2.4,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3,989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3,783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4,208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 Fisher's exact test</w:t>
            </w:r>
          </w:p>
        </w:tc>
      </w:tr>
    </w:tbl>
    <w:bookmarkEnd w:id="42"/>
    <w:bookmarkStart w:id="43" w:name="outcome-data"/>
    <w:p>
      <w:pPr>
        <w:pStyle w:val="Heading2"/>
      </w:pPr>
      <w:r>
        <w:t xml:space="preserve">Outcome data</w:t>
      </w:r>
    </w:p>
    <w:p>
      <w:pPr>
        <w:pStyle w:val="FirstParagraph"/>
      </w:pPr>
      <w:r>
        <w:t xml:space="preserve">Out of the 4919 patients reviewed without missing data, 281 (5.7%) patients had at least one positive OFI.</w:t>
      </w:r>
    </w:p>
    <w:p>
      <w:pPr>
        <w:pStyle w:val="BodyText"/>
      </w:pPr>
      <w:r>
        <w:t xml:space="preserve">The most common broad sub-ofi category was clinical judgement error, at 103 (37%). The other three major broad sub-ofis are: inadequate resources 61 (22%), delay in treatment 49 (17%) and missed diagnosis 48 (17%). The smallest one, is other errors, at 5 (1,8%).</w:t>
      </w:r>
    </w:p>
    <w:p>
      <w:pPr>
        <w:pStyle w:val="BodyText"/>
      </w:pPr>
      <w:r>
        <w:t xml:space="preserve">When classified, the most common broad sub-ofi in class 1 (no shock) is clinical judgement error both in the BE and SBP groups, while the other sub-ofi also follow a similar distribution between the groups. The largest sub-ofi continuous to be clinical judgment error for BE group in class 2, 3 and 4, at 34,6%; 31,2%; and 42,9% in this order. On other hand, the largest sub-ofi in SBP class 2 is delay in treatment at 50%. The SBP class 3 is evenly distributed between clinical judgement error and missed diagnosis at 40% each. Lastly, class 4 SBP’s most common sub-ofi is clinical judgment error 46,7%.</w:t>
      </w:r>
    </w:p>
    <w:p>
      <w:pPr>
        <w:pStyle w:val="BodyText"/>
      </w:pPr>
      <w:r>
        <w:t xml:space="preserve">Overall 3989 (81%) of the patients were classified as having no shock (class 1) according to the BE classification, the sum of the remaining classes accounted for 930 (19%) patients. The distribution of the classes were decreasing in numbers with increased severity, with class 2: 644 (13%), class 3: 170 (3,5%), and class 4: 116 (2,4%).</w:t>
      </w:r>
    </w:p>
    <w:p>
      <w:pPr>
        <w:pStyle w:val="BodyText"/>
      </w:pPr>
      <w:r>
        <w:t xml:space="preserve">The SBP classification system sorted 4455 (91%) patients as having no shock (class 1), while the remaining classes with patients in shock accounted for 464 (9%) of all the patients. Among the classes defined with shock, class 2 was the biggest at 239 (4,9%), followed by class 4 at 127 (2,6%), and lastly class 3 with 99 (2,0%).</w:t>
      </w:r>
    </w:p>
    <w:p>
      <w:pPr>
        <w:pStyle w:val="BodyText"/>
      </w:pPr>
      <w:r>
        <w:t xml:space="preserve">Table 5 - Sub-OFI, classified according to BE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Class 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w:t>
            </w:r>
          </w:p>
        </w:tc>
      </w:tr>
    </w:tbl>
    <w:p>
      <w:pPr>
        <w:pStyle w:val="BodyText"/>
      </w:pPr>
      <w:r>
        <w:t xml:space="preserve">Table 6 - Sub-OFI, classified according to SBP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247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Class 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43"/>
    <w:bookmarkStart w:id="44" w:name="main-results"/>
    <w:p>
      <w:pPr>
        <w:pStyle w:val="Heading2"/>
      </w:pPr>
      <w:r>
        <w:t xml:space="preserve">Main results</w:t>
      </w:r>
    </w:p>
    <w:p>
      <w:pPr>
        <w:pStyle w:val="FirstParagraph"/>
      </w:pPr>
      <w:r>
        <w:t xml:space="preserve">The adjusted analyses showed only statistical significance when comparing BE class 4 to class 1, which had 63% lower odds for OFI (OR 0,37; 95% CI 0,14-0,83; p-value 0.026).</w:t>
      </w:r>
    </w:p>
    <w:p>
      <w:pPr>
        <w:pStyle w:val="BodyText"/>
      </w:pPr>
      <w:r>
        <w:t xml:space="preserve">The un-adjusted analysis showed when comparing to class 1 in BE group, class 2 (OR 1,61; 95% CI 1,17-2,20; p-value 0.003) and 3 (OR 1,91; 95% CI 1,08-3,16; p-value 0.018) were significant in increased risk for OFI. For the SBP group, comparison between class 1 and class 4 showed significant increased risk (OR 2,28; 95% CI 1,26-3,85; p-value 0.004).</w:t>
      </w:r>
    </w:p>
    <w:p>
      <w:pPr>
        <w:pStyle w:val="BodyText"/>
      </w:pPr>
      <w:r>
        <w:t xml:space="preserve">Table 7 and 8 adjusted log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Adjusted Model</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Unadjusted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Event Risk</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 3,989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 644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170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 116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 1,413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 3,506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 3,032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 1,240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626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 21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Adjusted Model</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Unadjusted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Event Risk</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 4,455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 239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 98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 127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 1,413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 3,506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 3,032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 1,240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626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 21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44"/>
    <w:bookmarkEnd w:id="45"/>
    <w:bookmarkStart w:id="46" w:name="discussion"/>
    <w:p>
      <w:pPr>
        <w:pStyle w:val="Heading1"/>
      </w:pPr>
      <w:r>
        <w:t xml:space="preserve">Discussion</w:t>
      </w:r>
    </w:p>
    <w:bookmarkEnd w:id="46"/>
    <w:bookmarkStart w:id="47" w:name="conclusion-1"/>
    <w:p>
      <w:pPr>
        <w:pStyle w:val="Heading1"/>
      </w:pPr>
      <w:r>
        <w:t xml:space="preserve">Conclusion</w:t>
      </w:r>
    </w:p>
    <w:bookmarkEnd w:id="47"/>
    <w:bookmarkStart w:id="85" w:name="references"/>
    <w:p>
      <w:pPr>
        <w:pStyle w:val="Heading1"/>
      </w:pPr>
      <w:r>
        <w:t xml:space="preserve">References</w:t>
      </w:r>
    </w:p>
    <w:bookmarkStart w:id="84" w:name="refs"/>
    <w:bookmarkStart w:id="49" w:name="ref-noauthor_injuries_nodate"/>
    <w:p>
      <w:pPr>
        <w:pStyle w:val="Bibliography"/>
      </w:pPr>
      <w:r>
        <w:t xml:space="preserve">1.</w:t>
      </w:r>
      <w:r>
        <w:t xml:space="preserve"> </w:t>
      </w:r>
      <w:r>
        <w:t xml:space="preserve">	</w:t>
      </w:r>
      <w:r>
        <w:t xml:space="preserve">Injuries and violence [Internet]. [cited 2024 Sep 10]. Available from:</w:t>
      </w:r>
      <w:r>
        <w:t xml:space="preserve"> </w:t>
      </w:r>
      <w:hyperlink r:id="rId48">
        <w:r>
          <w:rPr>
            <w:rStyle w:val="Hyperlink"/>
          </w:rPr>
          <w:t xml:space="preserve">https://www.who.int/news-room/fact-sheets/detail/injuries-and-violence</w:t>
        </w:r>
      </w:hyperlink>
    </w:p>
    <w:bookmarkEnd w:id="49"/>
    <w:bookmarkStart w:id="51" w:name="ref-kauvar_impact_2006"/>
    <w:p>
      <w:pPr>
        <w:pStyle w:val="Bibliography"/>
      </w:pPr>
      <w:r>
        <w:t xml:space="preserve">2.</w:t>
      </w:r>
      <w:r>
        <w:t xml:space="preserve"> </w:t>
      </w:r>
      <w:r>
        <w:t xml:space="preserve">	</w:t>
      </w:r>
      <w:r>
        <w:t xml:space="preserve">Kauvar DS, Lefering R, Wade CE. Impact of</w:t>
      </w:r>
      <w:r>
        <w:t xml:space="preserve"> </w:t>
      </w:r>
      <w:r>
        <w:t xml:space="preserve">Hemorrhage</w:t>
      </w:r>
      <w:r>
        <w:t xml:space="preserve"> </w:t>
      </w:r>
      <w:r>
        <w:t xml:space="preserve">on</w:t>
      </w:r>
      <w:r>
        <w:t xml:space="preserve"> </w:t>
      </w:r>
      <w:r>
        <w:t xml:space="preserve">Trauma</w:t>
      </w:r>
      <w:r>
        <w:t xml:space="preserve"> </w:t>
      </w:r>
      <w:r>
        <w:t xml:space="preserve">Outcome</w:t>
      </w:r>
      <w:r>
        <w:t xml:space="preserve">:</w:t>
      </w:r>
      <w:r>
        <w:t xml:space="preserve"> </w:t>
      </w:r>
      <w:r>
        <w:t xml:space="preserve">An</w:t>
      </w:r>
      <w:r>
        <w:t xml:space="preserve"> </w:t>
      </w:r>
      <w:r>
        <w:t xml:space="preserve">Overview</w:t>
      </w:r>
      <w:r>
        <w:t xml:space="preserve"> </w:t>
      </w:r>
      <w:r>
        <w:t xml:space="preserve">of</w:t>
      </w:r>
      <w:r>
        <w:t xml:space="preserve"> </w:t>
      </w:r>
      <w:r>
        <w:t xml:space="preserve">Epidemiology</w:t>
      </w:r>
      <w:r>
        <w:t xml:space="preserve">,</w:t>
      </w:r>
      <w:r>
        <w:t xml:space="preserve"> </w:t>
      </w:r>
      <w:r>
        <w:t xml:space="preserve">Clinical</w:t>
      </w:r>
      <w:r>
        <w:t xml:space="preserve"> </w:t>
      </w:r>
      <w:r>
        <w:t xml:space="preserve">Presentations</w:t>
      </w:r>
      <w:r>
        <w:t xml:space="preserve">, and</w:t>
      </w:r>
      <w:r>
        <w:t xml:space="preserve"> </w:t>
      </w:r>
      <w:r>
        <w:t xml:space="preserve">Therapeutic</w:t>
      </w:r>
      <w:r>
        <w:t xml:space="preserve"> </w:t>
      </w:r>
      <w:r>
        <w:t xml:space="preserve">Considerations</w:t>
      </w:r>
      <w:r>
        <w:t xml:space="preserve">. Journal of Trauma and Acute Care Surgery [Internet]. 2006 Jun [cited 2024 Sep 19];60(6):S3. Available from:</w:t>
      </w:r>
      <w:r>
        <w:t xml:space="preserve"> </w:t>
      </w:r>
      <w:hyperlink r:id="rId50">
        <w:r>
          <w:rPr>
            <w:rStyle w:val="Hyperlink"/>
          </w:rPr>
          <w:t xml:space="preserve">https://journals.lww.com/jtrauma/fulltext/2006/06001/impact_of_hemorrhage_on_trauma_outcome__an.2.aspx</w:t>
        </w:r>
      </w:hyperlink>
    </w:p>
    <w:bookmarkEnd w:id="51"/>
    <w:bookmarkStart w:id="53" w:name="ref-berry_shock_2015"/>
    <w:p>
      <w:pPr>
        <w:pStyle w:val="Bibliography"/>
      </w:pPr>
      <w:r>
        <w:t xml:space="preserve">3.</w:t>
      </w:r>
      <w:r>
        <w:t xml:space="preserve"> </w:t>
      </w:r>
      <w:r>
        <w:t xml:space="preserve">	</w:t>
      </w:r>
      <w:r>
        <w:t xml:space="preserve">Berry S. Shock</w:t>
      </w:r>
      <w:r>
        <w:t xml:space="preserve"> </w:t>
      </w:r>
      <w:r>
        <w:t xml:space="preserve">Management</w:t>
      </w:r>
      <w:r>
        <w:t xml:space="preserve"> </w:t>
      </w:r>
      <w:r>
        <w:t xml:space="preserve">in</w:t>
      </w:r>
      <w:r>
        <w:t xml:space="preserve"> </w:t>
      </w:r>
      <w:r>
        <w:t xml:space="preserve">Trauma</w:t>
      </w:r>
      <w:r>
        <w:t xml:space="preserve">. In: Papadakos PJ, Gestring ML, editors. Encyclopedia of</w:t>
      </w:r>
      <w:r>
        <w:t xml:space="preserve"> </w:t>
      </w:r>
      <w:r>
        <w:t xml:space="preserve">Trauma</w:t>
      </w:r>
      <w:r>
        <w:t xml:space="preserve"> </w:t>
      </w:r>
      <w:r>
        <w:t xml:space="preserve">Care</w:t>
      </w:r>
      <w:r>
        <w:t xml:space="preserve"> </w:t>
      </w:r>
      <w:r>
        <w:t xml:space="preserve">[Internet]. Berlin, Heidelberg: Springer; 2015 [cited 2024 Sep 20]. p. 1484–8. Available from:</w:t>
      </w:r>
      <w:r>
        <w:t xml:space="preserve"> </w:t>
      </w:r>
      <w:hyperlink r:id="rId52">
        <w:r>
          <w:rPr>
            <w:rStyle w:val="Hyperlink"/>
          </w:rPr>
          <w:t xml:space="preserve">https://doi.org/10.1007/978-3-642-29613-0_505</w:t>
        </w:r>
      </w:hyperlink>
    </w:p>
    <w:bookmarkEnd w:id="53"/>
    <w:bookmarkStart w:id="55" w:name="ref-teixeira_preventable_2007"/>
    <w:p>
      <w:pPr>
        <w:pStyle w:val="Bibliography"/>
      </w:pPr>
      <w:r>
        <w:t xml:space="preserve">4.</w:t>
      </w:r>
      <w:r>
        <w:t xml:space="preserve"> </w:t>
      </w:r>
      <w:r>
        <w:t xml:space="preserve">	</w:t>
      </w:r>
      <w:r>
        <w:t xml:space="preserve">Teixeira PGR, Inaba K, Hadjizacharia P, Brown C, Salim A, Rhee P, et al.</w:t>
      </w:r>
      <w:r>
        <w:t xml:space="preserve"> </w:t>
      </w:r>
      <w:hyperlink r:id="rId54">
        <w:r>
          <w:rPr>
            <w:rStyle w:val="Hyperlink"/>
          </w:rPr>
          <w:t xml:space="preserve">Preventable or potentially preventable mortality at a mature trauma center</w:t>
        </w:r>
      </w:hyperlink>
      <w:r>
        <w:t xml:space="preserve">. The Journal of Trauma. 2007 Dec;63(6):1338-1346; discussion 1346-1347.</w:t>
      </w:r>
      <w:r>
        <w:t xml:space="preserve"> </w:t>
      </w:r>
    </w:p>
    <w:bookmarkEnd w:id="55"/>
    <w:bookmarkStart w:id="57" w:name="ref-noauthor_atls_2018"/>
    <w:p>
      <w:pPr>
        <w:pStyle w:val="Bibliography"/>
      </w:pPr>
      <w:r>
        <w:t xml:space="preserve">5.</w:t>
      </w:r>
      <w:r>
        <w:t xml:space="preserve"> </w:t>
      </w:r>
      <w:r>
        <w:t xml:space="preserve">	</w:t>
      </w:r>
      <w:r>
        <w:t xml:space="preserve">ATLS</w:t>
      </w:r>
      <w:r>
        <w:t xml:space="preserve"> </w:t>
      </w:r>
      <w:r>
        <w:t xml:space="preserve">advanced trauma life support [Internet]. 10th ed. Vol. 2018. Chicago: American College of Surgeons; 2018 [cited 2024 Sep 22]. Available from:</w:t>
      </w:r>
      <w:r>
        <w:t xml:space="preserve"> </w:t>
      </w:r>
      <w:hyperlink r:id="rId56">
        <w:r>
          <w:rPr>
            <w:rStyle w:val="Hyperlink"/>
          </w:rPr>
          <w:t xml:space="preserve">https://cirugia.facmed.unam.mx/wp-content/uploads/2018/07/Advanced-Trauma-Life-Support.pdf</w:t>
        </w:r>
      </w:hyperlink>
    </w:p>
    <w:bookmarkEnd w:id="57"/>
    <w:bookmarkStart w:id="59" w:name="ref-el-menyar_review_2019"/>
    <w:p>
      <w:pPr>
        <w:pStyle w:val="Bibliography"/>
      </w:pPr>
      <w:r>
        <w:t xml:space="preserve">6.</w:t>
      </w:r>
      <w:r>
        <w:t xml:space="preserve"> </w:t>
      </w:r>
      <w:r>
        <w:t xml:space="preserve">	</w:t>
      </w:r>
      <w:r>
        <w:t xml:space="preserve">El-Menyar A, Mekkodathil A, Abdelrahman H, Latifi R, Galwankar S, Al-Thani H, et al. Review of</w:t>
      </w:r>
      <w:r>
        <w:t xml:space="preserve"> </w:t>
      </w:r>
      <w:r>
        <w:t xml:space="preserve">Existing</w:t>
      </w:r>
      <w:r>
        <w:t xml:space="preserve"> </w:t>
      </w:r>
      <w:r>
        <w:t xml:space="preserve">Scoring</w:t>
      </w:r>
      <w:r>
        <w:t xml:space="preserve"> </w:t>
      </w:r>
      <w:r>
        <w:t xml:space="preserve">Systems</w:t>
      </w:r>
      <w:r>
        <w:t xml:space="preserve"> </w:t>
      </w:r>
      <w:r>
        <w:t xml:space="preserve">for</w:t>
      </w:r>
      <w:r>
        <w:t xml:space="preserve"> </w:t>
      </w:r>
      <w:r>
        <w:t xml:space="preserve">Massive</w:t>
      </w:r>
      <w:r>
        <w:t xml:space="preserve"> </w:t>
      </w:r>
      <w:r>
        <w:t xml:space="preserve">Blood</w:t>
      </w:r>
      <w:r>
        <w:t xml:space="preserve"> </w:t>
      </w:r>
      <w:r>
        <w:t xml:space="preserve">Transfusion</w:t>
      </w:r>
      <w:r>
        <w:t xml:space="preserve"> </w:t>
      </w:r>
      <w:r>
        <w:t xml:space="preserve">in</w:t>
      </w:r>
      <w:r>
        <w:t xml:space="preserve"> </w:t>
      </w:r>
      <w:r>
        <w:t xml:space="preserve">Trauma</w:t>
      </w:r>
      <w:r>
        <w:t xml:space="preserve"> </w:t>
      </w:r>
      <w:r>
        <w:t xml:space="preserve">Patients</w:t>
      </w:r>
      <w:r>
        <w:t xml:space="preserve">:</w:t>
      </w:r>
      <w:r>
        <w:t xml:space="preserve"> </w:t>
      </w:r>
      <w:r>
        <w:t xml:space="preserve">Where</w:t>
      </w:r>
      <w:r>
        <w:t xml:space="preserve"> </w:t>
      </w:r>
      <w:r>
        <w:t xml:space="preserve">Do</w:t>
      </w:r>
      <w:r>
        <w:t xml:space="preserve"> </w:t>
      </w:r>
      <w:r>
        <w:t xml:space="preserve">We</w:t>
      </w:r>
      <w:r>
        <w:t xml:space="preserve"> </w:t>
      </w:r>
      <w:r>
        <w:t xml:space="preserve">Stand</w:t>
      </w:r>
      <w:r>
        <w:t xml:space="preserve">? Shock [Internet]. 2019 Sep [cited 2024 Oct 24];52(3):288. Available from:</w:t>
      </w:r>
      <w:r>
        <w:t xml:space="preserve"> </w:t>
      </w:r>
      <w:hyperlink r:id="rId58">
        <w:r>
          <w:rPr>
            <w:rStyle w:val="Hyperlink"/>
          </w:rPr>
          <w:t xml:space="preserve">https://journals.lww.com/shockjournal/fulltext/2019/09000/review_of_existing_scoring_systems_for_massive.2.aspx</w:t>
        </w:r>
      </w:hyperlink>
    </w:p>
    <w:bookmarkEnd w:id="59"/>
    <w:bookmarkStart w:id="61" w:name="ref-mackersie_pitfalls_2010"/>
    <w:p>
      <w:pPr>
        <w:pStyle w:val="Bibliography"/>
      </w:pPr>
      <w:r>
        <w:t xml:space="preserve">7.</w:t>
      </w:r>
      <w:r>
        <w:t xml:space="preserve"> </w:t>
      </w:r>
      <w:r>
        <w:t xml:space="preserve">	</w:t>
      </w:r>
      <w:r>
        <w:t xml:space="preserve">Mackersie RC. Pitfalls in the</w:t>
      </w:r>
      <w:r>
        <w:t xml:space="preserve"> </w:t>
      </w:r>
      <w:r>
        <w:t xml:space="preserve">Evaluation</w:t>
      </w:r>
      <w:r>
        <w:t xml:space="preserve"> </w:t>
      </w:r>
      <w:r>
        <w:t xml:space="preserve">and</w:t>
      </w:r>
      <w:r>
        <w:t xml:space="preserve"> </w:t>
      </w:r>
      <w:r>
        <w:t xml:space="preserve">Resuscitation</w:t>
      </w:r>
      <w:r>
        <w:t xml:space="preserve"> </w:t>
      </w:r>
      <w:r>
        <w:t xml:space="preserve">of the</w:t>
      </w:r>
      <w:r>
        <w:t xml:space="preserve"> </w:t>
      </w:r>
      <w:r>
        <w:t xml:space="preserve">Trauma</w:t>
      </w:r>
      <w:r>
        <w:t xml:space="preserve"> </w:t>
      </w:r>
      <w:r>
        <w:t xml:space="preserve">Patient</w:t>
      </w:r>
      <w:r>
        <w:t xml:space="preserve">. Emergency Medicine Clinics of North America [Internet]. 2010 Feb [cited 2024 Sep 10];28(1):1–27. Available from:</w:t>
      </w:r>
      <w:r>
        <w:t xml:space="preserve"> </w:t>
      </w:r>
      <w:hyperlink r:id="rId60">
        <w:r>
          <w:rPr>
            <w:rStyle w:val="Hyperlink"/>
          </w:rPr>
          <w:t xml:space="preserve">https://www.sciencedirect.com/science/article/pii/S0733862709001199</w:t>
        </w:r>
      </w:hyperlink>
    </w:p>
    <w:bookmarkEnd w:id="61"/>
    <w:bookmarkStart w:id="63" w:name="ref-ivatury_patient_2008"/>
    <w:p>
      <w:pPr>
        <w:pStyle w:val="Bibliography"/>
      </w:pPr>
      <w:r>
        <w:t xml:space="preserve">8.</w:t>
      </w:r>
      <w:r>
        <w:t xml:space="preserve"> </w:t>
      </w:r>
      <w:r>
        <w:t xml:space="preserve">	</w:t>
      </w:r>
      <w:r>
        <w:t xml:space="preserve">Ivatury RR, Guilford K, Malhotra AK, Duane T, Aboutanos M, Martin N.</w:t>
      </w:r>
      <w:r>
        <w:t xml:space="preserve"> </w:t>
      </w:r>
      <w:hyperlink r:id="rId62">
        <w:r>
          <w:rPr>
            <w:rStyle w:val="Hyperlink"/>
          </w:rPr>
          <w:t xml:space="preserve">Patient safety in trauma: Maximal impact management errors at a level</w:t>
        </w:r>
        <w:r>
          <w:rPr>
            <w:rStyle w:val="Hyperlink"/>
          </w:rPr>
          <w:t xml:space="preserve"> </w:t>
        </w:r>
        <w:r>
          <w:rPr>
            <w:rStyle w:val="Hyperlink"/>
          </w:rPr>
          <w:t xml:space="preserve">I</w:t>
        </w:r>
        <w:r>
          <w:rPr>
            <w:rStyle w:val="Hyperlink"/>
          </w:rPr>
          <w:t xml:space="preserve"> </w:t>
        </w:r>
        <w:r>
          <w:rPr>
            <w:rStyle w:val="Hyperlink"/>
          </w:rPr>
          <w:t xml:space="preserve">trauma center</w:t>
        </w:r>
      </w:hyperlink>
      <w:r>
        <w:t xml:space="preserve">. The Journal of Trauma. 2008 Feb;64(2):265-270; discussion 270-272.</w:t>
      </w:r>
      <w:r>
        <w:t xml:space="preserve"> </w:t>
      </w:r>
    </w:p>
    <w:bookmarkEnd w:id="63"/>
    <w:bookmarkStart w:id="65" w:name="X9db8e71a0533962266d08f8a7d5abffdfc5204c"/>
    <w:p>
      <w:pPr>
        <w:pStyle w:val="Bibliography"/>
      </w:pPr>
      <w:r>
        <w:t xml:space="preserve">9.</w:t>
      </w:r>
      <w:r>
        <w:t xml:space="preserve"> </w:t>
      </w:r>
      <w:r>
        <w:t xml:space="preserve">	</w:t>
      </w:r>
      <w:r>
        <w:t xml:space="preserve">World Health Organization. Guidelines for trauma quality improvement programmes. 2009 [cited 2024 Sep 20];104. Available from:</w:t>
      </w:r>
      <w:r>
        <w:t xml:space="preserve"> </w:t>
      </w:r>
      <w:hyperlink r:id="rId64">
        <w:r>
          <w:rPr>
            <w:rStyle w:val="Hyperlink"/>
          </w:rPr>
          <w:t xml:space="preserve">https://iris.who.int/handle/10665/44061</w:t>
        </w:r>
      </w:hyperlink>
    </w:p>
    <w:bookmarkEnd w:id="65"/>
    <w:bookmarkStart w:id="67" w:name="ref-juillard_establishing_2009"/>
    <w:p>
      <w:pPr>
        <w:pStyle w:val="Bibliography"/>
      </w:pPr>
      <w:r>
        <w:t xml:space="preserve">10.</w:t>
      </w:r>
      <w:r>
        <w:t xml:space="preserve"> </w:t>
      </w:r>
      <w:r>
        <w:t xml:space="preserve">	</w:t>
      </w:r>
      <w:r>
        <w:t xml:space="preserve">Juillard CJ, Mock C, Goosen J, Joshipura M, Civil I.</w:t>
      </w:r>
      <w:r>
        <w:t xml:space="preserve"> </w:t>
      </w:r>
      <w:hyperlink r:id="rId66">
        <w:r>
          <w:rPr>
            <w:rStyle w:val="Hyperlink"/>
          </w:rPr>
          <w:t xml:space="preserve">Establishing the evidence base for trauma quality improvement: A collaborative</w:t>
        </w:r>
        <w:r>
          <w:rPr>
            <w:rStyle w:val="Hyperlink"/>
          </w:rPr>
          <w:t xml:space="preserve"> </w:t>
        </w:r>
        <w:r>
          <w:rPr>
            <w:rStyle w:val="Hyperlink"/>
          </w:rPr>
          <w:t xml:space="preserve">WHO</w:t>
        </w:r>
        <w:r>
          <w:rPr>
            <w:rStyle w:val="Hyperlink"/>
          </w:rPr>
          <w:t xml:space="preserve">-</w:t>
        </w:r>
        <w:r>
          <w:rPr>
            <w:rStyle w:val="Hyperlink"/>
          </w:rPr>
          <w:t xml:space="preserve">IATSIC</w:t>
        </w:r>
        <w:r>
          <w:rPr>
            <w:rStyle w:val="Hyperlink"/>
          </w:rPr>
          <w:t xml:space="preserve"> </w:t>
        </w:r>
        <w:r>
          <w:rPr>
            <w:rStyle w:val="Hyperlink"/>
          </w:rPr>
          <w:t xml:space="preserve">review</w:t>
        </w:r>
      </w:hyperlink>
      <w:r>
        <w:t xml:space="preserve">. World Journal of Surgery. 2009 May;33(5):1075–86.</w:t>
      </w:r>
      <w:r>
        <w:t xml:space="preserve"> </w:t>
      </w:r>
    </w:p>
    <w:bookmarkEnd w:id="67"/>
    <w:bookmarkStart w:id="69" w:name="ref-hashmi_hospital-based_2013"/>
    <w:p>
      <w:pPr>
        <w:pStyle w:val="Bibliography"/>
      </w:pPr>
      <w:r>
        <w:t xml:space="preserve">11.</w:t>
      </w:r>
      <w:r>
        <w:t xml:space="preserve"> </w:t>
      </w:r>
      <w:r>
        <w:t xml:space="preserve">	</w:t>
      </w:r>
      <w:r>
        <w:t xml:space="preserve">Hashmi ZG, Haider AH, Zafar SN, Kisat M, Moosa A, Siddiqui F, et al.</w:t>
      </w:r>
      <w:r>
        <w:t xml:space="preserve"> </w:t>
      </w:r>
      <w:hyperlink r:id="rId68">
        <w:r>
          <w:rPr>
            <w:rStyle w:val="Hyperlink"/>
          </w:rPr>
          <w:t xml:space="preserve">Hospital-based trauma quality improvement initiatives: First step toward improving trauma outcomes in the developing world</w:t>
        </w:r>
      </w:hyperlink>
      <w:r>
        <w:t xml:space="preserve">. The Journal of Trauma and Acute Care Surgery. 2013 Jul;75(1):60–68; discussion 68.</w:t>
      </w:r>
      <w:r>
        <w:t xml:space="preserve"> </w:t>
      </w:r>
    </w:p>
    <w:bookmarkEnd w:id="69"/>
    <w:bookmarkStart w:id="71" w:name="ref-donabedian_quality_1988"/>
    <w:p>
      <w:pPr>
        <w:pStyle w:val="Bibliography"/>
      </w:pPr>
      <w:r>
        <w:t xml:space="preserve">12.</w:t>
      </w:r>
      <w:r>
        <w:t xml:space="preserve"> </w:t>
      </w:r>
      <w:r>
        <w:t xml:space="preserve">	</w:t>
      </w:r>
      <w:r>
        <w:t xml:space="preserve">Donabedian A. The</w:t>
      </w:r>
      <w:r>
        <w:t xml:space="preserve"> </w:t>
      </w:r>
      <w:r>
        <w:t xml:space="preserve">Quality</w:t>
      </w:r>
      <w:r>
        <w:t xml:space="preserve"> </w:t>
      </w:r>
      <w:r>
        <w:t xml:space="preserve">of</w:t>
      </w:r>
      <w:r>
        <w:t xml:space="preserve"> </w:t>
      </w:r>
      <w:r>
        <w:t xml:space="preserve">Care</w:t>
      </w:r>
      <w:r>
        <w:t xml:space="preserve">:</w:t>
      </w:r>
      <w:r>
        <w:t xml:space="preserve"> </w:t>
      </w:r>
      <w:r>
        <w:t xml:space="preserve">How</w:t>
      </w:r>
      <w:r>
        <w:t xml:space="preserve"> </w:t>
      </w:r>
      <w:r>
        <w:t xml:space="preserve">Can</w:t>
      </w:r>
      <w:r>
        <w:t xml:space="preserve"> </w:t>
      </w:r>
      <w:r>
        <w:t xml:space="preserve">It</w:t>
      </w:r>
      <w:r>
        <w:t xml:space="preserve"> </w:t>
      </w:r>
      <w:r>
        <w:t xml:space="preserve">Be</w:t>
      </w:r>
      <w:r>
        <w:t xml:space="preserve"> </w:t>
      </w:r>
      <w:r>
        <w:t xml:space="preserve">Assessed</w:t>
      </w:r>
      <w:r>
        <w:t xml:space="preserve">? JAMA [Internet]. 1988 Sep [cited 2024 Sep 19];260(12):1743–8. Available from:</w:t>
      </w:r>
      <w:r>
        <w:t xml:space="preserve"> </w:t>
      </w:r>
      <w:hyperlink r:id="rId70">
        <w:r>
          <w:rPr>
            <w:rStyle w:val="Hyperlink"/>
          </w:rPr>
          <w:t xml:space="preserve">https://doi.org/10.1001/jama.1988.03410120089033</w:t>
        </w:r>
      </w:hyperlink>
    </w:p>
    <w:bookmarkEnd w:id="71"/>
    <w:bookmarkStart w:id="73" w:name="ref-vang_shock_2022"/>
    <w:p>
      <w:pPr>
        <w:pStyle w:val="Bibliography"/>
      </w:pPr>
      <w:r>
        <w:t xml:space="preserve">13.</w:t>
      </w:r>
      <w:r>
        <w:t xml:space="preserve"> </w:t>
      </w:r>
      <w:r>
        <w:t xml:space="preserve">	</w:t>
      </w:r>
      <w:r>
        <w:t xml:space="preserve">Vang M, Østberg M, Steinmetz J, Rasmussen LS.</w:t>
      </w:r>
      <w:r>
        <w:t xml:space="preserve"> </w:t>
      </w:r>
      <w:hyperlink r:id="rId72">
        <w:r>
          <w:rPr>
            <w:rStyle w:val="Hyperlink"/>
          </w:rPr>
          <w:t xml:space="preserve">Shock index as a predictor for mortality in trauma patients: A systematic review and meta-analysis</w:t>
        </w:r>
      </w:hyperlink>
      <w:r>
        <w:t xml:space="preserve">. European Journal of Trauma and Emergency Surgery: Official Publication of the European Trauma Society. 2022 Aug;48(4):2559–66.</w:t>
      </w:r>
      <w:r>
        <w:t xml:space="preserve"> </w:t>
      </w:r>
    </w:p>
    <w:bookmarkEnd w:id="73"/>
    <w:bookmarkStart w:id="75" w:name="ref-tisherman_detailed_2015"/>
    <w:p>
      <w:pPr>
        <w:pStyle w:val="Bibliography"/>
      </w:pPr>
      <w:r>
        <w:t xml:space="preserve">14.</w:t>
      </w:r>
      <w:r>
        <w:t xml:space="preserve"> </w:t>
      </w:r>
      <w:r>
        <w:t xml:space="preserve">	</w:t>
      </w:r>
      <w:r>
        <w:t xml:space="preserve">Tisherman SA, Schmicker RH, Brasel KJ, Bulger EM, Kerby JD, Minei JP, et al.</w:t>
      </w:r>
      <w:r>
        <w:t xml:space="preserve"> </w:t>
      </w:r>
      <w:hyperlink r:id="rId74">
        <w:r>
          <w:rPr>
            <w:rStyle w:val="Hyperlink"/>
          </w:rPr>
          <w:t xml:space="preserve">Detailed description of all deaths in both the shock and traumatic brain injury hypertonic saline trials of the</w:t>
        </w:r>
        <w:r>
          <w:rPr>
            <w:rStyle w:val="Hyperlink"/>
          </w:rPr>
          <w:t xml:space="preserve"> </w:t>
        </w:r>
        <w:r>
          <w:rPr>
            <w:rStyle w:val="Hyperlink"/>
          </w:rPr>
          <w:t xml:space="preserve">Resuscitation</w:t>
        </w:r>
        <w:r>
          <w:rPr>
            <w:rStyle w:val="Hyperlink"/>
          </w:rPr>
          <w:t xml:space="preserve"> </w:t>
        </w:r>
        <w:r>
          <w:rPr>
            <w:rStyle w:val="Hyperlink"/>
          </w:rPr>
          <w:t xml:space="preserve">Outcomes</w:t>
        </w:r>
        <w:r>
          <w:rPr>
            <w:rStyle w:val="Hyperlink"/>
          </w:rPr>
          <w:t xml:space="preserve"> </w:t>
        </w:r>
        <w:r>
          <w:rPr>
            <w:rStyle w:val="Hyperlink"/>
          </w:rPr>
          <w:t xml:space="preserve">Consortium</w:t>
        </w:r>
      </w:hyperlink>
      <w:r>
        <w:t xml:space="preserve">. Annals of Surgery. 2015 Mar;261(3):586–90.</w:t>
      </w:r>
      <w:r>
        <w:t xml:space="preserve"> </w:t>
      </w:r>
    </w:p>
    <w:bookmarkEnd w:id="75"/>
    <w:bookmarkStart w:id="77" w:name="ref-eastridge_hypotension_2007"/>
    <w:p>
      <w:pPr>
        <w:pStyle w:val="Bibliography"/>
      </w:pPr>
      <w:r>
        <w:t xml:space="preserve">15.</w:t>
      </w:r>
      <w:r>
        <w:t xml:space="preserve"> </w:t>
      </w:r>
      <w:r>
        <w:t xml:space="preserve">	</w:t>
      </w:r>
      <w:r>
        <w:t xml:space="preserve">Eastridge BJ, Salinas J, McManus JG, Blackburn L, Bugler EM, Cooke WH, et al.</w:t>
      </w:r>
      <w:r>
        <w:t xml:space="preserve"> </w:t>
      </w:r>
      <w:hyperlink r:id="rId76">
        <w:r>
          <w:rPr>
            <w:rStyle w:val="Hyperlink"/>
          </w:rPr>
          <w:t xml:space="preserve">Hypotension begins at 110 mm</w:t>
        </w:r>
        <w:r>
          <w:rPr>
            <w:rStyle w:val="Hyperlink"/>
          </w:rPr>
          <w:t xml:space="preserve"> </w:t>
        </w:r>
        <w:r>
          <w:rPr>
            <w:rStyle w:val="Hyperlink"/>
          </w:rPr>
          <w:t xml:space="preserve">Hg</w:t>
        </w:r>
        <w:r>
          <w:rPr>
            <w:rStyle w:val="Hyperlink"/>
          </w:rPr>
          <w:t xml:space="preserve">: Redefining "hypotension" with data</w:t>
        </w:r>
      </w:hyperlink>
      <w:r>
        <w:t xml:space="preserve">. The Journal of Trauma. 2007 Aug;63(2):291-297; discussion 297-299.</w:t>
      </w:r>
      <w:r>
        <w:t xml:space="preserve"> </w:t>
      </w:r>
    </w:p>
    <w:bookmarkEnd w:id="77"/>
    <w:bookmarkStart w:id="79" w:name="ref-oyetunji_redefining_2011"/>
    <w:p>
      <w:pPr>
        <w:pStyle w:val="Bibliography"/>
      </w:pPr>
      <w:r>
        <w:t xml:space="preserve">16.</w:t>
      </w:r>
      <w:r>
        <w:t xml:space="preserve"> </w:t>
      </w:r>
      <w:r>
        <w:t xml:space="preserve">	</w:t>
      </w:r>
      <w:r>
        <w:t xml:space="preserve">Oyetunji TA, Chang DC, Crompton JG, Greene WR, Efron DT, Haut ER, et al.</w:t>
      </w:r>
      <w:r>
        <w:t xml:space="preserve"> </w:t>
      </w:r>
      <w:hyperlink r:id="rId78">
        <w:r>
          <w:rPr>
            <w:rStyle w:val="Hyperlink"/>
          </w:rPr>
          <w:t xml:space="preserve">Redefining hypotension in the elderly: Normotension is not reassuring</w:t>
        </w:r>
      </w:hyperlink>
      <w:r>
        <w:t xml:space="preserve">. Archives of Surgery (Chicago, Ill: 1960). 2011 Jul;146(7):865–9.</w:t>
      </w:r>
      <w:r>
        <w:t xml:space="preserve"> </w:t>
      </w:r>
    </w:p>
    <w:bookmarkEnd w:id="79"/>
    <w:bookmarkStart w:id="81" w:name="ref-mutschler_critical_2013"/>
    <w:p>
      <w:pPr>
        <w:pStyle w:val="Bibliography"/>
      </w:pPr>
      <w:r>
        <w:t xml:space="preserve">17.</w:t>
      </w:r>
      <w:r>
        <w:t xml:space="preserve"> </w:t>
      </w:r>
      <w:r>
        <w:t xml:space="preserve">	</w:t>
      </w:r>
      <w:r>
        <w:t xml:space="preserve">Mutschler M, Nienaber U, Brockamp T, Wafaisade A, Wyen H, Peiniger S, et al. A critical reappraisal of the</w:t>
      </w:r>
      <w:r>
        <w:t xml:space="preserve"> </w:t>
      </w:r>
      <w:r>
        <w:t xml:space="preserve">ATLS</w:t>
      </w:r>
      <w:r>
        <w:t xml:space="preserve"> </w:t>
      </w:r>
      <w:r>
        <w:t xml:space="preserve">classification of hypovolaemic shock:</w:t>
      </w:r>
      <w:r>
        <w:t xml:space="preserve"> </w:t>
      </w:r>
      <w:r>
        <w:t xml:space="preserve">Does</w:t>
      </w:r>
      <w:r>
        <w:t xml:space="preserve"> </w:t>
      </w:r>
      <w:r>
        <w:t xml:space="preserve">it really reflect clinical reality? Resuscitation [Internet]. 2013 Mar [cited 2024 Oct 24];84(3):309–13. Available from:</w:t>
      </w:r>
      <w:r>
        <w:t xml:space="preserve"> </w:t>
      </w:r>
      <w:hyperlink r:id="rId80">
        <w:r>
          <w:rPr>
            <w:rStyle w:val="Hyperlink"/>
          </w:rPr>
          <w:t xml:space="preserve">https://www.sciencedirect.com/science/article/pii/S0300957212003693</w:t>
        </w:r>
      </w:hyperlink>
    </w:p>
    <w:bookmarkEnd w:id="81"/>
    <w:bookmarkStart w:id="83" w:name="ref-mutschler_renaissance_2013"/>
    <w:p>
      <w:pPr>
        <w:pStyle w:val="Bibliography"/>
      </w:pPr>
      <w:r>
        <w:t xml:space="preserve">18.</w:t>
      </w:r>
      <w:r>
        <w:t xml:space="preserve"> </w:t>
      </w:r>
      <w:r>
        <w:t xml:space="preserve">	</w:t>
      </w:r>
      <w:r>
        <w:t xml:space="preserve">Mutschler M, Nienaber U, Brockamp T, Wafaisade A, Fabian T, Paffrath T, et al. Renaissance of base deficit for the initial assessment of trauma patients: A base deficit-based classification for hypovolemic shock developed on data from 16,305 patients derived from the</w:t>
      </w:r>
      <w:r>
        <w:t xml:space="preserve"> </w:t>
      </w:r>
      <w:r>
        <w:t xml:space="preserve">TraumaRegister</w:t>
      </w:r>
      <w:r>
        <w:t xml:space="preserve"> </w:t>
      </w:r>
      <w:r>
        <w:t xml:space="preserve">DGU</w:t>
      </w:r>
      <w:r>
        <w:t xml:space="preserve">®. Critical Care [Internet]. 2013 Mar [cited 2024 Oct 24];17(2):R42. Available from:</w:t>
      </w:r>
      <w:r>
        <w:t xml:space="preserve"> </w:t>
      </w:r>
      <w:hyperlink r:id="rId82">
        <w:r>
          <w:rPr>
            <w:rStyle w:val="Hyperlink"/>
          </w:rPr>
          <w:t xml:space="preserve">https://pmc.ncbi.nlm.nih.gov/articles/PMC3672480/</w:t>
        </w:r>
      </w:hyperlink>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cirugia.facmed.unam.mx/wp-content/uploads/2018/07/Advanced-Trauma-Life-Support.pdf" TargetMode="External" /><Relationship Type="http://schemas.openxmlformats.org/officeDocument/2006/relationships/hyperlink" Id="rId78" Target="https://doi.org/10.1001/archsurg.2011.154" TargetMode="External" /><Relationship Type="http://schemas.openxmlformats.org/officeDocument/2006/relationships/hyperlink" Id="rId70" Target="https://doi.org/10.1001/jama.1988.03410120089033" TargetMode="External" /><Relationship Type="http://schemas.openxmlformats.org/officeDocument/2006/relationships/hyperlink" Id="rId52" Target="https://doi.org/10.1007/978-3-642-29613-0_505" TargetMode="External" /><Relationship Type="http://schemas.openxmlformats.org/officeDocument/2006/relationships/hyperlink" Id="rId72" Target="https://doi.org/10.1007/s00068-022-01932-z" TargetMode="External" /><Relationship Type="http://schemas.openxmlformats.org/officeDocument/2006/relationships/hyperlink" Id="rId66" Target="https://doi.org/10.1007/s00268-009-9959-8" TargetMode="External" /><Relationship Type="http://schemas.openxmlformats.org/officeDocument/2006/relationships/hyperlink" Id="rId74" Target="https://doi.org/10.1097/SLA.0000000000000837" TargetMode="External" /><Relationship Type="http://schemas.openxmlformats.org/officeDocument/2006/relationships/hyperlink" Id="rId76" Target="https://doi.org/10.1097/TA.0b013e31809ed924" TargetMode="External" /><Relationship Type="http://schemas.openxmlformats.org/officeDocument/2006/relationships/hyperlink" Id="rId54" Target="https://doi.org/10.1097/TA.0b013e31815078ae" TargetMode="External" /><Relationship Type="http://schemas.openxmlformats.org/officeDocument/2006/relationships/hyperlink" Id="rId62" Target="https://doi.org/10.1097/TA.0b013e318163359d" TargetMode="External" /><Relationship Type="http://schemas.openxmlformats.org/officeDocument/2006/relationships/hyperlink" Id="rId68" Target="https://doi.org/10.1097/TA.0b013e31829880a0" TargetMode="External" /><Relationship Type="http://schemas.openxmlformats.org/officeDocument/2006/relationships/hyperlink" Id="rId64" Target="https://iris.who.int/handle/10665/44061" TargetMode="External" /><Relationship Type="http://schemas.openxmlformats.org/officeDocument/2006/relationships/hyperlink" Id="rId50" Target="https://journals.lww.com/jtrauma/fulltext/2006/06001/impact_of_hemorrhage_on_trauma_outcome__an.2.aspx" TargetMode="External" /><Relationship Type="http://schemas.openxmlformats.org/officeDocument/2006/relationships/hyperlink" Id="rId58" Target="https://journals.lww.com/shockjournal/fulltext/2019/09000/review_of_existing_scoring_systems_for_massive.2.aspx" TargetMode="External" /><Relationship Type="http://schemas.openxmlformats.org/officeDocument/2006/relationships/hyperlink" Id="rId82" Target="https://pmc.ncbi.nlm.nih.gov/articles/PMC3672480/" TargetMode="External" /><Relationship Type="http://schemas.openxmlformats.org/officeDocument/2006/relationships/hyperlink" Id="rId80" Target="https://www.sciencedirect.com/science/article/pii/S0300957212003693" TargetMode="External" /><Relationship Type="http://schemas.openxmlformats.org/officeDocument/2006/relationships/hyperlink" Id="rId60" Target="https://www.sciencedirect.com/science/article/pii/S0733862709001199" TargetMode="External" /><Relationship Type="http://schemas.openxmlformats.org/officeDocument/2006/relationships/hyperlink" Id="rId48" Target="https://www.who.int/news-room/fact-sheets/detail/injuries-and-violence" TargetMode="External" /></Relationships>
</file>

<file path=word/_rels/footnotes.xml.rels><?xml version="1.0" encoding="UTF-8"?><Relationships xmlns="http://schemas.openxmlformats.org/package/2006/relationships"><Relationship Type="http://schemas.openxmlformats.org/officeDocument/2006/relationships/hyperlink" Id="rId56" Target="https://cirugia.facmed.unam.mx/wp-content/uploads/2018/07/Advanced-Trauma-Life-Support.pdf" TargetMode="External" /><Relationship Type="http://schemas.openxmlformats.org/officeDocument/2006/relationships/hyperlink" Id="rId78" Target="https://doi.org/10.1001/archsurg.2011.154" TargetMode="External" /><Relationship Type="http://schemas.openxmlformats.org/officeDocument/2006/relationships/hyperlink" Id="rId70" Target="https://doi.org/10.1001/jama.1988.03410120089033" TargetMode="External" /><Relationship Type="http://schemas.openxmlformats.org/officeDocument/2006/relationships/hyperlink" Id="rId52" Target="https://doi.org/10.1007/978-3-642-29613-0_505" TargetMode="External" /><Relationship Type="http://schemas.openxmlformats.org/officeDocument/2006/relationships/hyperlink" Id="rId72" Target="https://doi.org/10.1007/s00068-022-01932-z" TargetMode="External" /><Relationship Type="http://schemas.openxmlformats.org/officeDocument/2006/relationships/hyperlink" Id="rId66" Target="https://doi.org/10.1007/s00268-009-9959-8" TargetMode="External" /><Relationship Type="http://schemas.openxmlformats.org/officeDocument/2006/relationships/hyperlink" Id="rId74" Target="https://doi.org/10.1097/SLA.0000000000000837" TargetMode="External" /><Relationship Type="http://schemas.openxmlformats.org/officeDocument/2006/relationships/hyperlink" Id="rId76" Target="https://doi.org/10.1097/TA.0b013e31809ed924" TargetMode="External" /><Relationship Type="http://schemas.openxmlformats.org/officeDocument/2006/relationships/hyperlink" Id="rId54" Target="https://doi.org/10.1097/TA.0b013e31815078ae" TargetMode="External" /><Relationship Type="http://schemas.openxmlformats.org/officeDocument/2006/relationships/hyperlink" Id="rId62" Target="https://doi.org/10.1097/TA.0b013e318163359d" TargetMode="External" /><Relationship Type="http://schemas.openxmlformats.org/officeDocument/2006/relationships/hyperlink" Id="rId68" Target="https://doi.org/10.1097/TA.0b013e31829880a0" TargetMode="External" /><Relationship Type="http://schemas.openxmlformats.org/officeDocument/2006/relationships/hyperlink" Id="rId64" Target="https://iris.who.int/handle/10665/44061" TargetMode="External" /><Relationship Type="http://schemas.openxmlformats.org/officeDocument/2006/relationships/hyperlink" Id="rId50" Target="https://journals.lww.com/jtrauma/fulltext/2006/06001/impact_of_hemorrhage_on_trauma_outcome__an.2.aspx" TargetMode="External" /><Relationship Type="http://schemas.openxmlformats.org/officeDocument/2006/relationships/hyperlink" Id="rId58" Target="https://journals.lww.com/shockjournal/fulltext/2019/09000/review_of_existing_scoring_systems_for_massive.2.aspx" TargetMode="External" /><Relationship Type="http://schemas.openxmlformats.org/officeDocument/2006/relationships/hyperlink" Id="rId82" Target="https://pmc.ncbi.nlm.nih.gov/articles/PMC3672480/" TargetMode="External" /><Relationship Type="http://schemas.openxmlformats.org/officeDocument/2006/relationships/hyperlink" Id="rId80" Target="https://www.sciencedirect.com/science/article/pii/S0300957212003693" TargetMode="External" /><Relationship Type="http://schemas.openxmlformats.org/officeDocument/2006/relationships/hyperlink" Id="rId60" Target="https://www.sciencedirect.com/science/article/pii/S0733862709001199" TargetMode="External" /><Relationship Type="http://schemas.openxmlformats.org/officeDocument/2006/relationships/hyperlink" Id="rId48" Target="https://www.who.int/news-room/fact-sheets/detail/injuries-and-viol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Opportunities for improvement in the care of adult trauma patients arriving in shock</dc:title>
  <dc:creator>Carl Skog</dc:creator>
  <cp:keywords/>
  <dcterms:created xsi:type="dcterms:W3CDTF">2024-11-28T07:40:48Z</dcterms:created>
  <dcterms:modified xsi:type="dcterms:W3CDTF">2024-11-28T07:40:48Z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