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Your</w:t>
      </w:r>
      <w:r>
        <w:t xml:space="preserve"> </w:t>
      </w:r>
      <w:r>
        <w:t xml:space="preserve">name</w:t>
      </w:r>
      <w:r>
        <w:t xml:space="preserve"> </w:t>
      </w:r>
      <w:r>
        <w:t xml:space="preserve">here</w:t>
      </w:r>
    </w:p>
    <w:bookmarkStart w:id="26"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milion death and affects hundreds of millions each year, among those younger populations are the most affected</w:t>
      </w:r>
      <w:r>
        <w:t xml:space="preserve">(1)</w:t>
      </w:r>
      <w:r>
        <w:t xml:space="preserve">. Globally low and middle income countries are disproportionately affected, but high income countries like Sweden also face considerable challenges(källa).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p>
    <w:bookmarkEnd w:id="20"/>
    <w:bookmarkStart w:id="21" w:name="trauma"/>
    <w:p>
      <w:pPr>
        <w:pStyle w:val="Heading2"/>
      </w:pPr>
      <w:r>
        <w:t xml:space="preserve">Trauma</w:t>
      </w:r>
    </w:p>
    <w:p>
      <w:pPr>
        <w:pStyle w:val="FirstParagraph"/>
      </w:pPr>
      <w:r>
        <w:t xml:space="preserve">Trauma are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w:t>
      </w:r>
    </w:p>
    <w:p>
      <w:pPr>
        <w:pStyle w:val="BodyText"/>
      </w:pPr>
      <w:r>
        <w:t xml:space="preserve">Penetrating trauma on the other hand are often caused by gunshots or stab wounds</w:t>
      </w:r>
      <w:r>
        <w:t xml:space="preserve">(4)</w:t>
      </w:r>
      <w:r>
        <w:t xml:space="preserve">. The most common location is thorax and injuries there can lead to damage of the lungs and heart, which in turn interfere with breathing and circulation, such as pneumo/hemothorax and cardiac tamponade.</w:t>
      </w:r>
    </w:p>
    <w:p>
      <w:pPr>
        <w:pStyle w:val="BodyText"/>
      </w:pPr>
      <w:r>
        <w:t xml:space="preserve">A consequence of both types of trauma is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differentiate the severity of trauma shock, we can divide it into different degrees. One of such classification is the ATLS classification for major haemorrhage. ATLS stratifies patients into four classes, based on the patients: estimated blood loss, heart frequency (HF), bloodpressure (BP), pulse pressure, respiratory rate (RR), mental status and urine output</w:t>
      </w:r>
      <w:r>
        <w:t xml:space="preserve">(9)</w:t>
      </w:r>
      <w:r>
        <w:t xml:space="preserve">. However, this only meant to be used for hypovolemic shocks and not the other types. There is other classifications for predicting massive transfusion (TASH,TBSS, ABC), triaging (RETTS) or tracking the clinical deterioration of patients (NEWS2). The common denominator for these classifications is they are all roughly based on vital parameters, however none of them is specifically designed to classify trauma shock degree regardless of the type/cause of shock. ATLS in this regard, even though having its own shortcomings, still is one of the common classifications and part of the student course manual of the internationally accepted ATLS trauma management system[</w:t>
      </w:r>
      <w:r>
        <w:t xml:space="preserve">(10)</w:t>
      </w:r>
      <w:r>
        <w:t xml:space="preserve">]</w:t>
      </w:r>
      <w:r>
        <w:t xml:space="preserve">(9)</w:t>
      </w:r>
      <w:r>
        <w:t xml:space="preserve">.</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(11)</w:t>
      </w:r>
      <w:r>
        <w:t xml:space="preserve">]</w:t>
      </w:r>
      <w:r>
        <w:t xml:space="preserve">(7)</w:t>
      </w:r>
      <w:r>
        <w:t xml:space="preserve">(12)</w:t>
      </w:r>
      <w:r>
        <w:t xml:space="preserve">, and shock is the most common potentially preventable death within the first 24 hour of injury</w:t>
      </w:r>
      <w:r>
        <w:t xml:space="preserve">(13)</w:t>
      </w:r>
      <w:r>
        <w:t xml:space="preserve">, as the midian time to death is 2 hours</w:t>
      </w:r>
      <w:r>
        <w:t xml:space="preserve">(14)</w:t>
      </w:r>
      <w:r>
        <w:t xml:space="preserve">. To address these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(15)</w:t>
      </w:r>
      <w:r>
        <w:t xml:space="preserve">. By implementing formal quality measures and conducting collaborative case reviews, QI programs have strengthened trauma systems and improved patient outcomes in various settings globally[</w:t>
      </w:r>
      <w:r>
        <w:t xml:space="preserve">(16)</w:t>
      </w:r>
      <w:r>
        <w:t xml:space="preserve">]</w:t>
      </w:r>
      <w:r>
        <w:t xml:space="preserve">(17)</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(15)</w:t>
      </w:r>
      <w:r>
        <w:t xml:space="preserve">. In order for the review content to be as comprehensive as possible for trauma care, the Donabedian quality of care framework can be used</w:t>
      </w:r>
      <w:r>
        <w:t xml:space="preserve">(18)</w:t>
      </w:r>
      <w:r>
        <w:t xml:space="preserve">. It is based on the three factors of structure, process and outcome. By following this framework, healthcare providers will be able to systematically find and address OFIs[källa?]. This will in turn improve the effectiveness of trauma care, directly impacting mortality and morbidity[källa?/8].</w:t>
      </w:r>
    </w:p>
    <w:bookmarkEnd w:id="24"/>
    <w:bookmarkStart w:id="25"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5"/>
    <w:bookmarkEnd w:id="26"/>
    <w:bookmarkStart w:id="35" w:name="methods"/>
    <w:p>
      <w:pPr>
        <w:pStyle w:val="Heading1"/>
      </w:pPr>
      <w:r>
        <w:t xml:space="preserve">Methods</w:t>
      </w:r>
    </w:p>
    <w:bookmarkStart w:id="27" w:name="study-design"/>
    <w:p>
      <w:pPr>
        <w:pStyle w:val="Heading2"/>
      </w:pPr>
      <w:r>
        <w:t xml:space="preserve">Study design</w:t>
      </w:r>
    </w:p>
    <w:p>
      <w:pPr>
        <w:pStyle w:val="FirstParagraph"/>
      </w:pPr>
      <w:r>
        <w:t xml:space="preserve">We conducted a registry based retrospective cohort study, using data from the trauma registry and trauma care quality database at the Karolinska University Hospital in Solna.</w:t>
      </w:r>
    </w:p>
    <w:bookmarkEnd w:id="27"/>
    <w:bookmarkStart w:id="28" w:name="setting"/>
    <w:p>
      <w:pPr>
        <w:pStyle w:val="Heading2"/>
      </w:pPr>
      <w:r>
        <w:t xml:space="preserve">Setting</w:t>
      </w:r>
    </w:p>
    <w:p>
      <w:pPr>
        <w:pStyle w:val="FirstParagraph"/>
      </w:pPr>
      <w:r>
        <w:t xml:space="preserve">The trauma registry includes patients treated at Karolinska University Hospital in Solna between 2014 and 2023. The trauma care quality database is a subset of the trauma registry and includes patients selected for review. The Karolinska University Hospital in Solna treats all major trauma in the greater metropolitan area of Stockholm.</w:t>
      </w:r>
    </w:p>
    <w:bookmarkEnd w:id="28"/>
    <w:bookmarkStart w:id="29" w:name="participants"/>
    <w:p>
      <w:pPr>
        <w:pStyle w:val="Heading2"/>
      </w:pPr>
      <w:r>
        <w:t xml:space="preserve">Participants</w:t>
      </w:r>
    </w:p>
    <w:p>
      <w:pPr>
        <w:pStyle w:val="FirstParagraph"/>
      </w:pPr>
      <w:r>
        <w:t xml:space="preserve">We included all patients in trauma registry and Trauma care quality database. We excluded patients younger than 15 and/or were dead on arrival.</w:t>
      </w:r>
    </w:p>
    <w:p>
      <w:pPr>
        <w:pStyle w:val="BodyText"/>
      </w:pPr>
      <w:r>
        <w:t xml:space="preserve">The inclusion criteria for the trauma registry is a patient either admitted through trauma team activation or a already admitted patient with an Injury Severity Score (ISS) greater than nine. Every trauma patient (registered in the trauma registry) at Karolinska University Hospital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broader areas. The multidisciplinary conferences are held every six to eight weeks, during which an average of ten patient cases are reviewed by experienced specialists from all trauma-related fields. The presence or absence of OFIs is determined by consensus among all participants and is documented in the trauma care quality database.</w:t>
      </w:r>
    </w:p>
    <w:bookmarkEnd w:id="29"/>
    <w:bookmarkStart w:id="30"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w:t>
      </w:r>
      <w:r>
        <w:t xml:space="preserve"> </w:t>
      </w:r>
      <w:r>
        <w:t xml:space="preserve">“</w:t>
      </w:r>
      <w:r>
        <w:t xml:space="preserve">problem</w:t>
      </w:r>
      <w:r>
        <w:t xml:space="preserve">”</w:t>
      </w:r>
      <w:r>
        <w:t xml:space="preserve"> </w:t>
      </w:r>
      <w:r>
        <w:t xml:space="preserve">registry. An OFI can be various types of errors, which are categorized into: clinical judgement error, inadequate resources, delay in treatment, missed injury, inadequate protocols, preventable death and other errors.</w:t>
      </w:r>
    </w:p>
    <w:p>
      <w:pPr>
        <w:pStyle w:val="BodyText"/>
      </w:pPr>
      <w:r>
        <w:t xml:space="preserve">To classify the patients the following measurement will be used as independent variables for classification of shock regardless of their cause. Heart rate(HR), systolic blood pressure(SBP), respiratory rate(RR) and mental status. Based on these four measurements, the patients will be classified into four groups roughly based on the same value as in the ATLS trauma shock classifications.</w:t>
      </w:r>
    </w:p>
    <w:p>
      <w:pPr>
        <w:pStyle w:val="BodyText"/>
      </w:pPr>
      <w:r>
        <w:t xml:space="preserve">Due to lack of data on FAST, type of injury and clinical chemistry, we will not be able to use categorisations such as TASH, TBSS and ABC with better sensitivity and specificity than ATLS[</w:t>
      </w:r>
      <w:r>
        <w:t xml:space="preserve">(19)</w:t>
      </w:r>
      <w:r>
        <w:t xml:space="preserve">]</w:t>
      </w:r>
      <w:r>
        <w:t xml:space="preserve">(20)</w:t>
      </w:r>
      <w:r>
        <w:t xml:space="preserve">(21)</w:t>
      </w:r>
      <w:r>
        <w:t xml:space="preserve">.</w:t>
      </w:r>
      <w:r>
        <w:t xml:space="preserve"> </w:t>
      </w:r>
      <w:r>
        <w:t xml:space="preserve">Due to the tenth edition of ATLS classifications lack actual numbers, we will be approximating numbers to the values. For HR and RR we will be using the numbers from the ninth edition of the classification. The SBP will be divded into class I and II where the SBP is &gt;110, class III 110-90mmhg and class IV &lt;90mmhg. This selection is based on tenth edition, where SBP is defined as normal in class I to II and normal/below in class III and clearly below normal in class IV. These two studies, redefined hypotension as 110mmhg respective 90mmhg dependent on age[</w:t>
      </w:r>
      <w:r>
        <w:t xml:space="preserve">(22)</w:t>
      </w:r>
      <w:r>
        <w:t xml:space="preserve">]</w:t>
      </w:r>
      <w:r>
        <w:t xml:space="preserve">(23)</w:t>
      </w:r>
      <w:r>
        <w:t xml:space="preserve">, therefore we choose class III as 110-90 mmhg and class IV below 90mmhg. We decided to not include Glasgow Coma Scale (GCS) due to difficulties in differentiating if any lowering is due to shock or traumatic brain injury (TBI). Urine output and pulse pressure were also neglected, due to lack of data.</w:t>
      </w:r>
    </w:p>
    <w:p>
      <w:pPr>
        <w:pStyle w:val="BodyText"/>
      </w:pPr>
      <w:r>
        <w:t xml:space="preserve">To classify, all of the parameters in one class needs to be fulfilled. In the cases where the parameters belong in different classes, we will be classifying according to the most severe parameter in the same way as Dunham et al</w:t>
      </w:r>
      <w:r>
        <w:t xml:space="preserve">(24)</w:t>
      </w:r>
      <w:r>
        <w:t xml:space="preserve">. At same time ATLS manual states one of the common pitfalls is</w:t>
      </w:r>
      <w:r>
        <w:t xml:space="preserve"> </w:t>
      </w:r>
      <w:r>
        <w:t xml:space="preserve">“</w:t>
      </w:r>
      <w:r>
        <w:t xml:space="preserve">Diagnosis of shock can be missed when only a single parameter is used.</w:t>
      </w:r>
      <w:r>
        <w:t xml:space="preserve">”</w:t>
      </w:r>
      <w:r>
        <w:t xml:space="preserve"> </w:t>
      </w:r>
      <w:r>
        <w:t xml:space="preserve">therefore to improve sensitivity we decided to use the worst parameter for classification</w:t>
      </w:r>
      <w:r>
        <w:t xml:space="preserve">(9)</w:t>
      </w:r>
      <w:r>
        <w:t xml:space="preserve">.</w:t>
      </w:r>
    </w:p>
    <w:p>
      <w:pPr>
        <w:pStyle w:val="BodyText"/>
      </w:pPr>
      <w:r>
        <w:t xml:space="preserve">We will be only using the base deficit parameter according to the tenth edition of the ATLS classification for haemorrhage. There are three reasons. The first one is ATLS tenth edition lack numerical values for vital parameters. The second one is that bace deficit is superior to vital parameters as a predictive parameter for mortality</w:t>
      </w:r>
      <w:r>
        <w:t xml:space="preserve">(24)</w:t>
      </w:r>
      <w:r>
        <w:t xml:space="preserve">. The third one is due to nature of having multiple parameters, makes it difficult to categorise a patient with vital parameters in two or more classes and difficult to separate lower GCS due to traumatic brain injury from shock as cause. The classes will be divided into class I: 0 - (-2), class II: (-2)-(-6), class III: (-6)-(-10), and class IV: &lt;(-10).</w:t>
      </w:r>
    </w:p>
    <w:bookmarkEnd w:id="30"/>
    <w:bookmarkStart w:id="31" w:name="bias"/>
    <w:p>
      <w:pPr>
        <w:pStyle w:val="Heading2"/>
      </w:pPr>
      <w:r>
        <w:t xml:space="preserve">Bias</w:t>
      </w:r>
    </w:p>
    <w:p>
      <w:pPr>
        <w:pStyle w:val="FirstParagraph"/>
      </w:pPr>
      <w:r>
        <w:t xml:space="preserve">The trauma care quality database is build up in a way where every error can be classified into a certain type of OFI, however for paitent that died there is only the category</w:t>
      </w:r>
      <w:r>
        <w:t xml:space="preserve"> </w:t>
      </w:r>
      <w:r>
        <w:t xml:space="preserve">“</w:t>
      </w:r>
      <w:r>
        <w:t xml:space="preserve">preventable death</w:t>
      </w:r>
      <w:r>
        <w:t xml:space="preserve">”</w:t>
      </w:r>
      <w:r>
        <w:t xml:space="preserve">. Therefore, survivorship bias may occur as we dont have the detail which type of OFI actually occured.</w:t>
      </w:r>
    </w:p>
    <w:bookmarkEnd w:id="31"/>
    <w:bookmarkStart w:id="32" w:name="study-size"/>
    <w:p>
      <w:pPr>
        <w:pStyle w:val="Heading2"/>
      </w:pPr>
      <w:r>
        <w:t xml:space="preserve">Study size</w:t>
      </w:r>
    </w:p>
    <w:p>
      <w:pPr>
        <w:pStyle w:val="FirstParagraph"/>
      </w:pPr>
      <w:r>
        <w:t xml:space="preserve">All available data in trauma registry and trauma care quality database will be included.</w:t>
      </w:r>
    </w:p>
    <w:bookmarkEnd w:id="32"/>
    <w:bookmarkStart w:id="33" w:name="quantitative-variables"/>
    <w:p>
      <w:pPr>
        <w:pStyle w:val="Heading2"/>
      </w:pPr>
      <w:r>
        <w:t xml:space="preserve">Quantitative variables</w:t>
      </w:r>
    </w:p>
    <w:bookmarkEnd w:id="33"/>
    <w:bookmarkStart w:id="34" w:name="statistical-methods"/>
    <w:p>
      <w:pPr>
        <w:pStyle w:val="Heading2"/>
      </w:pPr>
      <w:r>
        <w:t xml:space="preserve">Statistical methods</w:t>
      </w:r>
    </w:p>
    <w:p>
      <w:pPr>
        <w:pStyle w:val="FirstParagraph"/>
      </w:pPr>
      <w:r>
        <w:t xml:space="preserve">The statistical analysis will be performed using R, a programming language and environment for statistical computing. We will present the type of OFI as percentage distributions and then visualize it in a pie chart. Unadjusted and adjusted logistic regression will be used to determine the association between the OFI, degree/class of shock according to ATLS and other patient factors such as age, sex, preinjury ASA and ISS. It will be presented as odds ratios (OR) between presence of OFI, and shock classes. The OR will be determined with 95% confidence intervals, and a significance level of 5% will be used. All statistical analysis will first be done on synthetic data and later implemented on the data collected from the trauma registry and the trauma care quality database to ensure objectivity.</w:t>
      </w:r>
    </w:p>
    <w:bookmarkEnd w:id="34"/>
    <w:bookmarkEnd w:id="35"/>
    <w:bookmarkStart w:id="36" w:name="ethics"/>
    <w:p>
      <w:pPr>
        <w:pStyle w:val="Heading1"/>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has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6"/>
    <w:bookmarkStart w:id="37" w:name="project-update-and-timeline"/>
    <w:p>
      <w:pPr>
        <w:pStyle w:val="Heading1"/>
      </w:pPr>
      <w:r>
        <w:t xml:space="preserve">Project Update and Timeline</w:t>
      </w:r>
    </w:p>
    <w:p>
      <w:pPr>
        <w:pStyle w:val="FirstParagraph"/>
      </w:pPr>
      <w:r>
        <w:rPr>
          <w:iCs/>
          <w:i/>
        </w:rPr>
        <w:t xml:space="preserve">This is part B) in the project plan [sv: projektredogörelse].</w:t>
      </w:r>
    </w:p>
    <w:p>
      <w:pPr>
        <w:pStyle w:val="BodyText"/>
      </w:pPr>
      <w:r>
        <w:rPr>
          <w:iCs/>
          <w:i/>
        </w:rPr>
        <w:t xml:space="preserve">Save the image generated from the Gantt chard spreadsheet into the</w:t>
      </w:r>
      <w:r>
        <w:rPr>
          <w:iCs/>
          <w:i/>
        </w:rPr>
        <w:t xml:space="preserve"> </w:t>
      </w:r>
      <w:r>
        <w:rPr>
          <w:iCs/>
          <w:i/>
        </w:rPr>
        <w:t xml:space="preserve">assets folder, rename it to project-gantt.png</w:t>
      </w:r>
    </w:p>
    <w:tbl>
      <w:tblPr>
        <w:tblStyle w:val="FigureTable"/>
        <w:tblW w:type="auto" w:w="0"/>
        <w:tblLook w:firstRow="0" w:lastRow="0" w:firstColumn="0" w:lastColumn="0"/>
        <w:jc w:val="center"/>
      </w:tblPr>
      <w:tblGrid>
        <w:gridCol w:w="7920"/>
      </w:tblGrid>
      <w:tr>
        <w:tc>
          <w:tcPr/>
          <w:p>
            <w:pPr>
              <w:pStyle w:val="Compact"/>
              <w:jc w:val="center"/>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tc>
      </w:tr>
    </w:tbl>
    <w:p>
      <w:pPr>
        <w:pStyle w:val="ImageCaption"/>
      </w:pPr>
      <w:r>
        <w:rPr>
          <w:bCs/>
          <w:b/>
        </w:rPr>
        <w:t xml:space="preserve">The Gantt chart will be displayed here when you place it in the</w:t>
      </w:r>
      <w:r>
        <w:rPr>
          <w:bCs/>
          <w:b/>
        </w:rPr>
        <w:t xml:space="preserve"> </w:t>
      </w:r>
      <w:r>
        <w:rPr>
          <w:bCs/>
          <w:b/>
        </w:rPr>
        <w:t xml:space="preserve">assets folder under</w:t>
      </w:r>
      <w:r>
        <w:rPr>
          <w:bCs/>
          <w:b/>
        </w:rPr>
        <w:t xml:space="preserve"> </w:t>
      </w:r>
      <w:r>
        <w:rPr>
          <w:bCs/>
          <w:b/>
        </w:rPr>
        <w:t xml:space="preserve">“</w:t>
      </w:r>
      <w:r>
        <w:rPr>
          <w:bCs/>
          <w:b/>
        </w:rPr>
        <w:t xml:space="preserve">project-gantt.png</w:t>
      </w:r>
      <w:r>
        <w:rPr>
          <w:bCs/>
          <w:b/>
        </w:rPr>
        <w:t xml:space="preserve">”</w:t>
      </w:r>
    </w:p>
    <w:p>
      <w:pPr>
        <w:pStyle w:val="BodyText"/>
      </w:pPr>
      <w:r>
        <w:t xml:space="preserve">Doing right now: - Introduction - Methods</w:t>
      </w:r>
    </w:p>
    <w:p>
      <w:pPr>
        <w:pStyle w:val="BodyText"/>
      </w:pPr>
      <w:r>
        <w:t xml:space="preserve">To do: - Coding to sort data - Coding for regression - Analysis - Results - Discussion -</w:t>
      </w:r>
      <w:r>
        <w:t xml:space="preserve"> </w:t>
      </w:r>
      <w:r>
        <w:t xml:space="preserve">Conclusion and Abstract</w:t>
      </w:r>
    </w:p>
    <w:bookmarkEnd w:id="37"/>
    <w:bookmarkStart w:id="38" w:name="back-up-plan"/>
    <w:p>
      <w:pPr>
        <w:pStyle w:val="Heading1"/>
      </w:pPr>
      <w:r>
        <w:t xml:space="preserve">Back-up Plan</w:t>
      </w:r>
    </w:p>
    <w:p>
      <w:pPr>
        <w:pStyle w:val="FirstParagraph"/>
      </w:pPr>
      <w:r>
        <w:t xml:space="preserve">After discussion with my supervisor, it seems like the part which have the highest possibility of taking too much time is coding, and therefore he and other cosupervisor will assist with coding if needed.</w:t>
      </w:r>
    </w:p>
    <w:bookmarkEnd w:id="38"/>
    <w:bookmarkStart w:id="88" w:name="references"/>
    <w:p>
      <w:pPr>
        <w:pStyle w:val="Heading1"/>
      </w:pPr>
      <w:r>
        <w:t xml:space="preserve">References</w:t>
      </w:r>
    </w:p>
    <w:bookmarkStart w:id="87" w:name="refs"/>
    <w:bookmarkStart w:id="40"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39">
        <w:r>
          <w:rPr>
            <w:rStyle w:val="Hyperlink"/>
          </w:rPr>
          <w:t xml:space="preserve">https://www.who.int/news-room/fact-sheets/detail/injuries-and-violence</w:t>
        </w:r>
      </w:hyperlink>
    </w:p>
    <w:bookmarkEnd w:id="40"/>
    <w:bookmarkStart w:id="42"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41">
        <w:r>
          <w:rPr>
            <w:rStyle w:val="Hyperlink"/>
          </w:rPr>
          <w:t xml:space="preserve">https://rcsyd.se/swetrau/wp-content/uploads/sites/10/2022/06/A%CC%8Arsrapport-SweTrau-2021.pdf</w:t>
        </w:r>
      </w:hyperlink>
    </w:p>
    <w:bookmarkEnd w:id="42"/>
    <w:bookmarkStart w:id="44"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43">
        <w:r>
          <w:rPr>
            <w:rStyle w:val="Hyperlink"/>
          </w:rPr>
          <w:t xml:space="preserve">https://www.sciencedirect.com/science/article/pii/S0733862707000600</w:t>
        </w:r>
      </w:hyperlink>
    </w:p>
    <w:bookmarkEnd w:id="44"/>
    <w:bookmarkStart w:id="46" w:name="ref-internet_archive_emergency_2002"/>
    <w:p>
      <w:pPr>
        <w:pStyle w:val="Bibliography"/>
      </w:pPr>
      <w:r>
        <w:t xml:space="preserve">4.</w:t>
      </w:r>
      <w:r>
        <w:t xml:space="preserve"> </w:t>
      </w:r>
      <w:r>
        <w:t xml:space="preserve">	</w:t>
      </w:r>
      <w:r>
        <w:t xml:space="preserve">Emergency care and transportation of the sick and injured [Internet]. Sudbury, MA : Jones; Bartlett; 2002 [cited 2024 Sep 23]. Available from:</w:t>
      </w:r>
      <w:r>
        <w:t xml:space="preserve"> </w:t>
      </w:r>
      <w:hyperlink r:id="rId45">
        <w:r>
          <w:rPr>
            <w:rStyle w:val="Hyperlink"/>
          </w:rPr>
          <w:t xml:space="preserve">http://archive.org/details/emergencycaretra08edunse</w:t>
        </w:r>
      </w:hyperlink>
    </w:p>
    <w:bookmarkEnd w:id="46"/>
    <w:bookmarkStart w:id="48" w:name="ref-leech_shock_2023"/>
    <w:p>
      <w:pPr>
        <w:pStyle w:val="Bibliography"/>
      </w:pPr>
      <w:r>
        <w:t xml:space="preserve">5.</w:t>
      </w:r>
      <w:r>
        <w:t xml:space="preserve"> </w:t>
      </w:r>
      <w:r>
        <w:t xml:space="preserve">	</w:t>
      </w:r>
      <w:r>
        <w:t xml:space="preserve">Leech C, Turner J.</w:t>
      </w:r>
      <w:r>
        <w:t xml:space="preserve"> </w:t>
      </w:r>
      <w:hyperlink r:id="rId47">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48"/>
    <w:bookmarkStart w:id="50"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49">
        <w:r>
          <w:rPr>
            <w:rStyle w:val="Hyperlink"/>
          </w:rPr>
          <w:t xml:space="preserve">https://www.ncbi.nlm.nih.gov/pmc/articles/PMC6323133/</w:t>
        </w:r>
      </w:hyperlink>
    </w:p>
    <w:bookmarkEnd w:id="50"/>
    <w:bookmarkStart w:id="52"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51">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52"/>
    <w:bookmarkStart w:id="54"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53">
        <w:r>
          <w:rPr>
            <w:rStyle w:val="Hyperlink"/>
          </w:rPr>
          <w:t xml:space="preserve">https://www.uptodate.com/contents/initial-management-of-trauma-in-adults?topicRef=127887&amp;source=see_link#H1929754</w:t>
        </w:r>
      </w:hyperlink>
    </w:p>
    <w:bookmarkEnd w:id="54"/>
    <w:bookmarkStart w:id="56"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55">
        <w:r>
          <w:rPr>
            <w:rStyle w:val="Hyperlink"/>
          </w:rPr>
          <w:t xml:space="preserve">https://cirugia.facmed.unam.mx/wp-content/uploads/2018/07/Advanced-Trauma-Life-Support.pdf</w:t>
        </w:r>
      </w:hyperlink>
    </w:p>
    <w:bookmarkEnd w:id="56"/>
    <w:bookmarkStart w:id="58"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57">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58"/>
    <w:bookmarkStart w:id="60" w:name="ref-mackersie_pitfalls_2010"/>
    <w:p>
      <w:pPr>
        <w:pStyle w:val="Bibliography"/>
      </w:pPr>
      <w:r>
        <w:t xml:space="preserve">11.</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59">
        <w:r>
          <w:rPr>
            <w:rStyle w:val="Hyperlink"/>
          </w:rPr>
          <w:t xml:space="preserve">https://www.sciencedirect.com/science/article/pii/S0733862709001199</w:t>
        </w:r>
      </w:hyperlink>
    </w:p>
    <w:bookmarkEnd w:id="60"/>
    <w:bookmarkStart w:id="62" w:name="ref-ivatury_patient_2008"/>
    <w:p>
      <w:pPr>
        <w:pStyle w:val="Bibliography"/>
      </w:pPr>
      <w:r>
        <w:t xml:space="preserve">12.</w:t>
      </w:r>
      <w:r>
        <w:t xml:space="preserve"> </w:t>
      </w:r>
      <w:r>
        <w:t xml:space="preserve">	</w:t>
      </w:r>
      <w:r>
        <w:t xml:space="preserve">Ivatury RR, Guilford K, Malhotra AK, Duane T, Aboutanos M, Martin N.</w:t>
      </w:r>
      <w:r>
        <w:t xml:space="preserve"> </w:t>
      </w:r>
      <w:hyperlink r:id="rId61">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62"/>
    <w:bookmarkStart w:id="64" w:name="ref-berry_shock_2015"/>
    <w:p>
      <w:pPr>
        <w:pStyle w:val="Bibliography"/>
      </w:pPr>
      <w:r>
        <w:t xml:space="preserve">13.</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63">
        <w:r>
          <w:rPr>
            <w:rStyle w:val="Hyperlink"/>
          </w:rPr>
          <w:t xml:space="preserve">https://doi.org/10.1007/978-3-642-29613-0_505</w:t>
        </w:r>
      </w:hyperlink>
    </w:p>
    <w:bookmarkEnd w:id="64"/>
    <w:bookmarkStart w:id="66" w:name="ref-tisherman_detailed_2015"/>
    <w:p>
      <w:pPr>
        <w:pStyle w:val="Bibliography"/>
      </w:pPr>
      <w:r>
        <w:t xml:space="preserve">14.</w:t>
      </w:r>
      <w:r>
        <w:t xml:space="preserve"> </w:t>
      </w:r>
      <w:r>
        <w:t xml:space="preserve">	</w:t>
      </w:r>
      <w:r>
        <w:t xml:space="preserve">Tisherman SA, Schmicker RH, Brasel KJ, Bulger EM, Kerby JD, Minei JP, et al.</w:t>
      </w:r>
      <w:r>
        <w:t xml:space="preserve"> </w:t>
      </w:r>
      <w:hyperlink r:id="rId65">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66"/>
    <w:bookmarkStart w:id="68" w:name="X9db8e71a0533962266d08f8a7d5abffdfc5204c"/>
    <w:p>
      <w:pPr>
        <w:pStyle w:val="Bibliography"/>
      </w:pPr>
      <w:r>
        <w:t xml:space="preserve">15.</w:t>
      </w:r>
      <w:r>
        <w:t xml:space="preserve"> </w:t>
      </w:r>
      <w:r>
        <w:t xml:space="preserve">	</w:t>
      </w:r>
      <w:r>
        <w:t xml:space="preserve">World Health Organization. Guidelines for trauma quality improvement programmes. 2009 [cited 2024 Sep 20];104. Available from:</w:t>
      </w:r>
      <w:r>
        <w:t xml:space="preserve"> </w:t>
      </w:r>
      <w:hyperlink r:id="rId67">
        <w:r>
          <w:rPr>
            <w:rStyle w:val="Hyperlink"/>
          </w:rPr>
          <w:t xml:space="preserve">https://iris.who.int/handle/10665/44061</w:t>
        </w:r>
      </w:hyperlink>
    </w:p>
    <w:bookmarkEnd w:id="68"/>
    <w:bookmarkStart w:id="70" w:name="ref-juillard_establishing_2009"/>
    <w:p>
      <w:pPr>
        <w:pStyle w:val="Bibliography"/>
      </w:pPr>
      <w:r>
        <w:t xml:space="preserve">16.</w:t>
      </w:r>
      <w:r>
        <w:t xml:space="preserve"> </w:t>
      </w:r>
      <w:r>
        <w:t xml:space="preserve">	</w:t>
      </w:r>
      <w:r>
        <w:t xml:space="preserve">Juillard CJ, Mock C, Goosen J, Joshipura M, Civil I.</w:t>
      </w:r>
      <w:r>
        <w:t xml:space="preserve"> </w:t>
      </w:r>
      <w:hyperlink r:id="rId69">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70"/>
    <w:bookmarkStart w:id="72" w:name="ref-hashmi_hospital-based_2013"/>
    <w:p>
      <w:pPr>
        <w:pStyle w:val="Bibliography"/>
      </w:pPr>
      <w:r>
        <w:t xml:space="preserve">17.</w:t>
      </w:r>
      <w:r>
        <w:t xml:space="preserve"> </w:t>
      </w:r>
      <w:r>
        <w:t xml:space="preserve">	</w:t>
      </w:r>
      <w:r>
        <w:t xml:space="preserve">Hashmi ZG, Haider AH, Zafar SN, Kisat M, Moosa A, Siddiqui F, et al.</w:t>
      </w:r>
      <w:r>
        <w:t xml:space="preserve"> </w:t>
      </w:r>
      <w:hyperlink r:id="rId71">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72"/>
    <w:bookmarkStart w:id="74" w:name="ref-donabedian_quality_1988"/>
    <w:p>
      <w:pPr>
        <w:pStyle w:val="Bibliography"/>
      </w:pPr>
      <w:r>
        <w:t xml:space="preserve">18.</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73">
        <w:r>
          <w:rPr>
            <w:rStyle w:val="Hyperlink"/>
          </w:rPr>
          <w:t xml:space="preserve">https://doi.org/10.1001/jama.1988.03410120089033</w:t>
        </w:r>
      </w:hyperlink>
    </w:p>
    <w:bookmarkEnd w:id="74"/>
    <w:bookmarkStart w:id="76" w:name="ref-yucel_trauma_2006"/>
    <w:p>
      <w:pPr>
        <w:pStyle w:val="Bibliography"/>
      </w:pPr>
      <w:r>
        <w:t xml:space="preserve">19.</w:t>
      </w:r>
      <w:r>
        <w:t xml:space="preserve"> </w:t>
      </w:r>
      <w:r>
        <w:t xml:space="preserve">	</w:t>
      </w:r>
      <w:r>
        <w:t xml:space="preserve">Yücel N, Lefering R, Maegele M, Vorweg M, Tjardes T, Ruchholtz S, et al.</w:t>
      </w:r>
      <w:r>
        <w:t xml:space="preserve"> </w:t>
      </w:r>
      <w:hyperlink r:id="rId75">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76"/>
    <w:bookmarkStart w:id="78" w:name="ref-ogura_modified_2016"/>
    <w:p>
      <w:pPr>
        <w:pStyle w:val="Bibliography"/>
      </w:pPr>
      <w:r>
        <w:t xml:space="preserve">20.</w:t>
      </w:r>
      <w:r>
        <w:t xml:space="preserve"> </w:t>
      </w:r>
      <w:r>
        <w:t xml:space="preserve">	</w:t>
      </w:r>
      <w:r>
        <w:t xml:space="preserve">Ogura T, Lefor AK, Masuda M, Kushimoto S.</w:t>
      </w:r>
      <w:r>
        <w:t xml:space="preserve"> </w:t>
      </w:r>
      <w:hyperlink r:id="rId77">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78"/>
    <w:bookmarkStart w:id="80" w:name="ref-hanlin_prehospital_2024"/>
    <w:p>
      <w:pPr>
        <w:pStyle w:val="Bibliography"/>
      </w:pPr>
      <w:r>
        <w:t xml:space="preserve">21.</w:t>
      </w:r>
      <w:r>
        <w:t xml:space="preserve"> </w:t>
      </w:r>
      <w:r>
        <w:t xml:space="preserve">	</w:t>
      </w:r>
      <w:r>
        <w:t xml:space="preserve">Hanlin E, Meyer DE, Heft N, Stilgenbauer H, Cotton B, Bourgeois M, et al.</w:t>
      </w:r>
      <w:r>
        <w:t xml:space="preserve"> </w:t>
      </w:r>
      <w:hyperlink r:id="rId79">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80"/>
    <w:bookmarkStart w:id="82" w:name="ref-eastridge_hypotension_2007"/>
    <w:p>
      <w:pPr>
        <w:pStyle w:val="Bibliography"/>
      </w:pPr>
      <w:r>
        <w:t xml:space="preserve">22.</w:t>
      </w:r>
      <w:r>
        <w:t xml:space="preserve"> </w:t>
      </w:r>
      <w:r>
        <w:t xml:space="preserve">	</w:t>
      </w:r>
      <w:r>
        <w:t xml:space="preserve">Eastridge BJ, Salinas J, McManus JG, Blackburn L, Bugler EM, Cooke WH, et al.</w:t>
      </w:r>
      <w:r>
        <w:t xml:space="preserve"> </w:t>
      </w:r>
      <w:hyperlink r:id="rId81">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82"/>
    <w:bookmarkStart w:id="84" w:name="ref-oyetunji_redefining_2011"/>
    <w:p>
      <w:pPr>
        <w:pStyle w:val="Bibliography"/>
      </w:pPr>
      <w:r>
        <w:t xml:space="preserve">23.</w:t>
      </w:r>
      <w:r>
        <w:t xml:space="preserve"> </w:t>
      </w:r>
      <w:r>
        <w:t xml:space="preserve">	</w:t>
      </w:r>
      <w:r>
        <w:t xml:space="preserve">Oyetunji TA, Chang DC, Crompton JG, Greene WR, Efron DT, Haut ER, et al.</w:t>
      </w:r>
      <w:r>
        <w:t xml:space="preserve"> </w:t>
      </w:r>
      <w:hyperlink r:id="rId83">
        <w:r>
          <w:rPr>
            <w:rStyle w:val="Hyperlink"/>
          </w:rPr>
          <w:t xml:space="preserve">Redefining hypotension in the elderly: Normotension is not reassuring</w:t>
        </w:r>
      </w:hyperlink>
      <w:r>
        <w:t xml:space="preserve">. Archives of Surgery (Chicago, Ill: 1960). 2011 Jul;146(7):865–9.</w:t>
      </w:r>
      <w:r>
        <w:t xml:space="preserve"> </w:t>
      </w:r>
    </w:p>
    <w:bookmarkEnd w:id="84"/>
    <w:bookmarkStart w:id="86" w:name="ref-dunham_comparison_2017"/>
    <w:p>
      <w:pPr>
        <w:pStyle w:val="Bibliography"/>
      </w:pPr>
      <w:r>
        <w:t xml:space="preserve">24.</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85">
        <w:r>
          <w:rPr>
            <w:rStyle w:val="Hyperlink"/>
          </w:rPr>
          <w:t xml:space="preserve">https://www.sciencedirect.com/science/article/pii/S0020138317303972</w:t>
        </w:r>
      </w:hyperlink>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archive.org/details/emergencycaretra08edunse" TargetMode="External" /><Relationship Type="http://schemas.openxmlformats.org/officeDocument/2006/relationships/hyperlink" Id="rId55" Target="https://cirugia.facmed.unam.mx/wp-content/uploads/2018/07/Advanced-Trauma-Life-Support.pdf" TargetMode="External" /><Relationship Type="http://schemas.openxmlformats.org/officeDocument/2006/relationships/hyperlink" Id="rId83" Target="https://doi.org/10.1001/archsurg.2011.154" TargetMode="External" /><Relationship Type="http://schemas.openxmlformats.org/officeDocument/2006/relationships/hyperlink" Id="rId73" Target="https://doi.org/10.1001/jama.1988.03410120089033" TargetMode="External" /><Relationship Type="http://schemas.openxmlformats.org/officeDocument/2006/relationships/hyperlink" Id="rId63" Target="https://doi.org/10.1007/978-3-642-29613-0_505" TargetMode="External" /><Relationship Type="http://schemas.openxmlformats.org/officeDocument/2006/relationships/hyperlink" Id="rId69" Target="https://doi.org/10.1007/s00268-009-9959-8" TargetMode="External" /><Relationship Type="http://schemas.openxmlformats.org/officeDocument/2006/relationships/hyperlink" Id="rId77" Target="https://doi.org/10.1016/j.ajem.2016.02.072" TargetMode="External" /><Relationship Type="http://schemas.openxmlformats.org/officeDocument/2006/relationships/hyperlink" Id="rId47" Target="https://doi.org/10.1016/j.emc.2022.09.007" TargetMode="External" /><Relationship Type="http://schemas.openxmlformats.org/officeDocument/2006/relationships/hyperlink" Id="rId57" Target="https://doi.org/10.1016/j.resuscitation.2011.01.013" TargetMode="External" /><Relationship Type="http://schemas.openxmlformats.org/officeDocument/2006/relationships/hyperlink" Id="rId79" Target="https://doi.org/10.1080/10903127.2023.2166174" TargetMode="External" /><Relationship Type="http://schemas.openxmlformats.org/officeDocument/2006/relationships/hyperlink" Id="rId75" Target="https://doi.org/10.1097/01.ta.0000220386.84012.bf" TargetMode="External" /><Relationship Type="http://schemas.openxmlformats.org/officeDocument/2006/relationships/hyperlink" Id="rId65" Target="https://doi.org/10.1097/SLA.0000000000000837" TargetMode="External" /><Relationship Type="http://schemas.openxmlformats.org/officeDocument/2006/relationships/hyperlink" Id="rId81" Target="https://doi.org/10.1097/TA.0b013e31809ed924" TargetMode="External" /><Relationship Type="http://schemas.openxmlformats.org/officeDocument/2006/relationships/hyperlink" Id="rId51" Target="https://doi.org/10.1097/TA.0b013e31815078ae" TargetMode="External" /><Relationship Type="http://schemas.openxmlformats.org/officeDocument/2006/relationships/hyperlink" Id="rId61" Target="https://doi.org/10.1097/TA.0b013e318163359d" TargetMode="External" /><Relationship Type="http://schemas.openxmlformats.org/officeDocument/2006/relationships/hyperlink" Id="rId71" Target="https://doi.org/10.1097/TA.0b013e31829880a0" TargetMode="External" /><Relationship Type="http://schemas.openxmlformats.org/officeDocument/2006/relationships/hyperlink" Id="rId67" Target="https://iris.who.int/handle/10665/44061" TargetMode="External" /><Relationship Type="http://schemas.openxmlformats.org/officeDocument/2006/relationships/hyperlink" Id="rId41" Target="https://rcsyd.se/swetrau/wp-content/uploads/sites/10/2022/06/A%CC%8Arsrapport-SweTrau-2021.pdf" TargetMode="External" /><Relationship Type="http://schemas.openxmlformats.org/officeDocument/2006/relationships/hyperlink" Id="rId49" Target="https://www.ncbi.nlm.nih.gov/pmc/articles/PMC6323133/" TargetMode="External" /><Relationship Type="http://schemas.openxmlformats.org/officeDocument/2006/relationships/hyperlink" Id="rId85" Target="https://www.sciencedirect.com/science/article/pii/S0020138317303972" TargetMode="External" /><Relationship Type="http://schemas.openxmlformats.org/officeDocument/2006/relationships/hyperlink" Id="rId43" Target="https://www.sciencedirect.com/science/article/pii/S0733862707000600" TargetMode="External" /><Relationship Type="http://schemas.openxmlformats.org/officeDocument/2006/relationships/hyperlink" Id="rId59" Target="https://www.sciencedirect.com/science/article/pii/S0733862709001199" TargetMode="External" /><Relationship Type="http://schemas.openxmlformats.org/officeDocument/2006/relationships/hyperlink" Id="rId53" Target="https://www.uptodate.com/contents/initial-management-of-trauma-in-adults?topicRef=127887&amp;source=see_link#H1929754" TargetMode="External" /><Relationship Type="http://schemas.openxmlformats.org/officeDocument/2006/relationships/hyperlink" Id="rId39"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45" Target="http://archive.org/details/emergencycaretra08edunse" TargetMode="External" /><Relationship Type="http://schemas.openxmlformats.org/officeDocument/2006/relationships/hyperlink" Id="rId55" Target="https://cirugia.facmed.unam.mx/wp-content/uploads/2018/07/Advanced-Trauma-Life-Support.pdf" TargetMode="External" /><Relationship Type="http://schemas.openxmlformats.org/officeDocument/2006/relationships/hyperlink" Id="rId83" Target="https://doi.org/10.1001/archsurg.2011.154" TargetMode="External" /><Relationship Type="http://schemas.openxmlformats.org/officeDocument/2006/relationships/hyperlink" Id="rId73" Target="https://doi.org/10.1001/jama.1988.03410120089033" TargetMode="External" /><Relationship Type="http://schemas.openxmlformats.org/officeDocument/2006/relationships/hyperlink" Id="rId63" Target="https://doi.org/10.1007/978-3-642-29613-0_505" TargetMode="External" /><Relationship Type="http://schemas.openxmlformats.org/officeDocument/2006/relationships/hyperlink" Id="rId69" Target="https://doi.org/10.1007/s00268-009-9959-8" TargetMode="External" /><Relationship Type="http://schemas.openxmlformats.org/officeDocument/2006/relationships/hyperlink" Id="rId77" Target="https://doi.org/10.1016/j.ajem.2016.02.072" TargetMode="External" /><Relationship Type="http://schemas.openxmlformats.org/officeDocument/2006/relationships/hyperlink" Id="rId47" Target="https://doi.org/10.1016/j.emc.2022.09.007" TargetMode="External" /><Relationship Type="http://schemas.openxmlformats.org/officeDocument/2006/relationships/hyperlink" Id="rId57" Target="https://doi.org/10.1016/j.resuscitation.2011.01.013" TargetMode="External" /><Relationship Type="http://schemas.openxmlformats.org/officeDocument/2006/relationships/hyperlink" Id="rId79" Target="https://doi.org/10.1080/10903127.2023.2166174" TargetMode="External" /><Relationship Type="http://schemas.openxmlformats.org/officeDocument/2006/relationships/hyperlink" Id="rId75" Target="https://doi.org/10.1097/01.ta.0000220386.84012.bf" TargetMode="External" /><Relationship Type="http://schemas.openxmlformats.org/officeDocument/2006/relationships/hyperlink" Id="rId65" Target="https://doi.org/10.1097/SLA.0000000000000837" TargetMode="External" /><Relationship Type="http://schemas.openxmlformats.org/officeDocument/2006/relationships/hyperlink" Id="rId81" Target="https://doi.org/10.1097/TA.0b013e31809ed924" TargetMode="External" /><Relationship Type="http://schemas.openxmlformats.org/officeDocument/2006/relationships/hyperlink" Id="rId51" Target="https://doi.org/10.1097/TA.0b013e31815078ae" TargetMode="External" /><Relationship Type="http://schemas.openxmlformats.org/officeDocument/2006/relationships/hyperlink" Id="rId61" Target="https://doi.org/10.1097/TA.0b013e318163359d" TargetMode="External" /><Relationship Type="http://schemas.openxmlformats.org/officeDocument/2006/relationships/hyperlink" Id="rId71" Target="https://doi.org/10.1097/TA.0b013e31829880a0" TargetMode="External" /><Relationship Type="http://schemas.openxmlformats.org/officeDocument/2006/relationships/hyperlink" Id="rId67" Target="https://iris.who.int/handle/10665/44061" TargetMode="External" /><Relationship Type="http://schemas.openxmlformats.org/officeDocument/2006/relationships/hyperlink" Id="rId41" Target="https://rcsyd.se/swetrau/wp-content/uploads/sites/10/2022/06/A%CC%8Arsrapport-SweTrau-2021.pdf" TargetMode="External" /><Relationship Type="http://schemas.openxmlformats.org/officeDocument/2006/relationships/hyperlink" Id="rId49" Target="https://www.ncbi.nlm.nih.gov/pmc/articles/PMC6323133/" TargetMode="External" /><Relationship Type="http://schemas.openxmlformats.org/officeDocument/2006/relationships/hyperlink" Id="rId85" Target="https://www.sciencedirect.com/science/article/pii/S0020138317303972" TargetMode="External" /><Relationship Type="http://schemas.openxmlformats.org/officeDocument/2006/relationships/hyperlink" Id="rId43" Target="https://www.sciencedirect.com/science/article/pii/S0733862707000600" TargetMode="External" /><Relationship Type="http://schemas.openxmlformats.org/officeDocument/2006/relationships/hyperlink" Id="rId59" Target="https://www.sciencedirect.com/science/article/pii/S0733862709001199" TargetMode="External" /><Relationship Type="http://schemas.openxmlformats.org/officeDocument/2006/relationships/hyperlink" Id="rId53" Target="https://www.uptodate.com/contents/initial-management-of-trauma-in-adults?topicRef=127887&amp;source=see_link#H1929754" TargetMode="External" /><Relationship Type="http://schemas.openxmlformats.org/officeDocument/2006/relationships/hyperlink" Id="rId39"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Your name here</dc:creator>
  <cp:keywords/>
  <dcterms:created xsi:type="dcterms:W3CDTF">2024-09-29T20:06:24Z</dcterms:created>
  <dcterms:modified xsi:type="dcterms:W3CDTF">2024-09-29T20:06:24Z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output_dir = “out”) })</vt:lpwstr>
  </property>
  <property fmtid="{D5CDD505-2E9C-101B-9397-08002B2CF9AE}" pid="6" name="output">
    <vt:lpwstr/>
  </property>
  <property fmtid="{D5CDD505-2E9C-101B-9397-08002B2CF9AE}" pid="7" name="subtitle">
    <vt:lpwstr>Add a Subtitle if Needed</vt:lpwstr>
  </property>
</Properties>
</file>