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Carl</w:t>
      </w:r>
      <w:r>
        <w:t xml:space="preserve"> </w:t>
      </w:r>
      <w:r>
        <w:t xml:space="preserve">Skog</w:t>
      </w:r>
    </w:p>
    <w:bookmarkStart w:id="27"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(1)</w:t>
      </w:r>
      <w:r>
        <w:t xml:space="preserve">. Globally low and middle income countries are disproportionately affected, while high income countries like Sweden have lower overall number but the younger and economically active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are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 </w:t>
      </w:r>
      <w:r>
        <w:t xml:space="preserve">#sweden or worldwide?</w:t>
      </w:r>
      <w:r>
        <w:t xml:space="preserve"> </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the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differentiate the severity of trauma shock, we can categorise by dividing symptoms and parameters into different degrees. One of such classification is the ATLS classification for major haemorrhage. ATLS stratifies patients into four classes, based on the following patient factors: estimated blood loss, heart frequency (HF), bloodpressure (BP), pulse pressure, respiratory rate (RR), mental status and urine output</w:t>
      </w:r>
      <w:r>
        <w:t xml:space="preserve">(9)</w:t>
      </w:r>
      <w:r>
        <w:t xml:space="preserve">. However, this is only meant to be used for hypovolemic shocks and not the other types. There are other classifications for predicting massive transfusion (TASH,TBSS, ABC), triaging (RETTS) or tracking the clinical deterioration of patients (NEWS2)</w:t>
      </w:r>
      <w:r>
        <w:t xml:space="preserve"> </w:t>
      </w:r>
      <w:r>
        <w:t xml:space="preserve">#referens?</w:t>
      </w:r>
      <w:r>
        <w:t xml:space="preserve"> </w:t>
      </w:r>
      <w:r>
        <w:t xml:space="preserve">. The common denominator for these classifications is they are all roughly based on vital parameters, however none of them is specifically designed to classify trauma shock degree regardless of the type/cause of shock. ATLS in this regard, even though having its own shortcomings, still is one of the common classifications and part of the student course manual of the internationally accepted ATLS trauma management system[</w:t>
      </w:r>
      <w:r>
        <w:t xml:space="preserve">(10)</w:t>
      </w:r>
      <w:r>
        <w:t xml:space="preserve">]</w:t>
      </w:r>
      <w:r>
        <w:t xml:space="preserve">(9)</w:t>
      </w:r>
      <w:r>
        <w:t xml:space="preserve">.</w:t>
      </w:r>
    </w:p>
    <w:p>
      <w:pPr>
        <w:pStyle w:val="BodyText"/>
      </w:pPr>
      <w:r>
        <w:t xml:space="preserve">(Infoga bild på ATLS tenth edition)</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(11)</w:t>
      </w:r>
      <w:r>
        <w:t xml:space="preserve">]</w:t>
      </w:r>
      <w:r>
        <w:t xml:space="preserve">(7)</w:t>
      </w:r>
      <w:r>
        <w:t xml:space="preserve">(12)</w:t>
      </w:r>
      <w:r>
        <w:t xml:space="preserve">. To address this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(13)</w:t>
      </w:r>
      <w:r>
        <w:t xml:space="preserve">. By implementing formal quality measures and conducting collaborative case reviews, QI programs have strengthened trauma systems and improved patient outcomes in various settings globally[</w:t>
      </w:r>
      <w:r>
        <w:t xml:space="preserve">(14)</w:t>
      </w:r>
      <w:r>
        <w:t xml:space="preserve">]</w:t>
      </w:r>
      <w:r>
        <w:t xml:space="preserve">(15)</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(13)</w:t>
      </w:r>
      <w:r>
        <w:t xml:space="preserve">. In order for the review content to be as comprehensive as possible and taking in a system oriented approach, the Donabedian quality of care framework can be used[</w:t>
      </w:r>
      <w:r>
        <w:t xml:space="preserve">(16)</w:t>
      </w:r>
      <w:r>
        <w:t xml:space="preserve">]</w:t>
      </w:r>
      <w:r>
        <w:t xml:space="preserve">(13)</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(14)</w:t>
      </w:r>
      <w:r>
        <w:t xml:space="preserve">]</w:t>
      </w:r>
      <w:r>
        <w:t xml:space="preserve">(15)</w:t>
      </w:r>
      <w:r>
        <w:t xml:space="preserve">.</w:t>
      </w:r>
    </w:p>
    <w:bookmarkEnd w:id="24"/>
    <w:bookmarkStart w:id="25" w:name="shock-and-ofi"/>
    <w:p>
      <w:pPr>
        <w:pStyle w:val="Heading2"/>
      </w:pPr>
      <w:r>
        <w:t xml:space="preserve">Shock and OFI</w:t>
      </w:r>
    </w:p>
    <w:p>
      <w:pPr>
        <w:pStyle w:val="FirstParagraph"/>
      </w:pPr>
      <w:r>
        <w:t xml:space="preserve">Shock is the leading cause of preventable death within the first 24 hours of injury</w:t>
      </w:r>
      <w:r>
        <w:t xml:space="preserve">(17)</w:t>
      </w:r>
      <w:r>
        <w:t xml:space="preserve">, with a median time to death from hemorrhagic shock of just 2 hours</w:t>
      </w:r>
      <w:r>
        <w:t xml:space="preserve">(18)</w:t>
      </w:r>
      <w:r>
        <w:t xml:space="preserve">. Despite this, the relationship between shock, its severity, and Opportunities for Improvement (OFI) remains largely unexamined. Most studies on OFI focus on trauma as a whole and do not explore shock in detail, for example, one study</w:t>
      </w:r>
      <w:r>
        <w:t xml:space="preserve"> </w:t>
      </w:r>
      <w:r>
        <w:t xml:space="preserve">(19)</w:t>
      </w:r>
      <w:r>
        <w:t xml:space="preserve"> </w:t>
      </w:r>
      <w:r>
        <w:t xml:space="preserve">noted that 80% of patients had bleeding or hypotension but did not investigate further. However, studying shock more closely is crucial, as it is common, highly preventable and one of the most deadly. This knowledge would help clinicians better identify and avoid preventable mistakes in shock patients who need urgent care.</w:t>
      </w:r>
    </w:p>
    <w:bookmarkEnd w:id="25"/>
    <w:bookmarkStart w:id="26"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6"/>
    <w:bookmarkEnd w:id="27"/>
    <w:bookmarkStart w:id="36" w:name="methods"/>
    <w:p>
      <w:pPr>
        <w:pStyle w:val="Heading1"/>
      </w:pPr>
      <w:r>
        <w:t xml:space="preserve">Methods</w:t>
      </w:r>
    </w:p>
    <w:bookmarkStart w:id="28"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28"/>
    <w:bookmarkStart w:id="29" w:name="setting"/>
    <w:p>
      <w:pPr>
        <w:pStyle w:val="Heading2"/>
      </w:pPr>
      <w:r>
        <w:t xml:space="preserve">Setting</w:t>
      </w:r>
    </w:p>
    <w:p>
      <w:pPr>
        <w:pStyle w:val="FirstParagraph"/>
      </w:pPr>
      <w:r>
        <w:t xml:space="preserve">The trauma registry includes patients treated at Karolinska University Hospital in Solna between 2014 and 2023. The trauma care quality database is a subset of the trauma registry and includes patients selected for review. The Karolinska University Hospital in Solna treats all major trauma in the greater metropolitan area of Stockholm.</w:t>
      </w:r>
    </w:p>
    <w:bookmarkEnd w:id="29"/>
    <w:bookmarkStart w:id="30" w:name="participants"/>
    <w:p>
      <w:pPr>
        <w:pStyle w:val="Heading2"/>
      </w:pPr>
      <w:r>
        <w:t xml:space="preserve">Participants</w:t>
      </w:r>
    </w:p>
    <w:p>
      <w:pPr>
        <w:pStyle w:val="FirstParagraph"/>
      </w:pPr>
      <w:r>
        <w:t xml:space="preserve">We included all patients in trauma registry and Trauma care quality database. We excluded patients younger than 15 and/or were dead on arrival.</w:t>
      </w:r>
    </w:p>
    <w:p>
      <w:pPr>
        <w:pStyle w:val="BodyText"/>
      </w:pPr>
      <w:r>
        <w:t xml:space="preserve">The inclusion criteria for the trauma registry is a patient either admitted through trauma team activation or a already admitted patient with an Injury Severity Score (ISS) greater than nine. Every trauma patient (registered in the trauma registry) at Karolinska University Hospital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bookmarkEnd w:id="30"/>
    <w:bookmarkStart w:id="31"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errors, which are categorized into: clinical judgement error, inadequate resources, delay in treatment, missed injury, inadequate protocols, preventable death and other errors.</w:t>
      </w:r>
    </w:p>
    <w:p>
      <w:pPr>
        <w:pStyle w:val="BodyText"/>
      </w:pPr>
      <w:r>
        <w:t xml:space="preserve">To classify the patients the following measurement will be used as independent variables for classification of shock regardless of their cause. Heart rate(HR), systolic blood pressure(SBP) and respiratory rate(RR). Based on these four measurements, the patients will be classified into four groups roughly based on the same value as in the ATLS trauma shock classifications.</w:t>
      </w:r>
    </w:p>
    <w:p>
      <w:pPr>
        <w:pStyle w:val="BodyText"/>
      </w:pPr>
      <w:r>
        <w:t xml:space="preserve">Due to lack of data on FAST, detailed types of injury and clinical chemistry, we will not be able to use categorisations such as TASH, TBSS and ABC with better sensitivity and specificity than ATLS[</w:t>
      </w:r>
      <w:r>
        <w:t xml:space="preserve">(20)</w:t>
      </w:r>
      <w:r>
        <w:t xml:space="preserve">]</w:t>
      </w:r>
      <w:r>
        <w:t xml:space="preserve">(21)</w:t>
      </w:r>
      <w:r>
        <w:t xml:space="preserve">(22)</w:t>
      </w:r>
      <w:r>
        <w:t xml:space="preserve">.</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in class I to II and normal/below in class III and clearly below normal in class IV. These two studies by Eastridge et al and Oyetunji et al, redefined hypotension as 110mmhg respective 90mmhg dependent on age[</w:t>
      </w:r>
      <w:r>
        <w:t xml:space="preserve">(23)</w:t>
      </w:r>
      <w:r>
        <w:t xml:space="preserve">]</w:t>
      </w:r>
      <w:r>
        <w:t xml:space="preserve">(24)</w:t>
      </w:r>
      <w:r>
        <w:t xml:space="preserve">, therefore we choose class III as 110-90 mmhg and class IV below 90mmhg. We decided to not include Glasgow Coma Scale (GCS) due to difficulties in differentiating if any lowering is due to shock or traumatic brain injury (TBI). Urine output and pulse pressure were also neglected, due to lack of data.</w:t>
      </w:r>
    </w:p>
    <w:p>
      <w:pPr>
        <w:pStyle w:val="BodyText"/>
      </w:pPr>
      <w:r>
        <w:t xml:space="preserve">To classify, all of the parameters in one class needs to be fulfilled. In the cases where the parameters belong in different classes, we will be classifying according to the most severe parameter in the same way as Dunham et al</w:t>
      </w:r>
      <w:r>
        <w:t xml:space="preserve">(25)</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r>
        <w:t xml:space="preserve">(9)</w:t>
      </w:r>
      <w:r>
        <w:t xml:space="preserve">.</w:t>
      </w:r>
    </w:p>
    <w:p>
      <w:pPr>
        <w:pStyle w:val="BodyText"/>
      </w:pP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(25)</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31"/>
    <w:bookmarkStart w:id="32" w:name="bias"/>
    <w:p>
      <w:pPr>
        <w:pStyle w:val="Heading2"/>
      </w:pPr>
      <w:r>
        <w:t xml:space="preserve">Bias</w:t>
      </w:r>
    </w:p>
    <w:p>
      <w:pPr>
        <w:pStyle w:val="FirstParagraph"/>
      </w:pPr>
      <w:r>
        <w:t xml:space="preserve">The trauma care quality database is build up in a way where every error can be classified into a certain type of OFI, however for paitent that died there is only the category</w:t>
      </w:r>
      <w:r>
        <w:t xml:space="preserve"> </w:t>
      </w:r>
      <w:r>
        <w:t xml:space="preserve">“</w:t>
      </w:r>
      <w:r>
        <w:t xml:space="preserve">preventable death</w:t>
      </w:r>
      <w:r>
        <w:t xml:space="preserve">”</w:t>
      </w:r>
      <w:r>
        <w:t xml:space="preserve">. Therefore, survivorship bias may occur as we dont have the detail which type of OFI actually occured.</w:t>
      </w:r>
    </w:p>
    <w:bookmarkEnd w:id="32"/>
    <w:bookmarkStart w:id="33" w:name="study-size"/>
    <w:p>
      <w:pPr>
        <w:pStyle w:val="Heading2"/>
      </w:pPr>
      <w:r>
        <w:t xml:space="preserve">Study size</w:t>
      </w:r>
    </w:p>
    <w:p>
      <w:pPr>
        <w:pStyle w:val="FirstParagraph"/>
      </w:pPr>
      <w:r>
        <w:t xml:space="preserve">All available data in trauma registry and trauma care quality database will be included.</w:t>
      </w:r>
    </w:p>
    <w:bookmarkEnd w:id="33"/>
    <w:bookmarkStart w:id="34" w:name="quantitative-variables"/>
    <w:p>
      <w:pPr>
        <w:pStyle w:val="Heading2"/>
      </w:pPr>
      <w:r>
        <w:t xml:space="preserve">Quantitative variables</w:t>
      </w:r>
    </w:p>
    <w:bookmarkEnd w:id="34"/>
    <w:bookmarkStart w:id="35"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it in a pie chart. Unadjusted and adjusted logistic regression will be used to determine the association between the OFI, degree/class of shock according to ATLS and other patient factors such as age, sex, preinjury ASA and ISS.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w:t>
      </w:r>
    </w:p>
    <w:bookmarkEnd w:id="35"/>
    <w:bookmarkEnd w:id="36"/>
    <w:bookmarkStart w:id="37" w:name="ethics"/>
    <w:p>
      <w:pPr>
        <w:pStyle w:val="Heading1"/>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has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7"/>
    <w:bookmarkStart w:id="42" w:name="results"/>
    <w:p>
      <w:pPr>
        <w:pStyle w:val="Heading1"/>
      </w:pPr>
      <w:r>
        <w:t xml:space="preserve">Results</w:t>
      </w:r>
    </w:p>
    <w:p>
      <w:pPr>
        <w:pStyle w:val="FirstParagraph"/>
      </w:pPr>
      <w:r>
        <w:t xml:space="preserve">You can include code in this document like this:</w:t>
      </w:r>
    </w:p>
    <w:bookmarkStart w:id="38" w:name="wjfdyiigwx"/>
    <w:p>
      <w:pPr>
        <w:pStyle w:val="BodyText"/>
      </w:pPr>
      <w:r>
        <w:t xml:space="preserve">Characteristic</w:t>
      </w:r>
    </w:p>
    <w:p>
      <w:pPr>
        <w:pStyle w:val="BodyText"/>
      </w:pPr>
      <w:r>
        <w:t xml:space="preserve">No</w:t>
      </w:r>
      <w:r>
        <w:t xml:space="preserve"> </w:t>
      </w:r>
      <w:r>
        <w:t xml:space="preserve">N = 1,572</w:t>
      </w:r>
      <w:r>
        <w:t xml:space="preserve">1</w:t>
      </w:r>
    </w:p>
    <w:p>
      <w:pPr>
        <w:pStyle w:val="BodyText"/>
      </w:pPr>
      <w:r>
        <w:t xml:space="preserve">Yes</w:t>
      </w:r>
      <w:r>
        <w:t xml:space="preserve"> </w:t>
      </w:r>
      <w:r>
        <w:t xml:space="preserve">N = 5,010</w:t>
      </w:r>
      <w:r>
        <w:t xml:space="preserve">1</w:t>
      </w:r>
    </w:p>
    <w:p>
      <w:pPr>
        <w:pStyle w:val="BodyText"/>
      </w:pPr>
      <w:r>
        <w:t xml:space="preserve">Age (Years)</w:t>
      </w:r>
    </w:p>
    <w:p>
      <w:pPr>
        <w:pStyle w:val="BodyText"/>
      </w:pPr>
      <w:r>
        <w:t xml:space="preserve">56 (33, 78)</w:t>
      </w:r>
    </w:p>
    <w:p>
      <w:pPr>
        <w:pStyle w:val="BodyText"/>
      </w:pPr>
      <w:r>
        <w:t xml:space="preserve">56 (34, 79)</w:t>
      </w:r>
    </w:p>
    <w:p>
      <w:pPr>
        <w:pStyle w:val="BodyText"/>
      </w:pPr>
      <w:r>
        <w:t xml:space="preserve">Gender (M/F)</w:t>
      </w:r>
    </w:p>
    <w:p>
      <w:pPr>
        <w:pStyle w:val="BodyText"/>
      </w:pPr>
    </w:p>
    <w:p>
      <w:pPr>
        <w:pStyle w:val="BodyText"/>
      </w:pPr>
    </w:p>
    <w:p>
      <w:pPr>
        <w:pStyle w:val="BodyText"/>
      </w:pPr>
      <w:r>
        <w:t xml:space="preserve">    Female</w:t>
      </w:r>
    </w:p>
    <w:p>
      <w:pPr>
        <w:pStyle w:val="BodyText"/>
      </w:pPr>
      <w:r>
        <w:t xml:space="preserve">755 (48%)</w:t>
      </w:r>
    </w:p>
    <w:p>
      <w:pPr>
        <w:pStyle w:val="BodyText"/>
      </w:pPr>
      <w:r>
        <w:t xml:space="preserve">2,535 (51%)</w:t>
      </w:r>
    </w:p>
    <w:p>
      <w:pPr>
        <w:pStyle w:val="BodyText"/>
      </w:pPr>
      <w:r>
        <w:t xml:space="preserve">    Male</w:t>
      </w:r>
    </w:p>
    <w:p>
      <w:pPr>
        <w:pStyle w:val="BodyText"/>
      </w:pPr>
      <w:r>
        <w:t xml:space="preserve">817 (52%)</w:t>
      </w:r>
    </w:p>
    <w:p>
      <w:pPr>
        <w:pStyle w:val="BodyText"/>
      </w:pPr>
      <w:r>
        <w:t xml:space="preserve">2,475 (49%)</w:t>
      </w:r>
    </w:p>
    <w:p>
      <w:pPr>
        <w:pStyle w:val="BodyText"/>
      </w:pPr>
      <w:r>
        <w:t xml:space="preserve">Pre-injury ASA</w:t>
      </w:r>
    </w:p>
    <w:p>
      <w:pPr>
        <w:pStyle w:val="BodyText"/>
      </w:pPr>
    </w:p>
    <w:p>
      <w:pPr>
        <w:pStyle w:val="BodyText"/>
      </w:pPr>
    </w:p>
    <w:p>
      <w:pPr>
        <w:pStyle w:val="BodyText"/>
      </w:pPr>
      <w:r>
        <w:t xml:space="preserve">    1</w:t>
      </w:r>
    </w:p>
    <w:p>
      <w:pPr>
        <w:pStyle w:val="BodyText"/>
      </w:pPr>
      <w:r>
        <w:t xml:space="preserve">246 (23%)</w:t>
      </w:r>
    </w:p>
    <w:p>
      <w:pPr>
        <w:pStyle w:val="BodyText"/>
      </w:pPr>
      <w:r>
        <w:t xml:space="preserve">851 (26%)</w:t>
      </w:r>
    </w:p>
    <w:p>
      <w:pPr>
        <w:pStyle w:val="BodyText"/>
      </w:pPr>
      <w:r>
        <w:t xml:space="preserve">    2</w:t>
      </w:r>
    </w:p>
    <w:p>
      <w:pPr>
        <w:pStyle w:val="BodyText"/>
      </w:pPr>
      <w:r>
        <w:t xml:space="preserve">310 (29%)</w:t>
      </w:r>
    </w:p>
    <w:p>
      <w:pPr>
        <w:pStyle w:val="BodyText"/>
      </w:pPr>
      <w:r>
        <w:t xml:space="preserve">819 (25%)</w:t>
      </w:r>
    </w:p>
    <w:p>
      <w:pPr>
        <w:pStyle w:val="BodyText"/>
      </w:pPr>
      <w:r>
        <w:t xml:space="preserve">    3</w:t>
      </w:r>
    </w:p>
    <w:p>
      <w:pPr>
        <w:pStyle w:val="BodyText"/>
      </w:pPr>
      <w:r>
        <w:t xml:space="preserve">248 (24%)</w:t>
      </w:r>
    </w:p>
    <w:p>
      <w:pPr>
        <w:pStyle w:val="BodyText"/>
      </w:pPr>
      <w:r>
        <w:t xml:space="preserve">821 (25%)</w:t>
      </w:r>
    </w:p>
    <w:p>
      <w:pPr>
        <w:pStyle w:val="BodyText"/>
      </w:pPr>
      <w:r>
        <w:t xml:space="preserve">    4</w:t>
      </w:r>
    </w:p>
    <w:p>
      <w:pPr>
        <w:pStyle w:val="BodyText"/>
      </w:pPr>
      <w:r>
        <w:t xml:space="preserve">247 (24%)</w:t>
      </w:r>
    </w:p>
    <w:p>
      <w:pPr>
        <w:pStyle w:val="BodyText"/>
      </w:pPr>
      <w:r>
        <w:t xml:space="preserve">827 (25%)</w:t>
      </w:r>
    </w:p>
    <w:p>
      <w:pPr>
        <w:pStyle w:val="BodyText"/>
      </w:pPr>
      <w:r>
        <w:t xml:space="preserve">    Unknown</w:t>
      </w:r>
    </w:p>
    <w:p>
      <w:pPr>
        <w:pStyle w:val="BodyText"/>
      </w:pPr>
      <w:r>
        <w:t xml:space="preserve">521</w:t>
      </w:r>
    </w:p>
    <w:p>
      <w:pPr>
        <w:pStyle w:val="BodyText"/>
      </w:pPr>
      <w:r>
        <w:t xml:space="preserve">1,692</w:t>
      </w:r>
    </w:p>
    <w:p>
      <w:pPr>
        <w:pStyle w:val="BodyText"/>
      </w:pPr>
      <w:r>
        <w:t xml:space="preserve">Systolic blood pressure (mmhg)</w:t>
      </w:r>
    </w:p>
    <w:p>
      <w:pPr>
        <w:pStyle w:val="BodyText"/>
      </w:pPr>
      <w:r>
        <w:t xml:space="preserve">148 (99, 194)</w:t>
      </w:r>
    </w:p>
    <w:p>
      <w:pPr>
        <w:pStyle w:val="BodyText"/>
      </w:pPr>
      <w:r>
        <w:t xml:space="preserve">143 (94, 194)</w:t>
      </w:r>
    </w:p>
    <w:p>
      <w:pPr>
        <w:pStyle w:val="BodyText"/>
      </w:pPr>
      <w:r>
        <w:t xml:space="preserve">    Unknown</w:t>
      </w:r>
    </w:p>
    <w:p>
      <w:pPr>
        <w:pStyle w:val="BodyText"/>
      </w:pPr>
      <w:r>
        <w:t xml:space="preserve">6</w:t>
      </w:r>
    </w:p>
    <w:p>
      <w:pPr>
        <w:pStyle w:val="BodyText"/>
      </w:pPr>
      <w:r>
        <w:t xml:space="preserve">19</w:t>
      </w:r>
    </w:p>
    <w:p>
      <w:pPr>
        <w:pStyle w:val="BodyText"/>
      </w:pPr>
      <w:r>
        <w:t xml:space="preserve">Injury Severity Score</w:t>
      </w:r>
    </w:p>
    <w:p>
      <w:pPr>
        <w:pStyle w:val="BodyText"/>
      </w:pPr>
      <w:r>
        <w:t xml:space="preserve">25 (12, 42)</w:t>
      </w:r>
    </w:p>
    <w:p>
      <w:pPr>
        <w:pStyle w:val="BodyText"/>
      </w:pPr>
      <w:r>
        <w:t xml:space="preserve">25 (12, 41)</w:t>
      </w:r>
    </w:p>
    <w:p>
      <w:pPr>
        <w:pStyle w:val="BodyText"/>
      </w:pPr>
      <w:r>
        <w:t xml:space="preserve">    Unknown</w:t>
      </w:r>
    </w:p>
    <w:p>
      <w:pPr>
        <w:pStyle w:val="BodyText"/>
      </w:pPr>
      <w:r>
        <w:t xml:space="preserve">32</w:t>
      </w:r>
    </w:p>
    <w:p>
      <w:pPr>
        <w:pStyle w:val="BodyText"/>
      </w:pPr>
      <w:r>
        <w:t xml:space="preserve">103</w:t>
      </w:r>
    </w:p>
    <w:p>
      <w:pPr>
        <w:pStyle w:val="BodyText"/>
      </w:pPr>
      <w:r>
        <w:t xml:space="preserve">ofi.categories.broad</w:t>
      </w:r>
    </w:p>
    <w:p>
      <w:pPr>
        <w:pStyle w:val="BodyText"/>
      </w:pPr>
    </w:p>
    <w:p>
      <w:pPr>
        <w:pStyle w:val="BodyText"/>
      </w:pPr>
    </w:p>
    <w:p>
      <w:pPr>
        <w:pStyle w:val="BodyText"/>
      </w:pPr>
      <w:r>
        <w:t xml:space="preserve">    Clinical judgement error</w:t>
      </w:r>
    </w:p>
    <w:p>
      <w:pPr>
        <w:pStyle w:val="BodyText"/>
      </w:pPr>
      <w:r>
        <w:t xml:space="preserve">0 (NA%)</w:t>
      </w:r>
    </w:p>
    <w:p>
      <w:pPr>
        <w:pStyle w:val="BodyText"/>
      </w:pPr>
      <w:r>
        <w:t xml:space="preserve">239 (56%)</w:t>
      </w:r>
    </w:p>
    <w:p>
      <w:pPr>
        <w:pStyle w:val="BodyText"/>
      </w:pPr>
      <w:r>
        <w:t xml:space="preserve">    Inadequate protocols</w:t>
      </w:r>
    </w:p>
    <w:p>
      <w:pPr>
        <w:pStyle w:val="BodyText"/>
      </w:pPr>
      <w:r>
        <w:t xml:space="preserve">0 (NA%)</w:t>
      </w:r>
    </w:p>
    <w:p>
      <w:pPr>
        <w:pStyle w:val="BodyText"/>
      </w:pPr>
      <w:r>
        <w:t xml:space="preserve">5 (1.2%)</w:t>
      </w:r>
    </w:p>
    <w:p>
      <w:pPr>
        <w:pStyle w:val="BodyText"/>
      </w:pPr>
      <w:r>
        <w:t xml:space="preserve">    Inadequate resources</w:t>
      </w:r>
    </w:p>
    <w:p>
      <w:pPr>
        <w:pStyle w:val="BodyText"/>
      </w:pPr>
      <w:r>
        <w:t xml:space="preserve">0 (NA%)</w:t>
      </w:r>
    </w:p>
    <w:p>
      <w:pPr>
        <w:pStyle w:val="BodyText"/>
      </w:pPr>
      <w:r>
        <w:t xml:space="preserve">124 (29%)</w:t>
      </w:r>
    </w:p>
    <w:p>
      <w:pPr>
        <w:pStyle w:val="BodyText"/>
      </w:pPr>
      <w:r>
        <w:t xml:space="preserve">    Missed diagnosis</w:t>
      </w:r>
    </w:p>
    <w:p>
      <w:pPr>
        <w:pStyle w:val="BodyText"/>
      </w:pPr>
      <w:r>
        <w:t xml:space="preserve">0 (NA%)</w:t>
      </w:r>
    </w:p>
    <w:p>
      <w:pPr>
        <w:pStyle w:val="BodyText"/>
      </w:pPr>
      <w:r>
        <w:t xml:space="preserve">3 (0.7%)</w:t>
      </w:r>
    </w:p>
    <w:p>
      <w:pPr>
        <w:pStyle w:val="BodyText"/>
      </w:pPr>
      <w:r>
        <w:t xml:space="preserve">    Other errors</w:t>
      </w:r>
    </w:p>
    <w:p>
      <w:pPr>
        <w:pStyle w:val="BodyText"/>
      </w:pPr>
      <w:r>
        <w:t xml:space="preserve">0 (NA%)</w:t>
      </w:r>
    </w:p>
    <w:p>
      <w:pPr>
        <w:pStyle w:val="BodyText"/>
      </w:pPr>
      <w:r>
        <w:t xml:space="preserve">59 (14%)</w:t>
      </w:r>
    </w:p>
    <w:p>
      <w:pPr>
        <w:pStyle w:val="BodyText"/>
      </w:pPr>
      <w:r>
        <w:t xml:space="preserve">    Unknown</w:t>
      </w:r>
    </w:p>
    <w:p>
      <w:pPr>
        <w:pStyle w:val="BodyText"/>
      </w:pPr>
      <w:r>
        <w:t xml:space="preserve">1,572</w:t>
      </w:r>
    </w:p>
    <w:p>
      <w:pPr>
        <w:pStyle w:val="BodyText"/>
      </w:pPr>
      <w:r>
        <w:t xml:space="preserve">4,580</w:t>
      </w:r>
    </w:p>
    <w:p>
      <w:pPr>
        <w:pStyle w:val="BodyText"/>
      </w:pPr>
      <w:r>
        <w:t xml:space="preserve">ofi.categories.detailed</w:t>
      </w:r>
    </w:p>
    <w:p>
      <w:pPr>
        <w:pStyle w:val="BodyText"/>
      </w:pPr>
    </w:p>
    <w:p>
      <w:pPr>
        <w:pStyle w:val="BodyText"/>
      </w:pPr>
    </w:p>
    <w:p>
      <w:pPr>
        <w:pStyle w:val="BodyText"/>
      </w:pPr>
      <w:r>
        <w:t xml:space="preserve">    Communication</w:t>
      </w:r>
    </w:p>
    <w:p>
      <w:pPr>
        <w:pStyle w:val="BodyText"/>
      </w:pPr>
      <w:r>
        <w:t xml:space="preserve">0 (NA%)</w:t>
      </w:r>
    </w:p>
    <w:p>
      <w:pPr>
        <w:pStyle w:val="BodyText"/>
      </w:pPr>
      <w:r>
        <w:t xml:space="preserve">59 (14%)</w:t>
      </w:r>
    </w:p>
    <w:p>
      <w:pPr>
        <w:pStyle w:val="BodyText"/>
      </w:pPr>
      <w:r>
        <w:t xml:space="preserve">    Competence</w:t>
      </w:r>
    </w:p>
    <w:p>
      <w:pPr>
        <w:pStyle w:val="BodyText"/>
      </w:pPr>
      <w:r>
        <w:t xml:space="preserve">0 (NA%)</w:t>
      </w:r>
    </w:p>
    <w:p>
      <w:pPr>
        <w:pStyle w:val="BodyText"/>
      </w:pPr>
      <w:r>
        <w:t xml:space="preserve">1 (0.2%)</w:t>
      </w:r>
    </w:p>
    <w:p>
      <w:pPr>
        <w:pStyle w:val="BodyText"/>
      </w:pPr>
      <w:r>
        <w:t xml:space="preserve">    Inadequate routine</w:t>
      </w:r>
    </w:p>
    <w:p>
      <w:pPr>
        <w:pStyle w:val="BodyText"/>
      </w:pPr>
      <w:r>
        <w:t xml:space="preserve">0 (NA%)</w:t>
      </w:r>
    </w:p>
    <w:p>
      <w:pPr>
        <w:pStyle w:val="BodyText"/>
      </w:pPr>
      <w:r>
        <w:t xml:space="preserve">2 (0.5%)</w:t>
      </w:r>
    </w:p>
    <w:p>
      <w:pPr>
        <w:pStyle w:val="BodyText"/>
      </w:pPr>
      <w:r>
        <w:t xml:space="preserve">    Level of care</w:t>
      </w:r>
    </w:p>
    <w:p>
      <w:pPr>
        <w:pStyle w:val="BodyText"/>
      </w:pPr>
      <w:r>
        <w:t xml:space="preserve">0 (NA%)</w:t>
      </w:r>
    </w:p>
    <w:p>
      <w:pPr>
        <w:pStyle w:val="BodyText"/>
      </w:pPr>
      <w:r>
        <w:t xml:space="preserve">60 (14%)</w:t>
      </w:r>
    </w:p>
    <w:p>
      <w:pPr>
        <w:pStyle w:val="BodyText"/>
      </w:pPr>
      <w:r>
        <w:t xml:space="preserve">    Logistics/technical</w:t>
      </w:r>
    </w:p>
    <w:p>
      <w:pPr>
        <w:pStyle w:val="BodyText"/>
      </w:pPr>
      <w:r>
        <w:t xml:space="preserve">0 (NA%)</w:t>
      </w:r>
    </w:p>
    <w:p>
      <w:pPr>
        <w:pStyle w:val="BodyText"/>
      </w:pPr>
      <w:r>
        <w:t xml:space="preserve">61 (14%)</w:t>
      </w:r>
    </w:p>
    <w:p>
      <w:pPr>
        <w:pStyle w:val="BodyText"/>
      </w:pPr>
      <w:r>
        <w:t xml:space="preserve">    Missed injury</w:t>
      </w:r>
    </w:p>
    <w:p>
      <w:pPr>
        <w:pStyle w:val="BodyText"/>
      </w:pPr>
      <w:r>
        <w:t xml:space="preserve">0 (NA%)</w:t>
      </w:r>
    </w:p>
    <w:p>
      <w:pPr>
        <w:pStyle w:val="BodyText"/>
      </w:pPr>
      <w:r>
        <w:t xml:space="preserve">2 (0.5%)</w:t>
      </w:r>
    </w:p>
    <w:p>
      <w:pPr>
        <w:pStyle w:val="BodyText"/>
      </w:pPr>
      <w:r>
        <w:t xml:space="preserve">    Patient management</w:t>
      </w:r>
    </w:p>
    <w:p>
      <w:pPr>
        <w:pStyle w:val="BodyText"/>
      </w:pPr>
      <w:r>
        <w:t xml:space="preserve">0 (NA%)</w:t>
      </w:r>
    </w:p>
    <w:p>
      <w:pPr>
        <w:pStyle w:val="BodyText"/>
      </w:pPr>
      <w:r>
        <w:t xml:space="preserve">61 (14%)</w:t>
      </w:r>
    </w:p>
    <w:p>
      <w:pPr>
        <w:pStyle w:val="BodyText"/>
      </w:pPr>
      <w:r>
        <w:t xml:space="preserve">    Patient management/logistics</w:t>
      </w:r>
    </w:p>
    <w:p>
      <w:pPr>
        <w:pStyle w:val="BodyText"/>
      </w:pPr>
      <w:r>
        <w:t xml:space="preserve">0 (NA%)</w:t>
      </w:r>
    </w:p>
    <w:p>
      <w:pPr>
        <w:pStyle w:val="BodyText"/>
      </w:pPr>
      <w:r>
        <w:t xml:space="preserve">59 (14%)</w:t>
      </w:r>
    </w:p>
    <w:p>
      <w:pPr>
        <w:pStyle w:val="BodyText"/>
      </w:pPr>
      <w:r>
        <w:t xml:space="preserve">    Resources</w:t>
      </w:r>
    </w:p>
    <w:p>
      <w:pPr>
        <w:pStyle w:val="BodyText"/>
      </w:pPr>
      <w:r>
        <w:t xml:space="preserve">0 (NA%)</w:t>
      </w:r>
    </w:p>
    <w:p>
      <w:pPr>
        <w:pStyle w:val="BodyText"/>
      </w:pPr>
      <w:r>
        <w:t xml:space="preserve">62 (14%)</w:t>
      </w:r>
    </w:p>
    <w:p>
      <w:pPr>
        <w:pStyle w:val="BodyText"/>
      </w:pPr>
      <w:r>
        <w:t xml:space="preserve">    Tertiary survey</w:t>
      </w:r>
    </w:p>
    <w:p>
      <w:pPr>
        <w:pStyle w:val="BodyText"/>
      </w:pPr>
      <w:r>
        <w:t xml:space="preserve">0 (NA%)</w:t>
      </w:r>
    </w:p>
    <w:p>
      <w:pPr>
        <w:pStyle w:val="BodyText"/>
      </w:pPr>
      <w:r>
        <w:t xml:space="preserve">1 (0.2%)</w:t>
      </w:r>
    </w:p>
    <w:p>
      <w:pPr>
        <w:pStyle w:val="BodyText"/>
      </w:pPr>
      <w:r>
        <w:t xml:space="preserve">    Trauma criteria/guidelines</w:t>
      </w:r>
    </w:p>
    <w:p>
      <w:pPr>
        <w:pStyle w:val="BodyText"/>
      </w:pPr>
      <w:r>
        <w:t xml:space="preserve">0 (NA%)</w:t>
      </w:r>
    </w:p>
    <w:p>
      <w:pPr>
        <w:pStyle w:val="BodyText"/>
      </w:pPr>
      <w:r>
        <w:t xml:space="preserve">3 (0.7%)</w:t>
      </w:r>
    </w:p>
    <w:p>
      <w:pPr>
        <w:pStyle w:val="BodyText"/>
      </w:pPr>
      <w:r>
        <w:t xml:space="preserve">    Triage in the ED</w:t>
      </w:r>
    </w:p>
    <w:p>
      <w:pPr>
        <w:pStyle w:val="BodyText"/>
      </w:pPr>
      <w:r>
        <w:t xml:space="preserve">0 (NA%)</w:t>
      </w:r>
    </w:p>
    <w:p>
      <w:pPr>
        <w:pStyle w:val="BodyText"/>
      </w:pPr>
      <w:r>
        <w:t xml:space="preserve">59 (14%)</w:t>
      </w:r>
    </w:p>
    <w:p>
      <w:pPr>
        <w:pStyle w:val="BodyText"/>
      </w:pPr>
      <w:r>
        <w:t xml:space="preserve">    Unknown</w:t>
      </w:r>
    </w:p>
    <w:p>
      <w:pPr>
        <w:pStyle w:val="BodyText"/>
      </w:pPr>
      <w:r>
        <w:t xml:space="preserve">1,572</w:t>
      </w:r>
    </w:p>
    <w:p>
      <w:pPr>
        <w:pStyle w:val="BodyText"/>
      </w:pPr>
      <w:r>
        <w:t xml:space="preserve">4,580</w:t>
      </w:r>
    </w:p>
    <w:p>
      <w:pPr>
        <w:pStyle w:val="BodyText"/>
      </w:pPr>
      <w:r>
        <w:t xml:space="preserve">Base Excess (BE)</w:t>
      </w:r>
    </w:p>
    <w:p>
      <w:pPr>
        <w:pStyle w:val="BodyText"/>
      </w:pPr>
      <w:r>
        <w:t xml:space="preserve">-6 (-15, 2)</w:t>
      </w:r>
    </w:p>
    <w:p>
      <w:pPr>
        <w:pStyle w:val="BodyText"/>
      </w:pPr>
      <w:r>
        <w:t xml:space="preserve">-6 (-14, 2)</w:t>
      </w:r>
    </w:p>
    <w:p>
      <w:pPr>
        <w:pStyle w:val="BodyText"/>
      </w:pPr>
      <w:r>
        <w:t xml:space="preserve">    Unknown</w:t>
      </w:r>
    </w:p>
    <w:p>
      <w:pPr>
        <w:pStyle w:val="BodyText"/>
      </w:pPr>
      <w:r>
        <w:t xml:space="preserve">6</w:t>
      </w:r>
    </w:p>
    <w:p>
      <w:pPr>
        <w:pStyle w:val="BodyText"/>
      </w:pPr>
      <w:r>
        <w:t xml:space="preserve">18</w:t>
      </w:r>
    </w:p>
    <w:p>
      <w:pPr>
        <w:pStyle w:val="BodyText"/>
      </w:pPr>
      <w:r>
        <w:t xml:space="preserve">INR</w:t>
      </w:r>
    </w:p>
    <w:p>
      <w:pPr>
        <w:pStyle w:val="BodyText"/>
      </w:pPr>
      <w:r>
        <w:t xml:space="preserve">3.00 (1.60, 4.40)</w:t>
      </w:r>
    </w:p>
    <w:p>
      <w:pPr>
        <w:pStyle w:val="BodyText"/>
      </w:pPr>
      <w:r>
        <w:t xml:space="preserve">3.00 (1.70, 4.40)</w:t>
      </w:r>
    </w:p>
    <w:p>
      <w:pPr>
        <w:pStyle w:val="BodyText"/>
      </w:pPr>
      <w:r>
        <w:t xml:space="preserve">    Unknown</w:t>
      </w:r>
    </w:p>
    <w:p>
      <w:pPr>
        <w:pStyle w:val="BodyText"/>
      </w:pPr>
      <w:r>
        <w:t xml:space="preserve">32</w:t>
      </w:r>
    </w:p>
    <w:p>
      <w:pPr>
        <w:pStyle w:val="BodyText"/>
      </w:pPr>
      <w:r>
        <w:t xml:space="preserve">92</w:t>
      </w:r>
    </w:p>
    <w:p>
      <w:pPr>
        <w:pStyle w:val="BodyText"/>
      </w:pPr>
      <w:r>
        <w:t xml:space="preserve">Shock classification - BE</w:t>
      </w:r>
    </w:p>
    <w:p>
      <w:pPr>
        <w:pStyle w:val="BodyText"/>
      </w:pPr>
    </w:p>
    <w:p>
      <w:pPr>
        <w:pStyle w:val="BodyText"/>
      </w:pPr>
    </w:p>
    <w:p>
      <w:pPr>
        <w:pStyle w:val="BodyText"/>
      </w:pPr>
      <w:r>
        <w:t xml:space="preserve">    Class 1 (no shock)</w:t>
      </w:r>
    </w:p>
    <w:p>
      <w:pPr>
        <w:pStyle w:val="BodyText"/>
      </w:pPr>
      <w:r>
        <w:t xml:space="preserve">587 (37%)</w:t>
      </w:r>
    </w:p>
    <w:p>
      <w:pPr>
        <w:pStyle w:val="BodyText"/>
      </w:pPr>
      <w:r>
        <w:t xml:space="preserve">1,950 (39%)</w:t>
      </w:r>
    </w:p>
    <w:p>
      <w:pPr>
        <w:pStyle w:val="BodyText"/>
      </w:pPr>
      <w:r>
        <w:t xml:space="preserve">    Class 2 (mild)</w:t>
      </w:r>
    </w:p>
    <w:p>
      <w:pPr>
        <w:pStyle w:val="BodyText"/>
      </w:pPr>
      <w:r>
        <w:t xml:space="preserve">210 (13%)</w:t>
      </w:r>
    </w:p>
    <w:p>
      <w:pPr>
        <w:pStyle w:val="BodyText"/>
      </w:pPr>
      <w:r>
        <w:t xml:space="preserve">625 (13%)</w:t>
      </w:r>
    </w:p>
    <w:p>
      <w:pPr>
        <w:pStyle w:val="BodyText"/>
      </w:pPr>
      <w:r>
        <w:t xml:space="preserve">    Class 3 (moderate)</w:t>
      </w:r>
    </w:p>
    <w:p>
      <w:pPr>
        <w:pStyle w:val="BodyText"/>
      </w:pPr>
      <w:r>
        <w:t xml:space="preserve">172 (11%)</w:t>
      </w:r>
    </w:p>
    <w:p>
      <w:pPr>
        <w:pStyle w:val="BodyText"/>
      </w:pPr>
      <w:r>
        <w:t xml:space="preserve">607 (12%)</w:t>
      </w:r>
    </w:p>
    <w:p>
      <w:pPr>
        <w:pStyle w:val="BodyText"/>
      </w:pPr>
      <w:r>
        <w:t xml:space="preserve">    Class 4 (severe)</w:t>
      </w:r>
    </w:p>
    <w:p>
      <w:pPr>
        <w:pStyle w:val="BodyText"/>
      </w:pPr>
      <w:r>
        <w:t xml:space="preserve">597 (38%)</w:t>
      </w:r>
    </w:p>
    <w:p>
      <w:pPr>
        <w:pStyle w:val="BodyText"/>
      </w:pPr>
      <w:r>
        <w:t xml:space="preserve">1,810 (36%)</w:t>
      </w:r>
    </w:p>
    <w:p>
      <w:pPr>
        <w:pStyle w:val="BodyText"/>
      </w:pPr>
      <w:r>
        <w:t xml:space="preserve">    Unknown</w:t>
      </w:r>
    </w:p>
    <w:p>
      <w:pPr>
        <w:pStyle w:val="BodyText"/>
      </w:pPr>
      <w:r>
        <w:t xml:space="preserve">6</w:t>
      </w:r>
    </w:p>
    <w:p>
      <w:pPr>
        <w:pStyle w:val="BodyText"/>
      </w:pPr>
      <w:r>
        <w:t xml:space="preserve">18</w:t>
      </w:r>
    </w:p>
    <w:p>
      <w:pPr>
        <w:pStyle w:val="BodyText"/>
      </w:pPr>
      <w:r>
        <w:t xml:space="preserve">Shock classification - SBP</w:t>
      </w:r>
    </w:p>
    <w:p>
      <w:pPr>
        <w:pStyle w:val="BodyText"/>
      </w:pPr>
    </w:p>
    <w:p>
      <w:pPr>
        <w:pStyle w:val="BodyText"/>
      </w:pPr>
    </w:p>
    <w:p>
      <w:pPr>
        <w:pStyle w:val="BodyText"/>
      </w:pPr>
      <w:r>
        <w:t xml:space="preserve">    Class 1 (no shock)</w:t>
      </w:r>
    </w:p>
    <w:p>
      <w:pPr>
        <w:pStyle w:val="BodyText"/>
      </w:pPr>
      <w:r>
        <w:t xml:space="preserve">1,099 (70%)</w:t>
      </w:r>
    </w:p>
    <w:p>
      <w:pPr>
        <w:pStyle w:val="BodyText"/>
      </w:pPr>
      <w:r>
        <w:t xml:space="preserve">3,341 (67%)</w:t>
      </w:r>
    </w:p>
    <w:p>
      <w:pPr>
        <w:pStyle w:val="BodyText"/>
      </w:pPr>
      <w:r>
        <w:t xml:space="preserve">    Class 2 (mild)</w:t>
      </w:r>
    </w:p>
    <w:p>
      <w:pPr>
        <w:pStyle w:val="BodyText"/>
      </w:pPr>
      <w:r>
        <w:t xml:space="preserve">75 (4.8%)</w:t>
      </w:r>
    </w:p>
    <w:p>
      <w:pPr>
        <w:pStyle w:val="BodyText"/>
      </w:pPr>
      <w:r>
        <w:t xml:space="preserve">261 (5.2%)</w:t>
      </w:r>
    </w:p>
    <w:p>
      <w:pPr>
        <w:pStyle w:val="BodyText"/>
      </w:pPr>
      <w:r>
        <w:t xml:space="preserve">    Class 3 (moderate)</w:t>
      </w:r>
    </w:p>
    <w:p>
      <w:pPr>
        <w:pStyle w:val="BodyText"/>
      </w:pPr>
      <w:r>
        <w:t xml:space="preserve">73 (4.7%)</w:t>
      </w:r>
    </w:p>
    <w:p>
      <w:pPr>
        <w:pStyle w:val="BodyText"/>
      </w:pPr>
      <w:r>
        <w:t xml:space="preserve">270 (5.4%)</w:t>
      </w:r>
    </w:p>
    <w:p>
      <w:pPr>
        <w:pStyle w:val="BodyText"/>
      </w:pPr>
      <w:r>
        <w:t xml:space="preserve">    Class 4 (severe)</w:t>
      </w:r>
    </w:p>
    <w:p>
      <w:pPr>
        <w:pStyle w:val="BodyText"/>
      </w:pPr>
      <w:r>
        <w:t xml:space="preserve">319 (20%)</w:t>
      </w:r>
    </w:p>
    <w:p>
      <w:pPr>
        <w:pStyle w:val="BodyText"/>
      </w:pPr>
      <w:r>
        <w:t xml:space="preserve">1,119 (22%)</w:t>
      </w:r>
    </w:p>
    <w:p>
      <w:pPr>
        <w:pStyle w:val="BodyText"/>
      </w:pPr>
      <w:r>
        <w:t xml:space="preserve">    Unknown</w:t>
      </w:r>
    </w:p>
    <w:p>
      <w:pPr>
        <w:pStyle w:val="BodyText"/>
      </w:pPr>
      <w:r>
        <w:t xml:space="preserve">6</w:t>
      </w:r>
    </w:p>
    <w:p>
      <w:pPr>
        <w:pStyle w:val="BodyText"/>
      </w:pPr>
      <w:r>
        <w:t xml:space="preserve">19</w:t>
      </w:r>
    </w:p>
    <w:p>
      <w:pPr>
        <w:pStyle w:val="BodyText"/>
      </w:pPr>
      <w:r>
        <w:t xml:space="preserve">1</w:t>
      </w:r>
      <w:r>
        <w:t xml:space="preserve"> </w:t>
      </w:r>
      <w:r>
        <w:t xml:space="preserve">Median (Q1, Q3); n (%)</w:t>
      </w:r>
    </w:p>
    <w:bookmarkEnd w:id="38"/>
    <w:p>
      <w:pPr>
        <w:pStyle w:val="BodyText"/>
      </w:pPr>
      <w:r>
        <w:t xml:space="preserve">Characteristic</w:t>
      </w:r>
    </w:p>
    <w:p>
      <w:pPr>
        <w:pStyle w:val="BodyText"/>
      </w:pPr>
      <w:r>
        <w:t xml:space="preserve">OR</w:t>
      </w:r>
      <w:r>
        <w:t xml:space="preserve">1</w:t>
      </w:r>
    </w:p>
    <w:p>
      <w:pPr>
        <w:pStyle w:val="BodyText"/>
      </w:pPr>
      <w:r>
        <w:t xml:space="preserve">95% CI</w:t>
      </w:r>
      <w:r>
        <w:t xml:space="preserve">1</w:t>
      </w:r>
    </w:p>
    <w:p>
      <w:pPr>
        <w:pStyle w:val="BodyText"/>
      </w:pPr>
      <w:r>
        <w:t xml:space="preserve">p-value</w:t>
      </w:r>
    </w:p>
    <w:p>
      <w:pPr>
        <w:pStyle w:val="BodyText"/>
      </w:pPr>
      <w:r>
        <w:t xml:space="preserve">Age (Years)</w:t>
      </w:r>
    </w:p>
    <w:p>
      <w:pPr>
        <w:pStyle w:val="BodyText"/>
      </w:pPr>
      <w:r>
        <w:t xml:space="preserve">1.00</w:t>
      </w:r>
    </w:p>
    <w:p>
      <w:pPr>
        <w:pStyle w:val="BodyText"/>
      </w:pPr>
      <w:r>
        <w:t xml:space="preserve">1.00, 1.00</w:t>
      </w:r>
    </w:p>
    <w:p>
      <w:pPr>
        <w:pStyle w:val="BodyText"/>
      </w:pPr>
      <w:r>
        <w:t xml:space="preserve">0.7</w:t>
      </w:r>
    </w:p>
    <w:p>
      <w:pPr>
        <w:pStyle w:val="BodyText"/>
      </w:pPr>
      <w:r>
        <w:t xml:space="preserve">Gender (M/F)</w:t>
      </w:r>
    </w:p>
    <w:p>
      <w:pPr>
        <w:pStyle w:val="BodyText"/>
      </w:pPr>
    </w:p>
    <w:p>
      <w:pPr>
        <w:pStyle w:val="BodyText"/>
      </w:pPr>
    </w:p>
    <w:p>
      <w:pPr>
        <w:pStyle w:val="BodyText"/>
      </w:pPr>
    </w:p>
    <w:p>
      <w:pPr>
        <w:pStyle w:val="BodyText"/>
      </w:pPr>
      <w:r>
        <w:t xml:space="preserve">    Female</w:t>
      </w:r>
    </w:p>
    <w:p>
      <w:pPr>
        <w:pStyle w:val="BodyText"/>
      </w:pPr>
      <w:r>
        <w:t xml:space="preserve">—</w:t>
      </w:r>
    </w:p>
    <w:p>
      <w:pPr>
        <w:pStyle w:val="BodyText"/>
      </w:pPr>
      <w:r>
        <w:t xml:space="preserve">—</w:t>
      </w:r>
    </w:p>
    <w:p>
      <w:pPr>
        <w:pStyle w:val="BodyText"/>
      </w:pPr>
    </w:p>
    <w:p>
      <w:pPr>
        <w:pStyle w:val="BodyText"/>
      </w:pPr>
      <w:r>
        <w:t xml:space="preserve">    Male</w:t>
      </w:r>
    </w:p>
    <w:p>
      <w:pPr>
        <w:pStyle w:val="BodyText"/>
      </w:pPr>
      <w:r>
        <w:t xml:space="preserve">0.93</w:t>
      </w:r>
    </w:p>
    <w:p>
      <w:pPr>
        <w:pStyle w:val="BodyText"/>
      </w:pPr>
      <w:r>
        <w:t xml:space="preserve">0.81, 1.08</w:t>
      </w:r>
    </w:p>
    <w:p>
      <w:pPr>
        <w:pStyle w:val="BodyText"/>
      </w:pPr>
      <w:r>
        <w:t xml:space="preserve">0.3</w:t>
      </w:r>
    </w:p>
    <w:p>
      <w:pPr>
        <w:pStyle w:val="BodyText"/>
      </w:pPr>
      <w:r>
        <w:t xml:space="preserve">Pre-injury ASA</w:t>
      </w:r>
    </w:p>
    <w:p>
      <w:pPr>
        <w:pStyle w:val="BodyText"/>
      </w:pPr>
    </w:p>
    <w:p>
      <w:pPr>
        <w:pStyle w:val="BodyText"/>
      </w:pPr>
    </w:p>
    <w:p>
      <w:pPr>
        <w:pStyle w:val="BodyText"/>
      </w:pPr>
    </w:p>
    <w:p>
      <w:pPr>
        <w:pStyle w:val="BodyText"/>
      </w:pPr>
      <w:r>
        <w:t xml:space="preserve">    1</w:t>
      </w:r>
    </w:p>
    <w:p>
      <w:pPr>
        <w:pStyle w:val="BodyText"/>
      </w:pPr>
      <w:r>
        <w:t xml:space="preserve">—</w:t>
      </w:r>
    </w:p>
    <w:p>
      <w:pPr>
        <w:pStyle w:val="BodyText"/>
      </w:pPr>
      <w:r>
        <w:t xml:space="preserve">—</w:t>
      </w:r>
    </w:p>
    <w:p>
      <w:pPr>
        <w:pStyle w:val="BodyText"/>
      </w:pPr>
    </w:p>
    <w:p>
      <w:pPr>
        <w:pStyle w:val="BodyText"/>
      </w:pPr>
      <w:r>
        <w:t xml:space="preserve">    2</w:t>
      </w:r>
    </w:p>
    <w:p>
      <w:pPr>
        <w:pStyle w:val="BodyText"/>
      </w:pPr>
      <w:r>
        <w:t xml:space="preserve">0.73</w:t>
      </w:r>
    </w:p>
    <w:p>
      <w:pPr>
        <w:pStyle w:val="BodyText"/>
      </w:pPr>
      <w:r>
        <w:t xml:space="preserve">0.60, 0.89</w:t>
      </w:r>
    </w:p>
    <w:p>
      <w:pPr>
        <w:pStyle w:val="BodyText"/>
      </w:pPr>
      <w:r>
        <w:t xml:space="preserve">0.002</w:t>
      </w:r>
    </w:p>
    <w:p>
      <w:pPr>
        <w:pStyle w:val="BodyText"/>
      </w:pPr>
      <w:r>
        <w:t xml:space="preserve">    3</w:t>
      </w:r>
    </w:p>
    <w:p>
      <w:pPr>
        <w:pStyle w:val="BodyText"/>
      </w:pPr>
      <w:r>
        <w:t xml:space="preserve">0.92</w:t>
      </w:r>
    </w:p>
    <w:p>
      <w:pPr>
        <w:pStyle w:val="BodyText"/>
      </w:pPr>
      <w:r>
        <w:t xml:space="preserve">0.75, 1.13</w:t>
      </w:r>
    </w:p>
    <w:p>
      <w:pPr>
        <w:pStyle w:val="BodyText"/>
      </w:pPr>
      <w:r>
        <w:t xml:space="preserve">0.4</w:t>
      </w:r>
    </w:p>
    <w:p>
      <w:pPr>
        <w:pStyle w:val="BodyText"/>
      </w:pPr>
      <w:r>
        <w:t xml:space="preserve">    4</w:t>
      </w:r>
    </w:p>
    <w:p>
      <w:pPr>
        <w:pStyle w:val="BodyText"/>
      </w:pPr>
      <w:r>
        <w:t xml:space="preserve">0.97</w:t>
      </w:r>
    </w:p>
    <w:p>
      <w:pPr>
        <w:pStyle w:val="BodyText"/>
      </w:pPr>
      <w:r>
        <w:t xml:space="preserve">0.78, 1.19</w:t>
      </w:r>
    </w:p>
    <w:p>
      <w:pPr>
        <w:pStyle w:val="BodyText"/>
      </w:pPr>
      <w:r>
        <w:t xml:space="preserve">0.7</w:t>
      </w:r>
    </w:p>
    <w:p>
      <w:pPr>
        <w:pStyle w:val="BodyText"/>
      </w:pPr>
      <w:r>
        <w:t xml:space="preserve">INR</w:t>
      </w:r>
    </w:p>
    <w:p>
      <w:pPr>
        <w:pStyle w:val="BodyText"/>
      </w:pPr>
      <w:r>
        <w:t xml:space="preserve">1.00</w:t>
      </w:r>
    </w:p>
    <w:p>
      <w:pPr>
        <w:pStyle w:val="BodyText"/>
      </w:pPr>
      <w:r>
        <w:t xml:space="preserve">0.97, 1.04</w:t>
      </w:r>
    </w:p>
    <w:p>
      <w:pPr>
        <w:pStyle w:val="BlockText"/>
      </w:pPr>
      <w:r>
        <w:t xml:space="preserve">0.9</w:t>
      </w:r>
    </w:p>
    <w:p>
      <w:pPr>
        <w:pStyle w:val="BlockText"/>
      </w:pPr>
      <w:r>
        <w:t xml:space="preserve">Injury Severity Score</w:t>
      </w:r>
    </w:p>
    <w:p>
      <w:pPr>
        <w:pStyle w:val="BlockText"/>
      </w:pPr>
      <w:r>
        <w:t xml:space="preserve">1.00</w:t>
      </w:r>
    </w:p>
    <w:p>
      <w:pPr>
        <w:pStyle w:val="BlockText"/>
      </w:pPr>
      <w:r>
        <w:t xml:space="preserve">0.99, 1.00</w:t>
      </w:r>
    </w:p>
    <w:p>
      <w:pPr>
        <w:pStyle w:val="BlockText"/>
      </w:pPr>
      <w:r>
        <w:t xml:space="preserve">0.2</w:t>
      </w:r>
    </w:p>
    <w:p>
      <w:pPr>
        <w:pStyle w:val="BlockText"/>
      </w:pPr>
      <w:r>
        <w:t xml:space="preserve">Shock classification - BE</w:t>
      </w:r>
    </w:p>
    <w:p>
      <w:pPr>
        <w:pStyle w:val="BlockText"/>
      </w:pPr>
    </w:p>
    <w:p>
      <w:pPr>
        <w:pStyle w:val="BlockText"/>
      </w:pPr>
    </w:p>
    <w:p>
      <w:pPr>
        <w:pStyle w:val="BlockText"/>
      </w:pPr>
    </w:p>
    <w:p>
      <w:pPr>
        <w:pStyle w:val="BlockText"/>
      </w:pPr>
      <w:r>
        <w:t xml:space="preserve">    Class 1 (no shock)</w:t>
      </w:r>
    </w:p>
    <w:p>
      <w:pPr>
        <w:pStyle w:val="BlockText"/>
      </w:pPr>
      <w:r>
        <w:t xml:space="preserve">—</w:t>
      </w:r>
    </w:p>
    <w:p>
      <w:pPr>
        <w:pStyle w:val="BlockText"/>
      </w:pPr>
      <w:r>
        <w:t xml:space="preserve">—</w:t>
      </w:r>
    </w:p>
    <w:p>
      <w:pPr>
        <w:pStyle w:val="BlockText"/>
      </w:pPr>
    </w:p>
    <w:p>
      <w:pPr>
        <w:pStyle w:val="BlockText"/>
      </w:pPr>
      <w:r>
        <w:t xml:space="preserve">    Class 2 (mild)</w:t>
      </w:r>
    </w:p>
    <w:p>
      <w:pPr>
        <w:pStyle w:val="BlockText"/>
      </w:pPr>
      <w:r>
        <w:t xml:space="preserve">0.93</w:t>
      </w:r>
    </w:p>
    <w:p>
      <w:pPr>
        <w:pStyle w:val="BlockText"/>
      </w:pPr>
      <w:r>
        <w:t xml:space="preserve">0.74, 1.17</w:t>
      </w:r>
    </w:p>
    <w:p>
      <w:pPr>
        <w:pStyle w:val="BlockText"/>
      </w:pPr>
      <w:r>
        <w:t xml:space="preserve">0.5</w:t>
      </w:r>
    </w:p>
    <w:p>
      <w:pPr>
        <w:pStyle w:val="BlockText"/>
      </w:pPr>
      <w:r>
        <w:t xml:space="preserve">    Class 3 (moderate)</w:t>
      </w:r>
    </w:p>
    <w:p>
      <w:pPr>
        <w:pStyle w:val="BlockText"/>
      </w:pPr>
      <w:r>
        <w:t xml:space="preserve">0.99</w:t>
      </w:r>
    </w:p>
    <w:p>
      <w:pPr>
        <w:pStyle w:val="BlockText"/>
      </w:pPr>
      <w:r>
        <w:t xml:space="preserve">0.78, 1.26</w:t>
      </w:r>
    </w:p>
    <w:p>
      <w:pPr>
        <w:pStyle w:val="BlockText"/>
      </w:pPr>
      <w:r>
        <w:t xml:space="preserve">0.9</w:t>
      </w:r>
    </w:p>
    <w:p>
      <w:pPr>
        <w:pStyle w:val="BlockText"/>
      </w:pPr>
      <w:r>
        <w:t xml:space="preserve">    Class 4 (severe)</w:t>
      </w:r>
    </w:p>
    <w:p>
      <w:pPr>
        <w:pStyle w:val="BlockText"/>
      </w:pPr>
      <w:r>
        <w:t xml:space="preserve">0.85</w:t>
      </w:r>
    </w:p>
    <w:p>
      <w:pPr>
        <w:pStyle w:val="BlockText"/>
      </w:pPr>
      <w:r>
        <w:t xml:space="preserve">0.72, 1.00</w:t>
      </w:r>
    </w:p>
    <w:p>
      <w:pPr>
        <w:pStyle w:val="BlockText"/>
      </w:pPr>
      <w:r>
        <w:t xml:space="preserve">0.045</w:t>
      </w:r>
    </w:p>
    <w:p>
      <w:pPr>
        <w:pStyle w:val="BlockText"/>
      </w:pPr>
      <w:r>
        <w:t xml:space="preserve">Shock classification - SBP</w:t>
      </w:r>
    </w:p>
    <w:p>
      <w:pPr>
        <w:pStyle w:val="BlockText"/>
      </w:pPr>
    </w:p>
    <w:p>
      <w:pPr>
        <w:pStyle w:val="BlockText"/>
      </w:pPr>
    </w:p>
    <w:p>
      <w:pPr>
        <w:pStyle w:val="BlockText"/>
      </w:pPr>
    </w:p>
    <w:p>
      <w:pPr>
        <w:pStyle w:val="BlockText"/>
      </w:pPr>
      <w:r>
        <w:t xml:space="preserve">    Class 1 (no shock)</w:t>
      </w:r>
    </w:p>
    <w:p>
      <w:pPr>
        <w:pStyle w:val="BlockText"/>
      </w:pPr>
      <w:r>
        <w:t xml:space="preserve">—</w:t>
      </w:r>
    </w:p>
    <w:p>
      <w:pPr>
        <w:pStyle w:val="BlockText"/>
      </w:pPr>
      <w:r>
        <w:t xml:space="preserve">—</w:t>
      </w:r>
    </w:p>
    <w:p>
      <w:pPr>
        <w:pStyle w:val="BlockText"/>
      </w:pPr>
    </w:p>
    <w:p>
      <w:pPr>
        <w:pStyle w:val="BlockText"/>
      </w:pPr>
      <w:r>
        <w:t xml:space="preserve">    Class 2 (mild)</w:t>
      </w:r>
    </w:p>
    <w:p>
      <w:pPr>
        <w:pStyle w:val="BlockText"/>
      </w:pPr>
      <w:r>
        <w:t xml:space="preserve">1.00</w:t>
      </w:r>
    </w:p>
    <w:p>
      <w:pPr>
        <w:pStyle w:val="BlockText"/>
      </w:pPr>
      <w:r>
        <w:t xml:space="preserve">0.73, 1.38</w:t>
      </w:r>
    </w:p>
    <w:p>
      <w:pPr>
        <w:pStyle w:val="BlockText"/>
      </w:pPr>
      <w:r>
        <w:t xml:space="preserve">0.9</w:t>
      </w:r>
    </w:p>
    <w:p>
      <w:pPr>
        <w:pStyle w:val="BlockText"/>
      </w:pPr>
      <w:r>
        <w:t xml:space="preserve">    Class 3 (moderate)</w:t>
      </w:r>
    </w:p>
    <w:p>
      <w:pPr>
        <w:pStyle w:val="BlockText"/>
      </w:pPr>
      <w:r>
        <w:t xml:space="preserve">1.08</w:t>
      </w:r>
    </w:p>
    <w:p>
      <w:pPr>
        <w:pStyle w:val="BlockText"/>
      </w:pPr>
      <w:r>
        <w:t xml:space="preserve">0.79, 1.50</w:t>
      </w:r>
    </w:p>
    <w:p>
      <w:pPr>
        <w:pStyle w:val="BlockText"/>
      </w:pPr>
      <w:r>
        <w:t xml:space="preserve">0.6</w:t>
      </w:r>
    </w:p>
    <w:p>
      <w:pPr>
        <w:pStyle w:val="BlockText"/>
      </w:pPr>
      <w:r>
        <w:t xml:space="preserve">    Class 4 (severe)</w:t>
      </w:r>
    </w:p>
    <w:p>
      <w:pPr>
        <w:pStyle w:val="BlockText"/>
      </w:pPr>
      <w:r>
        <w:t xml:space="preserve">1.10</w:t>
      </w:r>
    </w:p>
    <w:p>
      <w:pPr>
        <w:pStyle w:val="BlockText"/>
      </w:pPr>
      <w:r>
        <w:t xml:space="preserve">0.92, 1.32</w:t>
      </w:r>
    </w:p>
    <w:p>
      <w:pPr>
        <w:pStyle w:val="BlockText"/>
      </w:pPr>
      <w:r>
        <w:t xml:space="preserve">0.3</w:t>
      </w:r>
    </w:p>
    <w:p>
      <w:pPr>
        <w:pStyle w:val="FirstParagraph"/>
      </w:pPr>
      <w:r>
        <w:t xml:space="preserve">1</w:t>
      </w:r>
      <w:r>
        <w:t xml:space="preserve"> </w:t>
      </w:r>
      <w:r>
        <w:t xml:space="preserve">OR = Odds Ratio, CI = Confidence Interval</w:t>
      </w:r>
    </w:p>
    <w:p>
      <w:pPr>
        <w:pStyle w:val="BodyText"/>
      </w:pPr>
      <w:r>
        <w:t xml:space="preserve">You can also embed plots:</w:t>
      </w:r>
    </w:p>
    <w:p>
      <w:pPr>
        <w:pStyle w:val="BodyText"/>
      </w:pPr>
      <w:r>
        <w:drawing>
          <wp:inline>
            <wp:extent cx="4620126" cy="3696101"/>
            <wp:effectExtent b="0" l="0" r="0" t="0"/>
            <wp:docPr descr="" title="" id="40" name="Picture"/>
            <a:graphic>
              <a:graphicData uri="http://schemas.openxmlformats.org/drawingml/2006/picture">
                <pic:pic>
                  <pic:nvPicPr>
                    <pic:cNvPr descr="/home/carls/patients-in-shock-ofi/out/thesis_files/figure-docx/plo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mix text and code, so called inline code, like this: 7.</w:t>
      </w:r>
    </w:p>
    <w:bookmarkEnd w:id="42"/>
    <w:bookmarkStart w:id="43" w:name="discussion"/>
    <w:p>
      <w:pPr>
        <w:pStyle w:val="Heading1"/>
      </w:pPr>
      <w:r>
        <w:t xml:space="preserve">Discussion</w:t>
      </w:r>
    </w:p>
    <w:bookmarkEnd w:id="43"/>
    <w:bookmarkStart w:id="44" w:name="conclusion"/>
    <w:p>
      <w:pPr>
        <w:pStyle w:val="Heading1"/>
      </w:pPr>
      <w:r>
        <w:t xml:space="preserve">Conclusion</w:t>
      </w:r>
    </w:p>
    <w:bookmarkEnd w:id="44"/>
    <w:bookmarkStart w:id="96" w:name="references"/>
    <w:p>
      <w:pPr>
        <w:pStyle w:val="Heading1"/>
      </w:pPr>
      <w:r>
        <w:t xml:space="preserve">References</w:t>
      </w:r>
    </w:p>
    <w:bookmarkStart w:id="95" w:name="refs"/>
    <w:bookmarkStart w:id="46"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5">
        <w:r>
          <w:rPr>
            <w:rStyle w:val="Hyperlink"/>
          </w:rPr>
          <w:t xml:space="preserve">https://www.who.int/news-room/fact-sheets/detail/injuries-and-violence</w:t>
        </w:r>
      </w:hyperlink>
    </w:p>
    <w:bookmarkEnd w:id="46"/>
    <w:bookmarkStart w:id="48"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47">
        <w:r>
          <w:rPr>
            <w:rStyle w:val="Hyperlink"/>
          </w:rPr>
          <w:t xml:space="preserve">https://rcsyd.se/swetrau/wp-content/uploads/sites/10/2022/06/A%CC%8Arsrapport-SweTrau-2021.pdf</w:t>
        </w:r>
      </w:hyperlink>
    </w:p>
    <w:bookmarkEnd w:id="48"/>
    <w:bookmarkStart w:id="50"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49">
        <w:r>
          <w:rPr>
            <w:rStyle w:val="Hyperlink"/>
          </w:rPr>
          <w:t xml:space="preserve">https://www.sciencedirect.com/science/article/pii/S0733862707000600</w:t>
        </w:r>
      </w:hyperlink>
    </w:p>
    <w:bookmarkEnd w:id="50"/>
    <w:bookmarkStart w:id="52"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51">
        <w:r>
          <w:rPr>
            <w:rStyle w:val="Hyperlink"/>
          </w:rPr>
          <w:t xml:space="preserve">https://www.ncbi.nlm.nih.gov/books/NBK459123/</w:t>
        </w:r>
      </w:hyperlink>
    </w:p>
    <w:bookmarkEnd w:id="52"/>
    <w:bookmarkStart w:id="54" w:name="ref-leech_shock_2023"/>
    <w:p>
      <w:pPr>
        <w:pStyle w:val="Bibliography"/>
      </w:pPr>
      <w:r>
        <w:t xml:space="preserve">5.</w:t>
      </w:r>
      <w:r>
        <w:t xml:space="preserve"> </w:t>
      </w:r>
      <w:r>
        <w:t xml:space="preserve">	</w:t>
      </w:r>
      <w:r>
        <w:t xml:space="preserve">Leech C, Turner J.</w:t>
      </w:r>
      <w:r>
        <w:t xml:space="preserve"> </w:t>
      </w:r>
      <w:hyperlink r:id="rId53">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54"/>
    <w:bookmarkStart w:id="56"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55">
        <w:r>
          <w:rPr>
            <w:rStyle w:val="Hyperlink"/>
          </w:rPr>
          <w:t xml:space="preserve">https://www.ncbi.nlm.nih.gov/pmc/articles/PMC6323133/</w:t>
        </w:r>
      </w:hyperlink>
    </w:p>
    <w:bookmarkEnd w:id="56"/>
    <w:bookmarkStart w:id="58"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57">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8"/>
    <w:bookmarkStart w:id="60"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59">
        <w:r>
          <w:rPr>
            <w:rStyle w:val="Hyperlink"/>
          </w:rPr>
          <w:t xml:space="preserve">https://www.uptodate.com/contents/initial-management-of-trauma-in-adults?topicRef=127887&amp;source=see_link#H1929754</w:t>
        </w:r>
      </w:hyperlink>
    </w:p>
    <w:bookmarkEnd w:id="60"/>
    <w:bookmarkStart w:id="62"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61">
        <w:r>
          <w:rPr>
            <w:rStyle w:val="Hyperlink"/>
          </w:rPr>
          <w:t xml:space="preserve">https://cirugia.facmed.unam.mx/wp-content/uploads/2018/07/Advanced-Trauma-Life-Support.pdf</w:t>
        </w:r>
      </w:hyperlink>
    </w:p>
    <w:bookmarkEnd w:id="62"/>
    <w:bookmarkStart w:id="64"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63">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64"/>
    <w:bookmarkStart w:id="66" w:name="ref-mackersie_pitfalls_2010"/>
    <w:p>
      <w:pPr>
        <w:pStyle w:val="Bibliography"/>
      </w:pPr>
      <w:r>
        <w:t xml:space="preserve">11.</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65">
        <w:r>
          <w:rPr>
            <w:rStyle w:val="Hyperlink"/>
          </w:rPr>
          <w:t xml:space="preserve">https://www.sciencedirect.com/science/article/pii/S0733862709001199</w:t>
        </w:r>
      </w:hyperlink>
    </w:p>
    <w:bookmarkEnd w:id="66"/>
    <w:bookmarkStart w:id="68" w:name="ref-ivatury_patient_2008"/>
    <w:p>
      <w:pPr>
        <w:pStyle w:val="Bibliography"/>
      </w:pPr>
      <w:r>
        <w:t xml:space="preserve">12.</w:t>
      </w:r>
      <w:r>
        <w:t xml:space="preserve"> </w:t>
      </w:r>
      <w:r>
        <w:t xml:space="preserve">	</w:t>
      </w:r>
      <w:r>
        <w:t xml:space="preserve">Ivatury RR, Guilford K, Malhotra AK, Duane T, Aboutanos M, Martin N.</w:t>
      </w:r>
      <w:r>
        <w:t xml:space="preserve"> </w:t>
      </w:r>
      <w:hyperlink r:id="rId67">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8"/>
    <w:bookmarkStart w:id="70" w:name="X9db8e71a0533962266d08f8a7d5abffdfc5204c"/>
    <w:p>
      <w:pPr>
        <w:pStyle w:val="Bibliography"/>
      </w:pPr>
      <w:r>
        <w:t xml:space="preserve">13.</w:t>
      </w:r>
      <w:r>
        <w:t xml:space="preserve"> </w:t>
      </w:r>
      <w:r>
        <w:t xml:space="preserve">	</w:t>
      </w:r>
      <w:r>
        <w:t xml:space="preserve">World Health Organization. Guidelines for trauma quality improvement programmes. 2009 [cited 2024 Sep 20];104. Available from:</w:t>
      </w:r>
      <w:r>
        <w:t xml:space="preserve"> </w:t>
      </w:r>
      <w:hyperlink r:id="rId69">
        <w:r>
          <w:rPr>
            <w:rStyle w:val="Hyperlink"/>
          </w:rPr>
          <w:t xml:space="preserve">https://iris.who.int/handle/10665/44061</w:t>
        </w:r>
      </w:hyperlink>
    </w:p>
    <w:bookmarkEnd w:id="70"/>
    <w:bookmarkStart w:id="72" w:name="ref-juillard_establishing_2009"/>
    <w:p>
      <w:pPr>
        <w:pStyle w:val="Bibliography"/>
      </w:pPr>
      <w:r>
        <w:t xml:space="preserve">14.</w:t>
      </w:r>
      <w:r>
        <w:t xml:space="preserve"> </w:t>
      </w:r>
      <w:r>
        <w:t xml:space="preserve">	</w:t>
      </w:r>
      <w:r>
        <w:t xml:space="preserve">Juillard CJ, Mock C, Goosen J, Joshipura M, Civil I.</w:t>
      </w:r>
      <w:r>
        <w:t xml:space="preserve"> </w:t>
      </w:r>
      <w:hyperlink r:id="rId71">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72"/>
    <w:bookmarkStart w:id="74" w:name="ref-hashmi_hospital-based_2013"/>
    <w:p>
      <w:pPr>
        <w:pStyle w:val="Bibliography"/>
      </w:pPr>
      <w:r>
        <w:t xml:space="preserve">15.</w:t>
      </w:r>
      <w:r>
        <w:t xml:space="preserve"> </w:t>
      </w:r>
      <w:r>
        <w:t xml:space="preserve">	</w:t>
      </w:r>
      <w:r>
        <w:t xml:space="preserve">Hashmi ZG, Haider AH, Zafar SN, Kisat M, Moosa A, Siddiqui F, et al.</w:t>
      </w:r>
      <w:r>
        <w:t xml:space="preserve"> </w:t>
      </w:r>
      <w:hyperlink r:id="rId73">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74"/>
    <w:bookmarkStart w:id="76" w:name="ref-donabedian_quality_1988"/>
    <w:p>
      <w:pPr>
        <w:pStyle w:val="Bibliography"/>
      </w:pPr>
      <w:r>
        <w:t xml:space="preserve">16.</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5">
        <w:r>
          <w:rPr>
            <w:rStyle w:val="Hyperlink"/>
          </w:rPr>
          <w:t xml:space="preserve">https://doi.org/10.1001/jama.1988.03410120089033</w:t>
        </w:r>
      </w:hyperlink>
    </w:p>
    <w:bookmarkEnd w:id="76"/>
    <w:bookmarkStart w:id="78" w:name="ref-berry_shock_2015"/>
    <w:p>
      <w:pPr>
        <w:pStyle w:val="Bibliography"/>
      </w:pPr>
      <w:r>
        <w:t xml:space="preserve">17.</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77">
        <w:r>
          <w:rPr>
            <w:rStyle w:val="Hyperlink"/>
          </w:rPr>
          <w:t xml:space="preserve">https://doi.org/10.1007/978-3-642-29613-0_505</w:t>
        </w:r>
      </w:hyperlink>
    </w:p>
    <w:bookmarkEnd w:id="78"/>
    <w:bookmarkStart w:id="80" w:name="ref-tisherman_detailed_2015"/>
    <w:p>
      <w:pPr>
        <w:pStyle w:val="Bibliography"/>
      </w:pPr>
      <w:r>
        <w:t xml:space="preserve">18.</w:t>
      </w:r>
      <w:r>
        <w:t xml:space="preserve"> </w:t>
      </w:r>
      <w:r>
        <w:t xml:space="preserve">	</w:t>
      </w:r>
      <w:r>
        <w:t xml:space="preserve">Tisherman SA, Schmicker RH, Brasel KJ, Bulger EM, Kerby JD, Minei JP, et al.</w:t>
      </w:r>
      <w:r>
        <w:t xml:space="preserve"> </w:t>
      </w:r>
      <w:hyperlink r:id="rId79">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80"/>
    <w:bookmarkStart w:id="82" w:name="ref-christie_how_2023"/>
    <w:p>
      <w:pPr>
        <w:pStyle w:val="Bibliography"/>
      </w:pPr>
      <w:r>
        <w:t xml:space="preserve">19.</w:t>
      </w:r>
      <w:r>
        <w:t xml:space="preserve"> </w:t>
      </w:r>
      <w:r>
        <w:t xml:space="preserve">	</w:t>
      </w:r>
      <w:r>
        <w:t xml:space="preserve">Christie SA, Zheng D, Dissak-Delon F, Kinge T, Njock R, Nkusu D, et al.</w:t>
      </w:r>
      <w:r>
        <w:t xml:space="preserve"> </w:t>
      </w:r>
      <w:hyperlink r:id="rId81">
        <w:r>
          <w:rPr>
            <w:rStyle w:val="Hyperlink"/>
          </w:rPr>
          <w:t xml:space="preserve">How trauma patients die in low resource settings:</w:t>
        </w:r>
        <w:r>
          <w:rPr>
            <w:rStyle w:val="Hyperlink"/>
          </w:rPr>
          <w:t xml:space="preserve"> </w:t>
        </w:r>
        <w:r>
          <w:rPr>
            <w:rStyle w:val="Hyperlink"/>
          </w:rPr>
          <w:t xml:space="preserve">Identifying</w:t>
        </w:r>
        <w:r>
          <w:rPr>
            <w:rStyle w:val="Hyperlink"/>
          </w:rPr>
          <w:t xml:space="preserve"> </w:t>
        </w:r>
        <w:r>
          <w:rPr>
            <w:rStyle w:val="Hyperlink"/>
          </w:rPr>
          <w:t xml:space="preserve">early targets for trauma quality improvement</w:t>
        </w:r>
      </w:hyperlink>
      <w:r>
        <w:t xml:space="preserve">. The Journal of Trauma and Acute Care Surgery. 2023 Feb;94(2):288–94.</w:t>
      </w:r>
      <w:r>
        <w:t xml:space="preserve"> </w:t>
      </w:r>
    </w:p>
    <w:bookmarkEnd w:id="82"/>
    <w:bookmarkStart w:id="84" w:name="ref-yucel_trauma_2006"/>
    <w:p>
      <w:pPr>
        <w:pStyle w:val="Bibliography"/>
      </w:pPr>
      <w:r>
        <w:t xml:space="preserve">20.</w:t>
      </w:r>
      <w:r>
        <w:t xml:space="preserve"> </w:t>
      </w:r>
      <w:r>
        <w:t xml:space="preserve">	</w:t>
      </w:r>
      <w:r>
        <w:t xml:space="preserve">Yücel N, Lefering R, Maegele M, Vorweg M, Tjardes T, Ruchholtz S, et al.</w:t>
      </w:r>
      <w:r>
        <w:t xml:space="preserve"> </w:t>
      </w:r>
      <w:hyperlink r:id="rId83">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84"/>
    <w:bookmarkStart w:id="86" w:name="ref-ogura_modified_2016"/>
    <w:p>
      <w:pPr>
        <w:pStyle w:val="Bibliography"/>
      </w:pPr>
      <w:r>
        <w:t xml:space="preserve">21.</w:t>
      </w:r>
      <w:r>
        <w:t xml:space="preserve"> </w:t>
      </w:r>
      <w:r>
        <w:t xml:space="preserve">	</w:t>
      </w:r>
      <w:r>
        <w:t xml:space="preserve">Ogura T, Lefor AK, Masuda M, Kushimoto S.</w:t>
      </w:r>
      <w:r>
        <w:t xml:space="preserve"> </w:t>
      </w:r>
      <w:hyperlink r:id="rId85">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86"/>
    <w:bookmarkStart w:id="88" w:name="ref-hanlin_prehospital_2024"/>
    <w:p>
      <w:pPr>
        <w:pStyle w:val="Bibliography"/>
      </w:pPr>
      <w:r>
        <w:t xml:space="preserve">22.</w:t>
      </w:r>
      <w:r>
        <w:t xml:space="preserve"> </w:t>
      </w:r>
      <w:r>
        <w:t xml:space="preserve">	</w:t>
      </w:r>
      <w:r>
        <w:t xml:space="preserve">Hanlin E, Meyer DE, Heft N, Stilgenbauer H, Cotton B, Bourgeois M, et al.</w:t>
      </w:r>
      <w:r>
        <w:t xml:space="preserve"> </w:t>
      </w:r>
      <w:hyperlink r:id="rId87">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88"/>
    <w:bookmarkStart w:id="90" w:name="ref-eastridge_hypotension_2007"/>
    <w:p>
      <w:pPr>
        <w:pStyle w:val="Bibliography"/>
      </w:pPr>
      <w:r>
        <w:t xml:space="preserve">23.</w:t>
      </w:r>
      <w:r>
        <w:t xml:space="preserve"> </w:t>
      </w:r>
      <w:r>
        <w:t xml:space="preserve">	</w:t>
      </w:r>
      <w:r>
        <w:t xml:space="preserve">Eastridge BJ, Salinas J, McManus JG, Blackburn L, Bugler EM, Cooke WH, et al.</w:t>
      </w:r>
      <w:r>
        <w:t xml:space="preserve"> </w:t>
      </w:r>
      <w:hyperlink r:id="rId89">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90"/>
    <w:bookmarkStart w:id="92" w:name="ref-oyetunji_redefining_2011"/>
    <w:p>
      <w:pPr>
        <w:pStyle w:val="Bibliography"/>
      </w:pPr>
      <w:r>
        <w:t xml:space="preserve">24.</w:t>
      </w:r>
      <w:r>
        <w:t xml:space="preserve"> </w:t>
      </w:r>
      <w:r>
        <w:t xml:space="preserve">	</w:t>
      </w:r>
      <w:r>
        <w:t xml:space="preserve">Oyetunji TA, Chang DC, Crompton JG, Greene WR, Efron DT, Haut ER, et al.</w:t>
      </w:r>
      <w:r>
        <w:t xml:space="preserve"> </w:t>
      </w:r>
      <w:hyperlink r:id="rId91">
        <w:r>
          <w:rPr>
            <w:rStyle w:val="Hyperlink"/>
          </w:rPr>
          <w:t xml:space="preserve">Redefining hypotension in the elderly: Normotension is not reassuring</w:t>
        </w:r>
      </w:hyperlink>
      <w:r>
        <w:t xml:space="preserve">. Archives of Surgery (Chicago, Ill: 1960). 2011 Jul;146(7):865–9.</w:t>
      </w:r>
      <w:r>
        <w:t xml:space="preserve"> </w:t>
      </w:r>
    </w:p>
    <w:bookmarkEnd w:id="92"/>
    <w:bookmarkStart w:id="94" w:name="ref-dunham_comparison_2017"/>
    <w:p>
      <w:pPr>
        <w:pStyle w:val="Bibliography"/>
      </w:pPr>
      <w:r>
        <w:t xml:space="preserve">25.</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93">
        <w:r>
          <w:rPr>
            <w:rStyle w:val="Hyperlink"/>
          </w:rPr>
          <w:t xml:space="preserve">https://www.sciencedirect.com/science/article/pii/S0020138317303972</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61" Target="https://cirugia.facmed.unam.mx/wp-content/uploads/2018/07/Advanced-Trauma-Life-Support.pdf" TargetMode="External" /><Relationship Type="http://schemas.openxmlformats.org/officeDocument/2006/relationships/hyperlink" Id="rId91" Target="https://doi.org/10.1001/archsurg.2011.154" TargetMode="External" /><Relationship Type="http://schemas.openxmlformats.org/officeDocument/2006/relationships/hyperlink" Id="rId75" Target="https://doi.org/10.1001/jama.1988.03410120089033" TargetMode="External" /><Relationship Type="http://schemas.openxmlformats.org/officeDocument/2006/relationships/hyperlink" Id="rId77" Target="https://doi.org/10.1007/978-3-642-29613-0_505" TargetMode="External" /><Relationship Type="http://schemas.openxmlformats.org/officeDocument/2006/relationships/hyperlink" Id="rId71" Target="https://doi.org/10.1007/s00268-009-9959-8" TargetMode="External" /><Relationship Type="http://schemas.openxmlformats.org/officeDocument/2006/relationships/hyperlink" Id="rId85" Target="https://doi.org/10.1016/j.ajem.2016.02.072" TargetMode="External" /><Relationship Type="http://schemas.openxmlformats.org/officeDocument/2006/relationships/hyperlink" Id="rId53" Target="https://doi.org/10.1016/j.emc.2022.09.007" TargetMode="External" /><Relationship Type="http://schemas.openxmlformats.org/officeDocument/2006/relationships/hyperlink" Id="rId63" Target="https://doi.org/10.1016/j.resuscitation.2011.01.013" TargetMode="External" /><Relationship Type="http://schemas.openxmlformats.org/officeDocument/2006/relationships/hyperlink" Id="rId87" Target="https://doi.org/10.1080/10903127.2023.2166174" TargetMode="External" /><Relationship Type="http://schemas.openxmlformats.org/officeDocument/2006/relationships/hyperlink" Id="rId83" Target="https://doi.org/10.1097/01.ta.0000220386.84012.bf" TargetMode="External" /><Relationship Type="http://schemas.openxmlformats.org/officeDocument/2006/relationships/hyperlink" Id="rId79" Target="https://doi.org/10.1097/SLA.0000000000000837" TargetMode="External" /><Relationship Type="http://schemas.openxmlformats.org/officeDocument/2006/relationships/hyperlink" Id="rId81" Target="https://doi.org/10.1097/TA.0000000000003768" TargetMode="External" /><Relationship Type="http://schemas.openxmlformats.org/officeDocument/2006/relationships/hyperlink" Id="rId89" Target="https://doi.org/10.1097/TA.0b013e31809ed924" TargetMode="External" /><Relationship Type="http://schemas.openxmlformats.org/officeDocument/2006/relationships/hyperlink" Id="rId57" Target="https://doi.org/10.1097/TA.0b013e31815078ae" TargetMode="External" /><Relationship Type="http://schemas.openxmlformats.org/officeDocument/2006/relationships/hyperlink" Id="rId67" Target="https://doi.org/10.1097/TA.0b013e318163359d" TargetMode="External" /><Relationship Type="http://schemas.openxmlformats.org/officeDocument/2006/relationships/hyperlink" Id="rId73" Target="https://doi.org/10.1097/TA.0b013e31829880a0" TargetMode="External" /><Relationship Type="http://schemas.openxmlformats.org/officeDocument/2006/relationships/hyperlink" Id="rId69" Target="https://iris.who.int/handle/10665/44061" TargetMode="External" /><Relationship Type="http://schemas.openxmlformats.org/officeDocument/2006/relationships/hyperlink" Id="rId47" Target="https://rcsyd.se/swetrau/wp-content/uploads/sites/10/2022/06/A%CC%8Arsrapport-SweTrau-2021.pdf" TargetMode="External" /><Relationship Type="http://schemas.openxmlformats.org/officeDocument/2006/relationships/hyperlink" Id="rId51" Target="https://www.ncbi.nlm.nih.gov/books/NBK459123/" TargetMode="External" /><Relationship Type="http://schemas.openxmlformats.org/officeDocument/2006/relationships/hyperlink" Id="rId55" Target="https://www.ncbi.nlm.nih.gov/pmc/articles/PMC6323133/" TargetMode="External" /><Relationship Type="http://schemas.openxmlformats.org/officeDocument/2006/relationships/hyperlink" Id="rId93" Target="https://www.sciencedirect.com/science/article/pii/S0020138317303972" TargetMode="External" /><Relationship Type="http://schemas.openxmlformats.org/officeDocument/2006/relationships/hyperlink" Id="rId49" Target="https://www.sciencedirect.com/science/article/pii/S0733862707000600" TargetMode="External" /><Relationship Type="http://schemas.openxmlformats.org/officeDocument/2006/relationships/hyperlink" Id="rId65" Target="https://www.sciencedirect.com/science/article/pii/S0733862709001199" TargetMode="External" /><Relationship Type="http://schemas.openxmlformats.org/officeDocument/2006/relationships/hyperlink" Id="rId59" Target="https://www.uptodate.com/contents/initial-management-of-trauma-in-adults?topicRef=127887&amp;source=see_link#H1929754" TargetMode="External" /><Relationship Type="http://schemas.openxmlformats.org/officeDocument/2006/relationships/hyperlink" Id="rId45"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61" Target="https://cirugia.facmed.unam.mx/wp-content/uploads/2018/07/Advanced-Trauma-Life-Support.pdf" TargetMode="External" /><Relationship Type="http://schemas.openxmlformats.org/officeDocument/2006/relationships/hyperlink" Id="rId91" Target="https://doi.org/10.1001/archsurg.2011.154" TargetMode="External" /><Relationship Type="http://schemas.openxmlformats.org/officeDocument/2006/relationships/hyperlink" Id="rId75" Target="https://doi.org/10.1001/jama.1988.03410120089033" TargetMode="External" /><Relationship Type="http://schemas.openxmlformats.org/officeDocument/2006/relationships/hyperlink" Id="rId77" Target="https://doi.org/10.1007/978-3-642-29613-0_505" TargetMode="External" /><Relationship Type="http://schemas.openxmlformats.org/officeDocument/2006/relationships/hyperlink" Id="rId71" Target="https://doi.org/10.1007/s00268-009-9959-8" TargetMode="External" /><Relationship Type="http://schemas.openxmlformats.org/officeDocument/2006/relationships/hyperlink" Id="rId85" Target="https://doi.org/10.1016/j.ajem.2016.02.072" TargetMode="External" /><Relationship Type="http://schemas.openxmlformats.org/officeDocument/2006/relationships/hyperlink" Id="rId53" Target="https://doi.org/10.1016/j.emc.2022.09.007" TargetMode="External" /><Relationship Type="http://schemas.openxmlformats.org/officeDocument/2006/relationships/hyperlink" Id="rId63" Target="https://doi.org/10.1016/j.resuscitation.2011.01.013" TargetMode="External" /><Relationship Type="http://schemas.openxmlformats.org/officeDocument/2006/relationships/hyperlink" Id="rId87" Target="https://doi.org/10.1080/10903127.2023.2166174" TargetMode="External" /><Relationship Type="http://schemas.openxmlformats.org/officeDocument/2006/relationships/hyperlink" Id="rId83" Target="https://doi.org/10.1097/01.ta.0000220386.84012.bf" TargetMode="External" /><Relationship Type="http://schemas.openxmlformats.org/officeDocument/2006/relationships/hyperlink" Id="rId79" Target="https://doi.org/10.1097/SLA.0000000000000837" TargetMode="External" /><Relationship Type="http://schemas.openxmlformats.org/officeDocument/2006/relationships/hyperlink" Id="rId81" Target="https://doi.org/10.1097/TA.0000000000003768" TargetMode="External" /><Relationship Type="http://schemas.openxmlformats.org/officeDocument/2006/relationships/hyperlink" Id="rId89" Target="https://doi.org/10.1097/TA.0b013e31809ed924" TargetMode="External" /><Relationship Type="http://schemas.openxmlformats.org/officeDocument/2006/relationships/hyperlink" Id="rId57" Target="https://doi.org/10.1097/TA.0b013e31815078ae" TargetMode="External" /><Relationship Type="http://schemas.openxmlformats.org/officeDocument/2006/relationships/hyperlink" Id="rId67" Target="https://doi.org/10.1097/TA.0b013e318163359d" TargetMode="External" /><Relationship Type="http://schemas.openxmlformats.org/officeDocument/2006/relationships/hyperlink" Id="rId73" Target="https://doi.org/10.1097/TA.0b013e31829880a0" TargetMode="External" /><Relationship Type="http://schemas.openxmlformats.org/officeDocument/2006/relationships/hyperlink" Id="rId69" Target="https://iris.who.int/handle/10665/44061" TargetMode="External" /><Relationship Type="http://schemas.openxmlformats.org/officeDocument/2006/relationships/hyperlink" Id="rId47" Target="https://rcsyd.se/swetrau/wp-content/uploads/sites/10/2022/06/A%CC%8Arsrapport-SweTrau-2021.pdf" TargetMode="External" /><Relationship Type="http://schemas.openxmlformats.org/officeDocument/2006/relationships/hyperlink" Id="rId51" Target="https://www.ncbi.nlm.nih.gov/books/NBK459123/" TargetMode="External" /><Relationship Type="http://schemas.openxmlformats.org/officeDocument/2006/relationships/hyperlink" Id="rId55" Target="https://www.ncbi.nlm.nih.gov/pmc/articles/PMC6323133/" TargetMode="External" /><Relationship Type="http://schemas.openxmlformats.org/officeDocument/2006/relationships/hyperlink" Id="rId93" Target="https://www.sciencedirect.com/science/article/pii/S0020138317303972" TargetMode="External" /><Relationship Type="http://schemas.openxmlformats.org/officeDocument/2006/relationships/hyperlink" Id="rId49" Target="https://www.sciencedirect.com/science/article/pii/S0733862707000600" TargetMode="External" /><Relationship Type="http://schemas.openxmlformats.org/officeDocument/2006/relationships/hyperlink" Id="rId65" Target="https://www.sciencedirect.com/science/article/pii/S0733862709001199" TargetMode="External" /><Relationship Type="http://schemas.openxmlformats.org/officeDocument/2006/relationships/hyperlink" Id="rId59" Target="https://www.uptodate.com/contents/initial-management-of-trauma-in-adults?topicRef=127887&amp;source=see_link#H1929754" TargetMode="External" /><Relationship Type="http://schemas.openxmlformats.org/officeDocument/2006/relationships/hyperlink" Id="rId45"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2024-10-26T16:19:18Z</dcterms:created>
  <dcterms:modified xsi:type="dcterms:W3CDTF">2024-10-26T16:19:18Z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