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numbers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is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assess the severity of trauma shock, patients can be categorized by stratifying symptoms and physiological parameters into degrees. Although no single international standard exists for such classifications, there is Advanced Trauma Life Support (ATLS) system for major hemorrhage, which is part of the internationally recognised ATLS trauma management course curriculum</w:t>
      </w:r>
      <w:r>
        <w:t xml:space="preserve">(9)</w:t>
      </w:r>
      <w:r>
        <w:t xml:space="preserve">. This system stratifies patients into four shock classes based on estimated blood loss, heart rate (HR), blood pressure (BP), pulse pressure, respiratory rate (RR), mental status, and urine output</w:t>
      </w:r>
      <w:r>
        <w:t xml:space="preserve">(9)</w:t>
      </w:r>
      <w:r>
        <w:t xml:space="preserve">. However, studies have indicated that the ATLS classification has limited prognostic accuracy</w:t>
      </w:r>
      <w:r>
        <w:t xml:space="preserve">(10)</w:t>
      </w:r>
      <w:r>
        <w:t xml:space="preserve"> </w:t>
      </w:r>
      <w:r>
        <w:t xml:space="preserve">and is often impractical for clinical use</w:t>
      </w:r>
      <w:r>
        <w:t xml:space="preserve">(11)</w:t>
      </w:r>
      <w:r>
        <w:t xml:space="preserve">, which may explain the low uptake in practice</w:t>
      </w:r>
      <w:r>
        <w:t xml:space="preserve">(12)</w:t>
      </w:r>
      <w:r>
        <w:t xml:space="preserve">.</w:t>
      </w:r>
    </w:p>
    <w:p>
      <w:pPr>
        <w:pStyle w:val="BodyText"/>
      </w:pPr>
      <w:r>
        <w:rPr>
          <w:bCs/>
          <w:b/>
        </w:rPr>
        <w:t xml:space="preserve">ATLS 10th edition</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p>
      <w:pPr>
        <w:pStyle w:val="BodyText"/>
      </w:pPr>
      <w:r>
        <w:t xml:space="preserve">Alternative scoring systems have been developed to address specific clinical needs, such as the Trauma Associated Severe Hemorrhage (TASH) and Assessment of Blood Consumption (ABC) scores for predicting massive transfusion</w:t>
      </w:r>
      <w:r>
        <w:t xml:space="preserve">(13)</w:t>
      </w:r>
      <w:r>
        <w:t xml:space="preserve">, and the National Early Warning Score 2 (NEWS2) for monitoring general patient deterioration [källa?]. While none of these systems is explicitly designed to classify trauma shock across all shock types, each can, to some extent, aid in categorizing shock severity based on core physiological parameters.</w:t>
      </w:r>
    </w:p>
    <w:p>
      <w:pPr>
        <w:pStyle w:val="BodyText"/>
      </w:pPr>
      <w:r>
        <w:t xml:space="preserve">Ultimately, the shared foundation of these classifications lies in their reliance on vital signs and additional clinical indicators, underscoring the importance of physiological metrics in assessing shock severity across different clinical settings.</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(7,14,15)</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(16)</w:t>
      </w:r>
      <w:r>
        <w:t xml:space="preserve">. By implementing formal quality measures and conducting collaborative case reviews, QI programs have strengthened trauma systems and improved patient outcomes in various settings globally</w:t>
      </w:r>
      <w:r>
        <w:t xml:space="preserve">(17,18)</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(16)</w:t>
      </w:r>
      <w:r>
        <w:t xml:space="preserve">. In order for the review content to be as comprehensive as possible and taking in a system oriented approach, the Donabedian quality of care framework can be used</w:t>
      </w:r>
      <w:r>
        <w:t xml:space="preserve">(16,19)</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(17,18)</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(20)</w:t>
      </w:r>
      <w:r>
        <w:t xml:space="preserve">, with a median time to death from hemorrhagic shock of just 2 hours</w:t>
      </w:r>
      <w:r>
        <w:t xml:space="preserve">(21)</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(22)</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7" w:name="methods"/>
    <w:p>
      <w:pPr>
        <w:pStyle w:val="Heading1"/>
      </w:pPr>
      <w:r>
        <w:t xml:space="preserve">Methods</w:t>
      </w:r>
    </w:p>
    <w:bookmarkStart w:id="28" w:name="study-design"/>
    <w:p>
      <w:pPr>
        <w:pStyle w:val="Heading2"/>
      </w:pPr>
      <w:r>
        <w:t xml:space="preserve">Study design</w:t>
      </w:r>
    </w:p>
    <w:p>
      <w:pPr>
        <w:pStyle w:val="FirstParagraph"/>
      </w:pPr>
      <w:r>
        <w:t xml:space="preserve">A registry-based retrospective cohort study was conducted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is compromised of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29"/>
    <w:bookmarkStart w:id="30"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All patients in the trauma registry and Trauma care quality database were included. Patients younger than 15 and/or were dead on arrival were excluded.</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1"/>
    <w:bookmarkStart w:id="32" w:name="bias"/>
    <w:p>
      <w:pPr>
        <w:pStyle w:val="Heading2"/>
      </w:pPr>
      <w:r>
        <w:t xml:space="preserve">Bias</w:t>
      </w:r>
    </w:p>
    <w:bookmarkEnd w:id="32"/>
    <w:bookmarkStart w:id="33" w:name="study-size"/>
    <w:p>
      <w:pPr>
        <w:pStyle w:val="Heading2"/>
      </w:pPr>
      <w:r>
        <w:t xml:space="preserve">Study size</w:t>
      </w:r>
    </w:p>
    <w:p>
      <w:pPr>
        <w:pStyle w:val="FirstParagraph"/>
      </w:pPr>
      <w:r>
        <w:t xml:space="preserve">All available data in trauma registry and trauma care quality database were included.</w:t>
      </w:r>
    </w:p>
    <w:bookmarkEnd w:id="33"/>
    <w:bookmarkStart w:id="34"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(9)</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(23,24)</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(11)</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the original source</w:t>
      </w:r>
      <w:r>
        <w:t xml:space="preserve">(25)</w:t>
      </w:r>
      <w:r>
        <w:t xml:space="preserve"> </w:t>
      </w:r>
      <w:r>
        <w:t xml:space="preserve">defines class I as base deficit (Inverted BE) ≤ 2, with no lower limit (i.e. an upper limit for BE). The original source classification was chosen for this study.</w:t>
      </w:r>
    </w:p>
    <w:bookmarkEnd w:id="34"/>
    <w:bookmarkStart w:id="35" w:name="statistical-methods"/>
    <w:p>
      <w:pPr>
        <w:pStyle w:val="Heading2"/>
      </w:pPr>
      <w:r>
        <w:t xml:space="preserve">Statistical methods</w:t>
      </w:r>
    </w:p>
    <w:p>
      <w:pPr>
        <w:pStyle w:val="FirstParagraph"/>
      </w:pPr>
      <w:r>
        <w:t xml:space="preserve">The statistical analysis was performed using R, a programming language and environment for statistical computing. OFI subcategories was presented as percentage distributions and visualized in a bar chart. Unadjusted logistic regression was used to determine the association between the OFI, and degree of shock defined by BE and SBP classifications. Adjusted logistic regression incorporated other patient factors such as age, sex, preinjury ASA, INR, and ISS. It was presented as odds ratios (OR) between the presence of OFI, and shock classes. The OR was determined with 95% confidence intervals, and a significance level of 5% was used. All statistical analysis was first done on synthetic data and then later implemented on the data collected from the trauma registry and the trauma care quality database to ensure objectivity. Missing data was addressed by listwise deletion.</w:t>
      </w:r>
    </w:p>
    <w:bookmarkEnd w:id="35"/>
    <w:bookmarkStart w:id="36" w:name="ethics"/>
    <w:p>
      <w:pPr>
        <w:pStyle w:val="Heading2"/>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have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6"/>
    <w:bookmarkEnd w:id="37"/>
    <w:bookmarkStart w:id="42" w:name="results"/>
    <w:p>
      <w:pPr>
        <w:pStyle w:val="Heading1"/>
      </w:pPr>
      <w:r>
        <w:t xml:space="preserve">Results</w:t>
      </w:r>
    </w:p>
    <w:p>
      <w:pPr>
        <w:pStyle w:val="FirstParagraph"/>
      </w:pPr>
      <w:r>
        <w:t xml:space="preserve">You can include code in this document like this:</w:t>
      </w:r>
    </w:p>
    <w:bookmarkStart w:id="38"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8"/>
    <w:bookmarkStart w:id="39"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9"/>
    <w:bookmarkStart w:id="40"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0"/>
    <w:bookmarkStart w:id="41" w:name="main-results"/>
    <w:p>
      <w:pPr>
        <w:pStyle w:val="Heading2"/>
      </w:pPr>
      <w:r>
        <w:t xml:space="preserve">Main results</w:t>
      </w:r>
    </w:p>
    <w:p>
      <w:pPr>
        <w:pStyle w:val="FirstParagraph"/>
      </w:pPr>
      <w:r>
        <w:t xml:space="preserve">The adjusted analyses showed only statistical significance when comparing BE class 4 to class 1, which had 63% reduced odds for OFI (OR 0,37; 95% CI 0,14-0,83; p-value 0.026).</w:t>
      </w:r>
    </w:p>
    <w:p>
      <w:pPr>
        <w:pStyle w:val="BodyText"/>
      </w:pPr>
      <w:r>
        <w:t xml:space="preserve">The un-adjusted analysis showed when comparing to class 1 in BE group, class 2 and 3 increased odds for OFI by 61% (OR 1,61; 95% CI 1,17-2,20; p-value 0.003) respective 91% (OR 1,91; 95% CI 1,08-3,16; p-value 0.018). The SBP group showed, when comparing class 4 to class 1, there were increased odds of 128%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p>
      <w:pPr>
        <w:pStyle w:val="BodyText"/>
      </w:pPr>
      <w:r>
        <w:t xml:space="preserve">When doing the regression in steps, it can be observed that the biggest changes of OR occurs when adding the ISS parameter into the regression model both for the BE and SBP groups.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pt_asa_preinjury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ed_inr_numeric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pt_asa_preinjury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ed_inr_numeric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41"/>
    <w:bookmarkEnd w:id="42"/>
    <w:bookmarkStart w:id="47" w:name="discussion"/>
    <w:p>
      <w:pPr>
        <w:pStyle w:val="Heading1"/>
      </w:pPr>
      <w:r>
        <w:t xml:space="preserve">Discussion</w:t>
      </w:r>
    </w:p>
    <w:bookmarkStart w:id="43" w:name="key-results"/>
    <w:p>
      <w:pPr>
        <w:pStyle w:val="Heading2"/>
      </w:pPr>
      <w:r>
        <w:t xml:space="preserve">Key results</w:t>
      </w:r>
    </w:p>
    <w:p>
      <w:pPr>
        <w:pStyle w:val="FirstParagraph"/>
      </w:pPr>
      <w:r>
        <w:t xml:space="preserve">We found that the most common type of OFI is clinical judgement error across almost all shock severities. Out of all shock severities, there is only statistical significant association between severe shock with a BE of &lt; -10 and OFI, which shows a 63% reduced odds of OFI when comparing against those with no shock.</w:t>
      </w:r>
    </w:p>
    <w:p>
      <w:pPr>
        <w:pStyle w:val="BodyText"/>
      </w:pPr>
      <w:r>
        <w:t xml:space="preserve">Previous studies</w:t>
      </w:r>
      <w:r>
        <w:t xml:space="preserve"> </w:t>
      </w:r>
      <w:r>
        <w:t xml:space="preserve">(7,26)</w:t>
      </w:r>
      <w:r>
        <w:t xml:space="preserve"> </w:t>
      </w:r>
      <w:r>
        <w:t xml:space="preserve">which studied cases with a deathly outcome, showed that the most common OFI type was delay in treatment, while the second most common is clinical judgement error</w:t>
      </w:r>
      <w:r>
        <w:t xml:space="preserve"> </w:t>
      </w:r>
      <w:r>
        <w:t xml:space="preserve">(7)</w:t>
      </w:r>
      <w:r>
        <w:t xml:space="preserve">, or errors in management</w:t>
      </w:r>
      <w:r>
        <w:t xml:space="preserve">(26)</w:t>
      </w:r>
      <w:r>
        <w:t xml:space="preserve">. In comparison, our results showed the most common OFI is clinical judgement error (36%), while inadequate resources was second (22%) and delay in treatment comes third (17%), for the whole study population. These differences could be due to the nature of the studied population, where delay in treatment may be more deadly, therefore it takes up a smaller part in our results, while clinical judgement error takes a larger part. (KÄLLA)</w:t>
      </w:r>
    </w:p>
    <w:p>
      <w:pPr>
        <w:pStyle w:val="BodyText"/>
      </w:pPr>
      <w:r>
        <w:t xml:space="preserve">For patients defined as in shock (Class 2-4), the most common was still clinical judgement error (BE 34,7%; SBP 35,3%). This result is similar when compared to D O’reilly’s study</w:t>
      </w:r>
      <w:r>
        <w:t xml:space="preserve"> </w:t>
      </w:r>
      <w:r>
        <w:t xml:space="preserve">(27)</w:t>
      </w:r>
      <w:r>
        <w:t xml:space="preserve">, in which the most common type of opportunities for performance improvements (OPI) was ones involved with decision making at 63 out of 150 OPIs.</w:t>
      </w:r>
    </w:p>
    <w:p>
      <w:pPr>
        <w:pStyle w:val="BodyText"/>
      </w:pPr>
      <w:r>
        <w:t xml:space="preserve">Comparing</w:t>
      </w:r>
    </w:p>
    <w:bookmarkEnd w:id="43"/>
    <w:bookmarkStart w:id="44" w:name="strengths-and-limitations"/>
    <w:p>
      <w:pPr>
        <w:pStyle w:val="Heading2"/>
      </w:pPr>
      <w:r>
        <w:t xml:space="preserve">Strengths and limitations</w:t>
      </w:r>
    </w:p>
    <w:p>
      <w:pPr>
        <w:pStyle w:val="FirstParagraph"/>
      </w:pPr>
      <w:r>
        <w:t xml:space="preserve">One of the limitations is lack of data to design the study around a modern shock/hemorrhage classification which uses combination of base parameters,</w:t>
      </w:r>
    </w:p>
    <w:bookmarkEnd w:id="44"/>
    <w:bookmarkStart w:id="45" w:name="clinicalpractical-applications"/>
    <w:p>
      <w:pPr>
        <w:pStyle w:val="Heading2"/>
      </w:pPr>
      <w:r>
        <w:t xml:space="preserve">Clinical/Practical applications</w:t>
      </w:r>
    </w:p>
    <w:bookmarkEnd w:id="45"/>
    <w:bookmarkStart w:id="46" w:name="future-studies"/>
    <w:p>
      <w:pPr>
        <w:pStyle w:val="Heading2"/>
      </w:pPr>
      <w:r>
        <w:t xml:space="preserve">Future studies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p>
      <w:pPr>
        <w:pStyle w:val="BodyText"/>
      </w:pPr>
      <w:r>
        <w:t xml:space="preserve">The most common type of OFI is clinical judgement error, it is the most common in all BE shock classes and 2/4 classes for SBP classes. is around …% of. It generally takes up …% of all OFI defined as shock (class 2 and below).</w:t>
      </w:r>
    </w:p>
    <w:p>
      <w:pPr>
        <w:pStyle w:val="BodyText"/>
      </w:pPr>
      <w:r>
        <w:t xml:space="preserve">When OFI and shock severity are analysed alone, there are statistical significant correlation for these classes: … . It shows positive correlation where the more severe the shock is, the higher the odds are for an OFI to occur. This in constrast with the adjusted results which showed inverted correlation betwen OFI and shock severity, with 63% lower odds for OFI when comparing the BE class 4 with class 1. However there is no correlation for the other classes nor the classes for the SBP group.</w:t>
      </w:r>
    </w:p>
    <w:p>
      <w:pPr>
        <w:pStyle w:val="BodyText"/>
      </w:pPr>
      <w:r>
        <w:t xml:space="preserve">When analysing the other adjusted factors, ISS seems to be a major confounder which correlates to both OFI and shock severity. This can explain why the results of the adjusted and unadjusted analyses are inverted.</w:t>
      </w:r>
    </w:p>
    <w:p>
      <w:r>
        <w:pict>
          <v:rect style="width:0;height:1.5pt" o:hralign="center" o:hrstd="t" o:hr="t"/>
        </w:pict>
      </w:r>
    </w:p>
    <w:p>
      <w:pPr>
        <w:pStyle w:val="FirstParagraph"/>
      </w:pPr>
      <w:r>
        <w:t xml:space="preserve">Due to lack of data on heart rate, FAST, detailed types of injury and clinical chemistry, we will not be able to use categorisations such as TASH, TBSS and ABC with better sensitivity and specificity than ATLS[</w:t>
      </w:r>
      <w:r>
        <w:t xml:space="preserve">(28)</w:t>
      </w:r>
      <w:r>
        <w:t xml:space="preserve">]</w:t>
      </w:r>
      <w:r>
        <w:t xml:space="preserve">(29)</w:t>
      </w:r>
      <w:r>
        <w:t xml:space="preserve">(30)</w:t>
      </w:r>
      <w:r>
        <w:t xml:space="preserve">.</w:t>
      </w:r>
    </w:p>
    <w:p>
      <w:pPr>
        <w:pStyle w:val="BodyText"/>
      </w:pPr>
      <w:r>
        <w:t xml:space="preserve">Results from the BE approximation done by Mutschler et al</w:t>
      </w:r>
      <w:r>
        <w:t xml:space="preserve"> </w:t>
      </w:r>
      <w:r>
        <w:t xml:space="preserve">(25)</w:t>
      </w:r>
      <w:r>
        <w:t xml:space="preserve"> </w:t>
      </w:r>
      <w:r>
        <w:t xml:space="preserve">which is the same as the tenth edition ATLS shock classification, shows that class I had a mean SBP of 132,6 mmhg and class IV have 94,8 mmhg at the emergency department. As a SBP of 132,6 is at the higher range of normotensive, we will not be able to use it as a upper limit, but the 94,8 mmhg is close to our approximation of 90mmhg for class IV.</w:t>
      </w:r>
    </w:p>
    <w:p>
      <w:pPr>
        <w:pStyle w:val="BodyText"/>
      </w:pPr>
      <w:r>
        <w:t xml:space="preserve">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There are three reasons. The first one is ATLS tenth edition lack numerical values for vital parameters. The second one is that base deficit is superior to vital parameters as a predictive parameter for mortality</w:t>
      </w:r>
      <w:r>
        <w:t xml:space="preserve">(31)</w:t>
      </w:r>
      <w:r>
        <w:t xml:space="preserve">. The third one is due to nature of having multiple parameters, makes it difficult to categorise a patient with vital parameters in two or more classes at the same time and difficult to separate lower GCS due to traumatic brain injury from shock as cause.</w:t>
      </w:r>
    </w:p>
    <w:p>
      <w:pPr>
        <w:pStyle w:val="BodyText"/>
      </w:pPr>
      <w:r>
        <w:t xml:space="preserve">Hantera missing med listwise deletion.</w:t>
      </w:r>
    </w:p>
    <w:bookmarkEnd w:id="46"/>
    <w:bookmarkEnd w:id="47"/>
    <w:bookmarkStart w:id="48" w:name="conclusion"/>
    <w:p>
      <w:pPr>
        <w:pStyle w:val="Heading1"/>
      </w:pPr>
      <w:r>
        <w:t xml:space="preserve">Conclusion</w:t>
      </w:r>
    </w:p>
    <w:bookmarkEnd w:id="48"/>
    <w:bookmarkStart w:id="112" w:name="references"/>
    <w:p>
      <w:pPr>
        <w:pStyle w:val="Heading1"/>
      </w:pPr>
      <w:r>
        <w:t xml:space="preserve">References</w:t>
      </w:r>
    </w:p>
    <w:bookmarkStart w:id="111" w:name="refs"/>
    <w:bookmarkStart w:id="50"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9">
        <w:r>
          <w:rPr>
            <w:rStyle w:val="Hyperlink"/>
          </w:rPr>
          <w:t xml:space="preserve">https://www.who.int/news-room/fact-sheets/detail/injuries-and-violence</w:t>
        </w:r>
      </w:hyperlink>
    </w:p>
    <w:bookmarkEnd w:id="50"/>
    <w:bookmarkStart w:id="52"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51">
        <w:r>
          <w:rPr>
            <w:rStyle w:val="Hyperlink"/>
          </w:rPr>
          <w:t xml:space="preserve">https://rcsyd.se/swetrau/wp-content/uploads/sites/10/2022/06/A%CC%8Arsrapport-SweTrau-2021.pdf</w:t>
        </w:r>
      </w:hyperlink>
    </w:p>
    <w:bookmarkEnd w:id="52"/>
    <w:bookmarkStart w:id="54"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53">
        <w:r>
          <w:rPr>
            <w:rStyle w:val="Hyperlink"/>
          </w:rPr>
          <w:t xml:space="preserve">https://www.sciencedirect.com/science/article/pii/S0733862707000600</w:t>
        </w:r>
      </w:hyperlink>
    </w:p>
    <w:bookmarkEnd w:id="54"/>
    <w:bookmarkStart w:id="56"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55">
        <w:r>
          <w:rPr>
            <w:rStyle w:val="Hyperlink"/>
          </w:rPr>
          <w:t xml:space="preserve">https://www.ncbi.nlm.nih.gov/books/NBK459123/</w:t>
        </w:r>
      </w:hyperlink>
    </w:p>
    <w:bookmarkEnd w:id="56"/>
    <w:bookmarkStart w:id="58" w:name="ref-leech_shock_2023"/>
    <w:p>
      <w:pPr>
        <w:pStyle w:val="Bibliography"/>
      </w:pPr>
      <w:r>
        <w:t xml:space="preserve">5.</w:t>
      </w:r>
      <w:r>
        <w:t xml:space="preserve"> </w:t>
      </w:r>
      <w:r>
        <w:t xml:space="preserve">	</w:t>
      </w:r>
      <w:r>
        <w:t xml:space="preserve">Leech C, Turner J.</w:t>
      </w:r>
      <w:r>
        <w:t xml:space="preserve"> </w:t>
      </w:r>
      <w:hyperlink r:id="rId57">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8"/>
    <w:bookmarkStart w:id="60"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59">
        <w:r>
          <w:rPr>
            <w:rStyle w:val="Hyperlink"/>
          </w:rPr>
          <w:t xml:space="preserve">https://www.ncbi.nlm.nih.gov/pmc/articles/PMC6323133/</w:t>
        </w:r>
      </w:hyperlink>
    </w:p>
    <w:bookmarkEnd w:id="60"/>
    <w:bookmarkStart w:id="62"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61">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62"/>
    <w:bookmarkStart w:id="64"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63">
        <w:r>
          <w:rPr>
            <w:rStyle w:val="Hyperlink"/>
          </w:rPr>
          <w:t xml:space="preserve">https://www.uptodate.com/contents/initial-management-of-trauma-in-adults?topicRef=127887&amp;source=see_link#H1929754</w:t>
        </w:r>
      </w:hyperlink>
    </w:p>
    <w:bookmarkEnd w:id="64"/>
    <w:bookmarkStart w:id="66"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65">
        <w:r>
          <w:rPr>
            <w:rStyle w:val="Hyperlink"/>
          </w:rPr>
          <w:t xml:space="preserve">https://cirugia.facmed.unam.mx/wp-content/uploads/2018/07/Advanced-Trauma-Life-Support.pdf</w:t>
        </w:r>
      </w:hyperlink>
    </w:p>
    <w:bookmarkEnd w:id="66"/>
    <w:bookmarkStart w:id="68"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67">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68"/>
    <w:bookmarkStart w:id="70" w:name="ref-mutschler_critical_2013"/>
    <w:p>
      <w:pPr>
        <w:pStyle w:val="Bibliography"/>
      </w:pPr>
      <w:r>
        <w:t xml:space="preserve">11.</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69">
        <w:r>
          <w:rPr>
            <w:rStyle w:val="Hyperlink"/>
          </w:rPr>
          <w:t xml:space="preserve">https://www.sciencedirect.com/science/article/pii/S0300957212003693</w:t>
        </w:r>
      </w:hyperlink>
    </w:p>
    <w:bookmarkEnd w:id="70"/>
    <w:bookmarkStart w:id="72" w:name="ref-mutschler_is_2015"/>
    <w:p>
      <w:pPr>
        <w:pStyle w:val="Bibliography"/>
      </w:pPr>
      <w:r>
        <w:t xml:space="preserve">12.</w:t>
      </w:r>
      <w:r>
        <w:t xml:space="preserve"> </w:t>
      </w:r>
      <w:r>
        <w:t xml:space="preserve">	</w:t>
      </w:r>
      <w:r>
        <w:t xml:space="preserve">Mutschler M, Hoffmann M, Wölfl C, Münzberg M, Schipper I, Paffrath T, et al.</w:t>
      </w:r>
      <w:r>
        <w:t xml:space="preserve"> </w:t>
      </w:r>
      <w:hyperlink r:id="rId71">
        <w:r>
          <w:rPr>
            <w:rStyle w:val="Hyperlink"/>
          </w:rPr>
          <w:t xml:space="preserve">Is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 appreciated in daily trauma care?</w:t>
        </w:r>
        <w:r>
          <w:rPr>
            <w:rStyle w:val="Hyperlink"/>
          </w:rPr>
          <w:t xml:space="preserve"> </w:t>
        </w:r>
        <w:r>
          <w:rPr>
            <w:rStyle w:val="Hyperlink"/>
          </w:rPr>
          <w:t xml:space="preserve">An</w:t>
        </w:r>
        <w:r>
          <w:rPr>
            <w:rStyle w:val="Hyperlink"/>
          </w:rPr>
          <w:t xml:space="preserve"> </w:t>
        </w:r>
        <w:r>
          <w:rPr>
            <w:rStyle w:val="Hyperlink"/>
          </w:rPr>
          <w:t xml:space="preserve">online-survey among 383</w:t>
        </w:r>
        <w:r>
          <w:rPr>
            <w:rStyle w:val="Hyperlink"/>
          </w:rPr>
          <w:t xml:space="preserve"> </w:t>
        </w:r>
        <w:r>
          <w:rPr>
            <w:rStyle w:val="Hyperlink"/>
          </w:rPr>
          <w:t xml:space="preserve">ATLS</w:t>
        </w:r>
        <w:r>
          <w:rPr>
            <w:rStyle w:val="Hyperlink"/>
          </w:rPr>
          <w:t xml:space="preserve"> </w:t>
        </w:r>
        <w:r>
          <w:rPr>
            <w:rStyle w:val="Hyperlink"/>
          </w:rPr>
          <w:t xml:space="preserve">course directors and instructors</w:t>
        </w:r>
      </w:hyperlink>
      <w:r>
        <w:t xml:space="preserve">. Emergency medicine journal: EMJ. 2015 Feb;32(2):134–7.</w:t>
      </w:r>
      <w:r>
        <w:t xml:space="preserve"> </w:t>
      </w:r>
    </w:p>
    <w:bookmarkEnd w:id="72"/>
    <w:bookmarkStart w:id="74" w:name="ref-el-menyar_review_2019"/>
    <w:p>
      <w:pPr>
        <w:pStyle w:val="Bibliography"/>
      </w:pPr>
      <w:r>
        <w:t xml:space="preserve">13.</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73">
        <w:r>
          <w:rPr>
            <w:rStyle w:val="Hyperlink"/>
          </w:rPr>
          <w:t xml:space="preserve">https://journals.lww.com/shockjournal/fulltext/2019/09000/review_of_existing_scoring_systems_for_massive.2.aspx</w:t>
        </w:r>
      </w:hyperlink>
    </w:p>
    <w:bookmarkEnd w:id="74"/>
    <w:bookmarkStart w:id="76" w:name="ref-mackersie_pitfalls_2010"/>
    <w:p>
      <w:pPr>
        <w:pStyle w:val="Bibliography"/>
      </w:pPr>
      <w:r>
        <w:t xml:space="preserve">14.</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75">
        <w:r>
          <w:rPr>
            <w:rStyle w:val="Hyperlink"/>
          </w:rPr>
          <w:t xml:space="preserve">https://www.sciencedirect.com/science/article/pii/S0733862709001199</w:t>
        </w:r>
      </w:hyperlink>
    </w:p>
    <w:bookmarkEnd w:id="76"/>
    <w:bookmarkStart w:id="78" w:name="ref-ivatury_patient_2008"/>
    <w:p>
      <w:pPr>
        <w:pStyle w:val="Bibliography"/>
      </w:pPr>
      <w:r>
        <w:t xml:space="preserve">15.</w:t>
      </w:r>
      <w:r>
        <w:t xml:space="preserve"> </w:t>
      </w:r>
      <w:r>
        <w:t xml:space="preserve">	</w:t>
      </w:r>
      <w:r>
        <w:t xml:space="preserve">Ivatury RR, Guilford K, Malhotra AK, Duane T, Aboutanos M, Martin N.</w:t>
      </w:r>
      <w:r>
        <w:t xml:space="preserve"> </w:t>
      </w:r>
      <w:hyperlink r:id="rId77">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78"/>
    <w:bookmarkStart w:id="80" w:name="X9db8e71a0533962266d08f8a7d5abffdfc5204c"/>
    <w:p>
      <w:pPr>
        <w:pStyle w:val="Bibliography"/>
      </w:pPr>
      <w:r>
        <w:t xml:space="preserve">16.</w:t>
      </w:r>
      <w:r>
        <w:t xml:space="preserve"> </w:t>
      </w:r>
      <w:r>
        <w:t xml:space="preserve">	</w:t>
      </w:r>
      <w:r>
        <w:t xml:space="preserve">World Health Organization. Guidelines for trauma quality improvement programmes. 2009 [cited 2024 Sep 20];104. Available from:</w:t>
      </w:r>
      <w:r>
        <w:t xml:space="preserve"> </w:t>
      </w:r>
      <w:hyperlink r:id="rId79">
        <w:r>
          <w:rPr>
            <w:rStyle w:val="Hyperlink"/>
          </w:rPr>
          <w:t xml:space="preserve">https://iris.who.int/handle/10665/44061</w:t>
        </w:r>
      </w:hyperlink>
    </w:p>
    <w:bookmarkEnd w:id="80"/>
    <w:bookmarkStart w:id="82" w:name="ref-juillard_establishing_2009"/>
    <w:p>
      <w:pPr>
        <w:pStyle w:val="Bibliography"/>
      </w:pPr>
      <w:r>
        <w:t xml:space="preserve">17.</w:t>
      </w:r>
      <w:r>
        <w:t xml:space="preserve"> </w:t>
      </w:r>
      <w:r>
        <w:t xml:space="preserve">	</w:t>
      </w:r>
      <w:r>
        <w:t xml:space="preserve">Juillard CJ, Mock C, Goosen J, Joshipura M, Civil I.</w:t>
      </w:r>
      <w:r>
        <w:t xml:space="preserve"> </w:t>
      </w:r>
      <w:hyperlink r:id="rId81">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82"/>
    <w:bookmarkStart w:id="84" w:name="ref-hashmi_hospital-based_2013"/>
    <w:p>
      <w:pPr>
        <w:pStyle w:val="Bibliography"/>
      </w:pPr>
      <w:r>
        <w:t xml:space="preserve">18.</w:t>
      </w:r>
      <w:r>
        <w:t xml:space="preserve"> </w:t>
      </w:r>
      <w:r>
        <w:t xml:space="preserve">	</w:t>
      </w:r>
      <w:r>
        <w:t xml:space="preserve">Hashmi ZG, Haider AH, Zafar SN, Kisat M, Moosa A, Siddiqui F, et al.</w:t>
      </w:r>
      <w:r>
        <w:t xml:space="preserve"> </w:t>
      </w:r>
      <w:hyperlink r:id="rId83">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84"/>
    <w:bookmarkStart w:id="86" w:name="ref-donabedian_quality_1988"/>
    <w:p>
      <w:pPr>
        <w:pStyle w:val="Bibliography"/>
      </w:pPr>
      <w:r>
        <w:t xml:space="preserve">19.</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85">
        <w:r>
          <w:rPr>
            <w:rStyle w:val="Hyperlink"/>
          </w:rPr>
          <w:t xml:space="preserve">https://doi.org/10.1001/jama.1988.03410120089033</w:t>
        </w:r>
      </w:hyperlink>
    </w:p>
    <w:bookmarkEnd w:id="86"/>
    <w:bookmarkStart w:id="88" w:name="ref-berry_shock_2015"/>
    <w:p>
      <w:pPr>
        <w:pStyle w:val="Bibliography"/>
      </w:pPr>
      <w:r>
        <w:t xml:space="preserve">20.</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87">
        <w:r>
          <w:rPr>
            <w:rStyle w:val="Hyperlink"/>
          </w:rPr>
          <w:t xml:space="preserve">https://doi.org/10.1007/978-3-642-29613-0_505</w:t>
        </w:r>
      </w:hyperlink>
    </w:p>
    <w:bookmarkEnd w:id="88"/>
    <w:bookmarkStart w:id="90" w:name="ref-tisherman_detailed_2015"/>
    <w:p>
      <w:pPr>
        <w:pStyle w:val="Bibliography"/>
      </w:pPr>
      <w:r>
        <w:t xml:space="preserve">21.</w:t>
      </w:r>
      <w:r>
        <w:t xml:space="preserve"> </w:t>
      </w:r>
      <w:r>
        <w:t xml:space="preserve">	</w:t>
      </w:r>
      <w:r>
        <w:t xml:space="preserve">Tisherman SA, Schmicker RH, Brasel KJ, Bulger EM, Kerby JD, Minei JP, et al.</w:t>
      </w:r>
      <w:r>
        <w:t xml:space="preserve"> </w:t>
      </w:r>
      <w:hyperlink r:id="rId89">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90"/>
    <w:bookmarkStart w:id="92" w:name="ref-christie_how_2023"/>
    <w:p>
      <w:pPr>
        <w:pStyle w:val="Bibliography"/>
      </w:pPr>
      <w:r>
        <w:t xml:space="preserve">22.</w:t>
      </w:r>
      <w:r>
        <w:t xml:space="preserve"> </w:t>
      </w:r>
      <w:r>
        <w:t xml:space="preserve">	</w:t>
      </w:r>
      <w:r>
        <w:t xml:space="preserve">Christie SA, Zheng D, Dissak-Delon F, Kinge T, Njock R, Nkusu D, et al.</w:t>
      </w:r>
      <w:r>
        <w:t xml:space="preserve"> </w:t>
      </w:r>
      <w:hyperlink r:id="rId91">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92"/>
    <w:bookmarkStart w:id="94"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93">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94"/>
    <w:bookmarkStart w:id="96"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95">
        <w:r>
          <w:rPr>
            <w:rStyle w:val="Hyperlink"/>
          </w:rPr>
          <w:t xml:space="preserve">Redefining hypotension in the elderly: Normotension is not reassuring</w:t>
        </w:r>
      </w:hyperlink>
      <w:r>
        <w:t xml:space="preserve">. Archives of Surgery (Chicago, Ill: 1960). 2011 Jul;146(7):865–9.</w:t>
      </w:r>
      <w:r>
        <w:t xml:space="preserve"> </w:t>
      </w:r>
    </w:p>
    <w:bookmarkEnd w:id="96"/>
    <w:bookmarkStart w:id="98" w:name="ref-mutschler_renaissance_2013"/>
    <w:p>
      <w:pPr>
        <w:pStyle w:val="Bibliography"/>
      </w:pPr>
      <w:r>
        <w:t xml:space="preserve">25.</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97">
        <w:r>
          <w:rPr>
            <w:rStyle w:val="Hyperlink"/>
          </w:rPr>
          <w:t xml:space="preserve">https://pmc.ncbi.nlm.nih.gov/articles/PMC3672480/</w:t>
        </w:r>
      </w:hyperlink>
    </w:p>
    <w:bookmarkEnd w:id="98"/>
    <w:bookmarkStart w:id="100" w:name="ref-saltzherr_preventability_2011"/>
    <w:p>
      <w:pPr>
        <w:pStyle w:val="Bibliography"/>
      </w:pPr>
      <w:r>
        <w:t xml:space="preserve">26.</w:t>
      </w:r>
      <w:r>
        <w:t xml:space="preserve"> </w:t>
      </w:r>
      <w:r>
        <w:t xml:space="preserve">	</w:t>
      </w:r>
      <w:r>
        <w:t xml:space="preserve">Saltzherr TP, Wendt KW, Nieboer P, Nijsten MWN, Valk JP, Luitse JSK, et al. Preventability of trauma deaths in a</w:t>
      </w:r>
      <w:r>
        <w:t xml:space="preserve"> </w:t>
      </w:r>
      <w:r>
        <w:t xml:space="preserve">Dutch</w:t>
      </w:r>
      <w:r>
        <w:t xml:space="preserve"> </w:t>
      </w:r>
      <w:r>
        <w:t xml:space="preserve">Level</w:t>
      </w:r>
      <w:r>
        <w:t xml:space="preserve">-1 trauma centre. Injury [Internet]. 2011 Sep [cited 2024 Dec 1];42(9):870–3. Available from:</w:t>
      </w:r>
      <w:r>
        <w:t xml:space="preserve"> </w:t>
      </w:r>
      <w:hyperlink r:id="rId99">
        <w:r>
          <w:rPr>
            <w:rStyle w:val="Hyperlink"/>
          </w:rPr>
          <w:t xml:space="preserve">https://www.sciencedirect.com/science/article/pii/S0020138310002597</w:t>
        </w:r>
      </w:hyperlink>
    </w:p>
    <w:bookmarkEnd w:id="100"/>
    <w:bookmarkStart w:id="102" w:name="ref-oreilly_opportunities_2013"/>
    <w:p>
      <w:pPr>
        <w:pStyle w:val="Bibliography"/>
      </w:pPr>
      <w:r>
        <w:t xml:space="preserve">27.</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May [cited 2024 Nov 29];100(6):749–55. Available from:</w:t>
      </w:r>
      <w:r>
        <w:t xml:space="preserve"> </w:t>
      </w:r>
      <w:hyperlink r:id="rId101">
        <w:r>
          <w:rPr>
            <w:rStyle w:val="Hyperlink"/>
          </w:rPr>
          <w:t xml:space="preserve">https://doi.org/10.1002/bjs.9096</w:t>
        </w:r>
      </w:hyperlink>
    </w:p>
    <w:bookmarkEnd w:id="102"/>
    <w:bookmarkStart w:id="104" w:name="ref-yucel_trauma_2006"/>
    <w:p>
      <w:pPr>
        <w:pStyle w:val="Bibliography"/>
      </w:pPr>
      <w:r>
        <w:t xml:space="preserve">28.</w:t>
      </w:r>
      <w:r>
        <w:t xml:space="preserve"> </w:t>
      </w:r>
      <w:r>
        <w:t xml:space="preserve">	</w:t>
      </w:r>
      <w:r>
        <w:t xml:space="preserve">Yücel N, Lefering R, Maegele M, Vorweg M, Tjardes T, Ruchholtz S, et al.</w:t>
      </w:r>
      <w:r>
        <w:t xml:space="preserve"> </w:t>
      </w:r>
      <w:hyperlink r:id="rId103">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104"/>
    <w:bookmarkStart w:id="106" w:name="ref-ogura_modified_2016"/>
    <w:p>
      <w:pPr>
        <w:pStyle w:val="Bibliography"/>
      </w:pPr>
      <w:r>
        <w:t xml:space="preserve">29.</w:t>
      </w:r>
      <w:r>
        <w:t xml:space="preserve"> </w:t>
      </w:r>
      <w:r>
        <w:t xml:space="preserve">	</w:t>
      </w:r>
      <w:r>
        <w:t xml:space="preserve">Ogura T, Lefor AK, Masuda M, Kushimoto S.</w:t>
      </w:r>
      <w:r>
        <w:t xml:space="preserve"> </w:t>
      </w:r>
      <w:hyperlink r:id="rId105">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106"/>
    <w:bookmarkStart w:id="108" w:name="ref-hanlin_prehospital_2024"/>
    <w:p>
      <w:pPr>
        <w:pStyle w:val="Bibliography"/>
      </w:pPr>
      <w:r>
        <w:t xml:space="preserve">30.</w:t>
      </w:r>
      <w:r>
        <w:t xml:space="preserve"> </w:t>
      </w:r>
      <w:r>
        <w:t xml:space="preserve">	</w:t>
      </w:r>
      <w:r>
        <w:t xml:space="preserve">Hanlin E, Meyer DE, Heft N, Stilgenbauer H, Cotton B, Bourgeois M, et al.</w:t>
      </w:r>
      <w:r>
        <w:t xml:space="preserve"> </w:t>
      </w:r>
      <w:hyperlink r:id="rId107">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108"/>
    <w:bookmarkStart w:id="110" w:name="ref-dunham_comparison_2017"/>
    <w:p>
      <w:pPr>
        <w:pStyle w:val="Bibliography"/>
      </w:pPr>
      <w:r>
        <w:t xml:space="preserve">31.</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109">
        <w:r>
          <w:rPr>
            <w:rStyle w:val="Hyperlink"/>
          </w:rPr>
          <w:t xml:space="preserve">https://www.sciencedirect.com/science/article/pii/S0020138317303972</w:t>
        </w:r>
      </w:hyperlink>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cirugia.facmed.unam.mx/wp-content/uploads/2018/07/Advanced-Trauma-Life-Support.pdf" TargetMode="External" /><Relationship Type="http://schemas.openxmlformats.org/officeDocument/2006/relationships/hyperlink" Id="rId95" Target="https://doi.org/10.1001/archsurg.2011.154" TargetMode="External" /><Relationship Type="http://schemas.openxmlformats.org/officeDocument/2006/relationships/hyperlink" Id="rId85" Target="https://doi.org/10.1001/jama.1988.03410120089033" TargetMode="External" /><Relationship Type="http://schemas.openxmlformats.org/officeDocument/2006/relationships/hyperlink" Id="rId101" Target="https://doi.org/10.1002/bjs.9096" TargetMode="External" /><Relationship Type="http://schemas.openxmlformats.org/officeDocument/2006/relationships/hyperlink" Id="rId87" Target="https://doi.org/10.1007/978-3-642-29613-0_505" TargetMode="External" /><Relationship Type="http://schemas.openxmlformats.org/officeDocument/2006/relationships/hyperlink" Id="rId81" Target="https://doi.org/10.1007/s00268-009-9959-8" TargetMode="External" /><Relationship Type="http://schemas.openxmlformats.org/officeDocument/2006/relationships/hyperlink" Id="rId105" Target="https://doi.org/10.1016/j.ajem.2016.02.072" TargetMode="External" /><Relationship Type="http://schemas.openxmlformats.org/officeDocument/2006/relationships/hyperlink" Id="rId57" Target="https://doi.org/10.1016/j.emc.2022.09.007" TargetMode="External" /><Relationship Type="http://schemas.openxmlformats.org/officeDocument/2006/relationships/hyperlink" Id="rId67" Target="https://doi.org/10.1016/j.resuscitation.2011.01.013" TargetMode="External" /><Relationship Type="http://schemas.openxmlformats.org/officeDocument/2006/relationships/hyperlink" Id="rId107" Target="https://doi.org/10.1080/10903127.2023.2166174" TargetMode="External" /><Relationship Type="http://schemas.openxmlformats.org/officeDocument/2006/relationships/hyperlink" Id="rId103" Target="https://doi.org/10.1097/01.ta.0000220386.84012.bf" TargetMode="External" /><Relationship Type="http://schemas.openxmlformats.org/officeDocument/2006/relationships/hyperlink" Id="rId89" Target="https://doi.org/10.1097/SLA.0000000000000837" TargetMode="External" /><Relationship Type="http://schemas.openxmlformats.org/officeDocument/2006/relationships/hyperlink" Id="rId91" Target="https://doi.org/10.1097/TA.0000000000003768" TargetMode="External" /><Relationship Type="http://schemas.openxmlformats.org/officeDocument/2006/relationships/hyperlink" Id="rId93" Target="https://doi.org/10.1097/TA.0b013e31809ed924" TargetMode="External" /><Relationship Type="http://schemas.openxmlformats.org/officeDocument/2006/relationships/hyperlink" Id="rId61" Target="https://doi.org/10.1097/TA.0b013e31815078ae" TargetMode="External" /><Relationship Type="http://schemas.openxmlformats.org/officeDocument/2006/relationships/hyperlink" Id="rId77" Target="https://doi.org/10.1097/TA.0b013e318163359d" TargetMode="External" /><Relationship Type="http://schemas.openxmlformats.org/officeDocument/2006/relationships/hyperlink" Id="rId83" Target="https://doi.org/10.1097/TA.0b013e31829880a0" TargetMode="External" /><Relationship Type="http://schemas.openxmlformats.org/officeDocument/2006/relationships/hyperlink" Id="rId71" Target="https://doi.org/10.1136/emermed-2013-202727" TargetMode="External" /><Relationship Type="http://schemas.openxmlformats.org/officeDocument/2006/relationships/hyperlink" Id="rId79" Target="https://iris.who.int/handle/10665/44061" TargetMode="External" /><Relationship Type="http://schemas.openxmlformats.org/officeDocument/2006/relationships/hyperlink" Id="rId73" Target="https://journals.lww.com/shockjournal/fulltext/2019/09000/review_of_existing_scoring_systems_for_massive.2.aspx" TargetMode="External" /><Relationship Type="http://schemas.openxmlformats.org/officeDocument/2006/relationships/hyperlink" Id="rId97" Target="https://pmc.ncbi.nlm.nih.gov/articles/PMC3672480/" TargetMode="External" /><Relationship Type="http://schemas.openxmlformats.org/officeDocument/2006/relationships/hyperlink" Id="rId51" Target="https://rcsyd.se/swetrau/wp-content/uploads/sites/10/2022/06/A%CC%8Arsrapport-SweTrau-2021.pdf" TargetMode="External" /><Relationship Type="http://schemas.openxmlformats.org/officeDocument/2006/relationships/hyperlink" Id="rId55" Target="https://www.ncbi.nlm.nih.gov/books/NBK459123/" TargetMode="External" /><Relationship Type="http://schemas.openxmlformats.org/officeDocument/2006/relationships/hyperlink" Id="rId59" Target="https://www.ncbi.nlm.nih.gov/pmc/articles/PMC6323133/" TargetMode="External" /><Relationship Type="http://schemas.openxmlformats.org/officeDocument/2006/relationships/hyperlink" Id="rId99" Target="https://www.sciencedirect.com/science/article/pii/S0020138310002597" TargetMode="External" /><Relationship Type="http://schemas.openxmlformats.org/officeDocument/2006/relationships/hyperlink" Id="rId109" Target="https://www.sciencedirect.com/science/article/pii/S0020138317303972" TargetMode="External" /><Relationship Type="http://schemas.openxmlformats.org/officeDocument/2006/relationships/hyperlink" Id="rId69" Target="https://www.sciencedirect.com/science/article/pii/S0300957212003693" TargetMode="External" /><Relationship Type="http://schemas.openxmlformats.org/officeDocument/2006/relationships/hyperlink" Id="rId53" Target="https://www.sciencedirect.com/science/article/pii/S0733862707000600" TargetMode="External" /><Relationship Type="http://schemas.openxmlformats.org/officeDocument/2006/relationships/hyperlink" Id="rId75" Target="https://www.sciencedirect.com/science/article/pii/S0733862709001199" TargetMode="External" /><Relationship Type="http://schemas.openxmlformats.org/officeDocument/2006/relationships/hyperlink" Id="rId63" Target="https://www.uptodate.com/contents/initial-management-of-trauma-in-adults?topicRef=127887&amp;source=see_link#H1929754" TargetMode="External" /><Relationship Type="http://schemas.openxmlformats.org/officeDocument/2006/relationships/hyperlink" Id="rId49"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65" Target="https://cirugia.facmed.unam.mx/wp-content/uploads/2018/07/Advanced-Trauma-Life-Support.pdf" TargetMode="External" /><Relationship Type="http://schemas.openxmlformats.org/officeDocument/2006/relationships/hyperlink" Id="rId95" Target="https://doi.org/10.1001/archsurg.2011.154" TargetMode="External" /><Relationship Type="http://schemas.openxmlformats.org/officeDocument/2006/relationships/hyperlink" Id="rId85" Target="https://doi.org/10.1001/jama.1988.03410120089033" TargetMode="External" /><Relationship Type="http://schemas.openxmlformats.org/officeDocument/2006/relationships/hyperlink" Id="rId101" Target="https://doi.org/10.1002/bjs.9096" TargetMode="External" /><Relationship Type="http://schemas.openxmlformats.org/officeDocument/2006/relationships/hyperlink" Id="rId87" Target="https://doi.org/10.1007/978-3-642-29613-0_505" TargetMode="External" /><Relationship Type="http://schemas.openxmlformats.org/officeDocument/2006/relationships/hyperlink" Id="rId81" Target="https://doi.org/10.1007/s00268-009-9959-8" TargetMode="External" /><Relationship Type="http://schemas.openxmlformats.org/officeDocument/2006/relationships/hyperlink" Id="rId105" Target="https://doi.org/10.1016/j.ajem.2016.02.072" TargetMode="External" /><Relationship Type="http://schemas.openxmlformats.org/officeDocument/2006/relationships/hyperlink" Id="rId57" Target="https://doi.org/10.1016/j.emc.2022.09.007" TargetMode="External" /><Relationship Type="http://schemas.openxmlformats.org/officeDocument/2006/relationships/hyperlink" Id="rId67" Target="https://doi.org/10.1016/j.resuscitation.2011.01.013" TargetMode="External" /><Relationship Type="http://schemas.openxmlformats.org/officeDocument/2006/relationships/hyperlink" Id="rId107" Target="https://doi.org/10.1080/10903127.2023.2166174" TargetMode="External" /><Relationship Type="http://schemas.openxmlformats.org/officeDocument/2006/relationships/hyperlink" Id="rId103" Target="https://doi.org/10.1097/01.ta.0000220386.84012.bf" TargetMode="External" /><Relationship Type="http://schemas.openxmlformats.org/officeDocument/2006/relationships/hyperlink" Id="rId89" Target="https://doi.org/10.1097/SLA.0000000000000837" TargetMode="External" /><Relationship Type="http://schemas.openxmlformats.org/officeDocument/2006/relationships/hyperlink" Id="rId91" Target="https://doi.org/10.1097/TA.0000000000003768" TargetMode="External" /><Relationship Type="http://schemas.openxmlformats.org/officeDocument/2006/relationships/hyperlink" Id="rId93" Target="https://doi.org/10.1097/TA.0b013e31809ed924" TargetMode="External" /><Relationship Type="http://schemas.openxmlformats.org/officeDocument/2006/relationships/hyperlink" Id="rId61" Target="https://doi.org/10.1097/TA.0b013e31815078ae" TargetMode="External" /><Relationship Type="http://schemas.openxmlformats.org/officeDocument/2006/relationships/hyperlink" Id="rId77" Target="https://doi.org/10.1097/TA.0b013e318163359d" TargetMode="External" /><Relationship Type="http://schemas.openxmlformats.org/officeDocument/2006/relationships/hyperlink" Id="rId83" Target="https://doi.org/10.1097/TA.0b013e31829880a0" TargetMode="External" /><Relationship Type="http://schemas.openxmlformats.org/officeDocument/2006/relationships/hyperlink" Id="rId71" Target="https://doi.org/10.1136/emermed-2013-202727" TargetMode="External" /><Relationship Type="http://schemas.openxmlformats.org/officeDocument/2006/relationships/hyperlink" Id="rId79" Target="https://iris.who.int/handle/10665/44061" TargetMode="External" /><Relationship Type="http://schemas.openxmlformats.org/officeDocument/2006/relationships/hyperlink" Id="rId73" Target="https://journals.lww.com/shockjournal/fulltext/2019/09000/review_of_existing_scoring_systems_for_massive.2.aspx" TargetMode="External" /><Relationship Type="http://schemas.openxmlformats.org/officeDocument/2006/relationships/hyperlink" Id="rId97" Target="https://pmc.ncbi.nlm.nih.gov/articles/PMC3672480/" TargetMode="External" /><Relationship Type="http://schemas.openxmlformats.org/officeDocument/2006/relationships/hyperlink" Id="rId51" Target="https://rcsyd.se/swetrau/wp-content/uploads/sites/10/2022/06/A%CC%8Arsrapport-SweTrau-2021.pdf" TargetMode="External" /><Relationship Type="http://schemas.openxmlformats.org/officeDocument/2006/relationships/hyperlink" Id="rId55" Target="https://www.ncbi.nlm.nih.gov/books/NBK459123/" TargetMode="External" /><Relationship Type="http://schemas.openxmlformats.org/officeDocument/2006/relationships/hyperlink" Id="rId59" Target="https://www.ncbi.nlm.nih.gov/pmc/articles/PMC6323133/" TargetMode="External" /><Relationship Type="http://schemas.openxmlformats.org/officeDocument/2006/relationships/hyperlink" Id="rId99" Target="https://www.sciencedirect.com/science/article/pii/S0020138310002597" TargetMode="External" /><Relationship Type="http://schemas.openxmlformats.org/officeDocument/2006/relationships/hyperlink" Id="rId109" Target="https://www.sciencedirect.com/science/article/pii/S0020138317303972" TargetMode="External" /><Relationship Type="http://schemas.openxmlformats.org/officeDocument/2006/relationships/hyperlink" Id="rId69" Target="https://www.sciencedirect.com/science/article/pii/S0300957212003693" TargetMode="External" /><Relationship Type="http://schemas.openxmlformats.org/officeDocument/2006/relationships/hyperlink" Id="rId53" Target="https://www.sciencedirect.com/science/article/pii/S0733862707000600" TargetMode="External" /><Relationship Type="http://schemas.openxmlformats.org/officeDocument/2006/relationships/hyperlink" Id="rId75" Target="https://www.sciencedirect.com/science/article/pii/S0733862709001199" TargetMode="External" /><Relationship Type="http://schemas.openxmlformats.org/officeDocument/2006/relationships/hyperlink" Id="rId63" Target="https://www.uptodate.com/contents/initial-management-of-trauma-in-adults?topicRef=127887&amp;source=see_link#H1929754" TargetMode="External" /><Relationship Type="http://schemas.openxmlformats.org/officeDocument/2006/relationships/hyperlink" Id="rId49"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2024-12-05T17:21:55Z</dcterms:created>
  <dcterms:modified xsi:type="dcterms:W3CDTF">2024-12-05T17:21:55Z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output_file = “thesis”) })</vt:lpwstr>
  </property>
  <property fmtid="{D5CDD505-2E9C-101B-9397-08002B2CF9AE}" pid="6" name="output">
    <vt:lpwstr/>
  </property>
  <property fmtid="{D5CDD505-2E9C-101B-9397-08002B2CF9AE}" pid="7" name="subtitle">
    <vt:lpwstr>Add a Subtitle if Needed</vt:lpwstr>
  </property>
</Properties>
</file>