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D2538"/>
          <w:sz w:val="33"/>
        </w:rPr>
        <w:t>Math Structurer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245F83"/>
          <w:sz w:val="16"/>
        </w:rPr>
        <w:t>Convincing, reusable target-matching skills for AI research agents.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四页共用信息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冻结表述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一句话问题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科研代理能否把自然语言科研目标转换为带定义域、状态空间、约束、特定基算子和验证义务的机器问题，并依据失败反馈改变下一轮行动？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研究边界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首版只运行 CO2gas+H2gas -- CH3CH2OHgas @best 与 B(u,v)=eᵘ−Log(v) 调试；不声称发现新催化剂、统一代数、自动 PDE 约化或任意半迭代证明。</w:t>
            </w:r>
          </w:p>
        </w:tc>
      </w:tr>
      <w:tr>
        <w:trPr>
          <w:cantSplit/>
        </w:trPr>
        <w:tc>
          <w:tcPr>
            <w:tcW w:type="dxa" w:w="1531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当前成熟度</w:t>
            </w:r>
          </w:p>
        </w:tc>
        <w:tc>
          <w:tcPr>
            <w:tcW w:type="dxa" w:w="884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交互原型 v0.5；配平、守恒、类型化路由、特定算子调试与固定 Lean 义务通过。科学发现闸门未通过。</w:t>
            </w:r>
          </w:p>
        </w:tc>
      </w:tr>
    </w:tbl>
    <w:p>
      <w:pPr>
        <w:spacing w:after="0" w:line="20" w:lineRule="exact"/>
      </w:pPr>
    </w:p>
    <w:p>
      <w:pPr>
        <w:pStyle w:val="Heading1"/>
        <w:keepNext/>
      </w:pPr>
      <w:r>
        <w:t>一、问题与证据</w:t>
      </w:r>
    </w:p>
    <w:p>
      <w:pPr>
        <w:pStyle w:val="Heading2"/>
        <w:keepNext/>
      </w:pPr>
      <w:r>
        <w:t>1.1 真实问题或需求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化学实验与数学研究都可能表现为“固定对象与约束—由有限结构生成候选—以反馈修订”的过程；相似之处是工作流，而非统一代数。CO₂ 加氢制乙醇的候选必须携带组分邻近方式、温压、进料和测量口径。Wang 等组合 Na–Fe@C 与 K–CuZnAl；ACS Figshare 官方记录写明，原位表征与 DFT 计算提示催化界面、组件邻近方式及醛类中间体具有重要作用。这支持按条件组织候选，却不支持脱离条件的全局最佳排名（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）。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半迭代是在指定 X 上寻找 g:X→X 使 g∘g=f。Kozyra 给出有限自映射的函数图判据；Murugan 与 Palanivel 仅在非单调性高度为 1 的连续非分段单调函数类中获得存在性结果，并另行研究 Hyers–Ulam 稳定性；二者均不能外推到任意光滑函数（</w:t>
      </w:r>
      <w:hyperlink r:id="rId11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；</w:t>
      </w:r>
      <w:hyperlink r:id="rId12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）。Güngör 综述说明 PDE 对称可减少独立变量、ODE 对称可降低阶数；所引两项代表工作分别将李对称用于数据增强和自监督表征，但不解决通用生成元、边界兼容或精确约化（</w:t>
      </w:r>
      <w:hyperlink r:id="rId13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；</w:t>
      </w:r>
      <w:hyperlink r:id="rId14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；</w:t>
      </w:r>
      <w:hyperlink r:id="rId15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）。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本地数论族 fₖ(n)=kP⁺(n)+(P⁺(n) mod k) 可生成轨道并检查素性、最大质因子、同余与闭合；旧 Lean 原型把本应参数化的模数固化为 10，最终命题仍以 sorry 占位，说明生成必须与定义检查和否证器绑定。这些场景都由有限结构生成候选，但缺少经验证的 AI 工具接口；该缺口仍是待检验假设。</w:t>
      </w:r>
    </w:p>
    <w:p>
      <w:pPr>
        <w:pStyle w:val="Heading2"/>
        <w:keepNext/>
      </w:pPr>
      <w:r>
        <w:t>1.2 为什么尚未被结构化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困难不在万能展开公式，而在不同算子的定义域、陪域和验证义务。首版只统一带类型接口 bᵢ:Xᵢ⇀Xⱼ、zₜ₊₁=bᵢₜ(zₜ)：配平属于整数核 kerℤ(A)，构型属于 R³ⁿ/SE(3)，半迭代属于自映射空间，PDE 约化还需延拓、边界与不变量。Deng、Hani 与 Ma 的硬球—Boltzmann 长时推导用时间分层、累积量、部分展开、分子图和切割算法控制误差（</w:t>
      </w:r>
      <w:hyperlink r:id="rId16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>，pp. 9–12）。这说明专业参数、结构表示和误差口径必须一起嵌入，公式与三维投影才可复核；该预印本仅作复杂度例证，不证明本工具能完成 PDE 约化、分子模拟或通用函数生成。</w:t>
      </w:r>
    </w:p>
    <w:p>
      <w:pPr>
        <w:pStyle w:val="Heading2"/>
        <w:keepNext/>
      </w:pPr>
      <w:r>
        <w:t>1.3 研究价值与合适切片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默认查询先被判为不守恒，再补成下式。由于 θ、候选域和观测表未冻结，arg max J(c;θ) 不可审计；系统只返回未排名文献候选、缺失参数、相连空间和示意构型。这一问题修正而非材料名称，构成首版可检查的负结果。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8"/>
        </w:rPr>
        <w:t>2CO₂(g)+6H₂(g) → C₂H₅OH(g)+3H₂O(g),   ν=(−2,−6,1,3),   Aν=0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6336000" cy="2618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1_demo_sli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618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原始目标、配平、Aν、θ、Cθ、目标完备性、拒绝原因。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1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2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3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4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5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</w:t>
      </w:r>
      <w:hyperlink r:id="rId16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演示截图：守恒、欠定目标与相连空间。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候选未写成最优；构型标为示意；共享接口缺口仍是待检验假设。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900 字＋1 图。</w:t>
      </w:r>
    </w:p>
    <w:p>
      <w:r>
        <w:br w:type="page"/>
      </w:r>
    </w:p>
    <w:p>
      <w:pPr>
        <w:pStyle w:val="Heading1"/>
        <w:keepNext/>
      </w:pPr>
      <w:r>
        <w:t>二、环境接口</w:t>
      </w:r>
    </w:p>
    <w:p>
      <w:pPr>
        <w:pStyle w:val="Heading2"/>
        <w:keepNext/>
      </w:pPr>
      <w:r>
        <w:t>2.1 固定规则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每次运行先冻结原始目标、物种与相态、条件向量 θ、候选集合 Cθ、指标和允许调用的特定基算子。催化路线固定经过反应解析、元素矩阵、整数核配平、目标完备性、文献检索和几何投影；未经配平不得排名，指标欠定不得补写“最佳”，无来源坐标只能画示意构型，含 sorry 的 Lean 文件不得标为已证明。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8"/>
        </w:rPr>
        <w:t>θlit={T=320 °C, P=5.0 MPa, 进料=(3.25% Ar, 26.5% CO₂, 70.25% H₂), 反应器=内径 6 mm 固定床}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 xml:space="preserve">该参数截面来自 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5"/>
            <w:u w:val="single"/>
          </w:rPr>
        </w:r>
      </w:hyperlink>
      <w:r>
        <w:rPr>
          <w:rFonts w:ascii="Microsoft YaHei" w:hAnsi="Microsoft YaHei" w:eastAsia="Microsoft YaHei"/>
          <w:b w:val="0"/>
          <w:sz w:val="15"/>
        </w:rPr>
        <w:t xml:space="preserve"> 的补充材料，只说明专业比较所需的粒度，不自动成为演示环境的条件，也不能与其他论文横向排名。</w:t>
      </w:r>
    </w:p>
    <w:p>
      <w:pPr>
        <w:pStyle w:val="Heading2"/>
        <w:keepNext/>
      </w:pPr>
      <w:r>
        <w:t>2.2 观察/行动/反馈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接口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落地字段或操作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反馈如何改变下一步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观察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原目标、标准数学式、θ 完整度、Cθ、来源层级、相连空间、反例、预算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形成当前可判定问题切片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行动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配平；补齐/收缩条件域；换候选子集；调用文献、几何、Lean；生成反例；停止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选择下一特定算子或插件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反馈</w:t>
            </w:r>
          </w:p>
        </w:tc>
        <w:tc>
          <w:tcPr>
            <w:tcW w:type="dxa" w:w="476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通过／否证／未知／证据不足／超时；守恒余量、失败字段、来源位置、轨迹</w:t>
            </w:r>
          </w:p>
        </w:tc>
        <w:tc>
          <w:tcPr>
            <w:tcW w:type="dxa" w:w="4365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不守恒→配平；欠定→索取条件或拒绝排名；仅元数据→读摘要/原文</w:t>
            </w:r>
          </w:p>
        </w:tc>
      </w:tr>
    </w:tbl>
    <w:p>
      <w:pPr>
        <w:spacing w:after="0" w:line="20" w:lineRule="exact"/>
      </w:pPr>
    </w:p>
    <w:p>
      <w:pPr>
        <w:pStyle w:val="Heading2"/>
        <w:keepNext/>
      </w:pPr>
      <w:r>
        <w:t>2.3 记录与预算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日志保存目标版本、算子签名、输入输出哈希、反馈、下一动作理由、模型/插件版本、来源链接和失败状态。默认精确内核不调用模型；本地 Qwen3-8B 每次至多用于一次语义解析，输出仍须精确复核。Codex 或 DeepSeek 仅在用户显式选择时二选一、最多一次；文献接口至多八次，几何输出至多一幅二维和一幅三维图，探索至多六轮。后端不可用必须明示，不得静默替换。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6336000" cy="2175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2_environment_interfa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175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固定规则、观察字段、动作枚举、反馈状态、日志与模型/文献/几何/轮数预算。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 xml:space="preserve"> 补充材料 pp. 3–4；</w:t>
      </w:r>
      <w:hyperlink r:id="rId16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 xml:space="preserve"> 仅作复杂度参照。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带类型部分映射与反馈闭环。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专业参数标明来源；Qwen3-8B 不是验证器；Linux/macOS 未宣称实测。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700 字＋1 表1图。</w:t>
      </w:r>
    </w:p>
    <w:p>
      <w:r>
        <w:br w:type="page"/>
      </w:r>
    </w:p>
    <w:p>
      <w:pPr>
        <w:pStyle w:val="Heading1"/>
        <w:keepNext/>
      </w:pPr>
      <w:r>
        <w:t>三、发现信号与参照</w:t>
      </w:r>
    </w:p>
    <w:p>
      <w:pPr>
        <w:pStyle w:val="Heading2"/>
        <w:keepNext/>
      </w:pPr>
      <w:r>
        <w:t>3.1 什么算发现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输出一个材料名称不算发现。正向发现必须是条件化、可反驳的结构关系：冻结温压、进料、候选域和指标后，某类组件邻近关系或构型形成稳定可行候选；按预注册方式扰动一个条件，候选集合或可行性发生可解释变化；关系同时通过守恒、来源和专业插件。稳定负结果是同预算下候选均违反同一冻结约束；异常/反例是预期可行候选被守恒、原文或验证器否证；问题修正则是识别 θ、Cθ 与测量表缺失并生成下一次可运行查询。当前演示环境只取得最后一种信号，尚未构成催化发现。</w:t>
      </w:r>
    </w:p>
    <w:p>
      <w:pPr>
        <w:pStyle w:val="Heading2"/>
        <w:keepNext/>
      </w:pPr>
      <w:r>
        <w:t>3.2 平凡解/随机/无干预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8"/>
        </w:rPr>
        <w:t>F(θ)={c∈Cθ : Aν=0, hⱼ(c;θ)=0, qᵢ(c;θ)≤0},   c*∈arg max[c∈F(θ)] J(c;θ)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解只可能从冻结后的非空可行域出现：F(θ)=∅ 即无可行解；极值集合含多个元素即非唯一。当目标与约束对某个非平凡群作用不变时，唯一性应在等价类商空间中讨论，或在固定规范后讨论代表元的唯一性。验证依次经过类型/单位、守恒、原文、专业求解器、条件扰动或反例、人工复核；有限采样只算检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参照</w:t>
            </w:r>
          </w:p>
        </w:tc>
        <w:tc>
          <w:tcPr>
            <w:tcW w:type="dxa" w:w="4139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同预算操作</w:t>
            </w:r>
          </w:p>
        </w:tc>
        <w:tc>
          <w:tcPr>
            <w:tcW w:type="dxa" w:w="493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0D2538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3"/>
              </w:rPr>
              <w:t>比较指标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平凡</w:t>
            </w:r>
          </w:p>
        </w:tc>
        <w:tc>
          <w:tcPr>
            <w:tcW w:type="dxa" w:w="4139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直接让语言模型回答</w:t>
            </w:r>
          </w:p>
        </w:tc>
        <w:tc>
          <w:tcPr>
            <w:tcW w:type="dxa" w:w="493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类型错误、无来源主张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无干预</w:t>
            </w:r>
          </w:p>
        </w:tc>
        <w:tc>
          <w:tcPr>
            <w:tcW w:type="dxa" w:w="4139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不修正输入的关键词检索</w:t>
            </w:r>
          </w:p>
        </w:tc>
        <w:tc>
          <w:tcPr>
            <w:tcW w:type="dxa" w:w="493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是否发现欠定并改变行动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随机</w:t>
            </w:r>
          </w:p>
        </w:tc>
        <w:tc>
          <w:tcPr>
            <w:tcW w:type="dxa" w:w="4139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随机选择基算子或候选</w:t>
            </w:r>
          </w:p>
        </w:tc>
        <w:tc>
          <w:tcPr>
            <w:tcW w:type="dxa" w:w="493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有效反例、正确拒答率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3"/>
              </w:rPr>
              <w:t>非平凡</w:t>
            </w:r>
          </w:p>
        </w:tc>
        <w:tc>
          <w:tcPr>
            <w:tcW w:type="dxa" w:w="4139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确定性配平＋目标完备性＋结构化检索</w:t>
            </w:r>
          </w:p>
        </w:tc>
        <w:tc>
          <w:tcPr>
            <w:tcW w:type="dxa" w:w="4932"/>
            <w:vAlign w:val="center"/>
            <w:tcMar>
              <w:top w:w="32" w:type="dxa"/>
              <w:start w:w="55" w:type="dxa"/>
              <w:bottom w:w="32" w:type="dxa"/>
              <w:end w:w="55" w:type="dxa"/>
            </w:tcMar>
            <w:shd w:fill="F7F8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3"/>
              </w:rPr>
              <w:t>可复查结论与失败轨迹</w:t>
            </w:r>
          </w:p>
        </w:tc>
      </w:tr>
    </w:tbl>
    <w:p>
      <w:pPr>
        <w:spacing w:after="0" w:line="20" w:lineRule="exact"/>
      </w:pPr>
    </w:p>
    <w:p>
      <w:pPr>
        <w:pStyle w:val="Heading2"/>
        <w:keepNext/>
      </w:pPr>
      <w:r>
        <w:t>3.3 最低成功与失败标准</w:t>
      </w:r>
    </w:p>
    <w:p>
      <w:pPr>
        <w:spacing w:after="16"/>
      </w:pPr>
      <w:r>
        <w:rPr>
          <w:rFonts w:ascii="Microsoft YaHei" w:hAnsi="Microsoft YaHei" w:eastAsia="Microsoft YaHei"/>
          <w:b/>
          <w:sz w:val="15"/>
        </w:rPr>
        <w:t>环境技术通过：</w:t>
      </w:r>
      <w:r>
        <w:rPr>
          <w:rFonts w:ascii="Microsoft YaHei" w:hAnsi="Microsoft YaHei" w:eastAsia="Microsoft YaHei"/>
          <w:b w:val="0"/>
          <w:sz w:val="15"/>
        </w:rPr>
        <w:t>alphaXiv＋DOI 接口快速核验完成，并分层记录 DOI 解析、元数据、摘要和实际打开的正文层级；本地无数值验证器对类型、配平与 Aν=0 零错误通过，且不伪造催化数值；人工终审公式、链接、构型标签和结论边界；至少一次反馈确实改变下一查询、候选域或动作。</w:t>
      </w:r>
    </w:p>
    <w:p>
      <w:pPr>
        <w:spacing w:after="16"/>
      </w:pPr>
      <w:r>
        <w:rPr>
          <w:rFonts w:ascii="Microsoft YaHei" w:hAnsi="Microsoft YaHei" w:eastAsia="Microsoft YaHei"/>
          <w:b/>
          <w:sz w:val="15"/>
        </w:rPr>
        <w:t>科学发现通过：</w:t>
      </w:r>
      <w:r>
        <w:rPr>
          <w:rFonts w:ascii="Microsoft YaHei" w:hAnsi="Microsoft YaHei" w:eastAsia="Microsoft YaHei"/>
          <w:b w:val="0"/>
          <w:sz w:val="15"/>
        </w:rPr>
        <w:t>冻结 θ、Cθ、J 与预算后，得到确定性基线没有给出的、可复现的条件—结构关系或稳定负结果，并通过预注册扰动与专业验证。当前 @best 仅达到问题修正／接口验证，科学发现闸门未通过。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任一情形直接失败：无条件排名；元数据冒充实验结论；示意图冒充弛豫结构；有限采样或 sorry 冒充证明；检索失败冒充“不存在”；反馈不改变动作。条件化试跑若仍只得到标题且不优于确定性基线，就应承认切片不成立并缩小问题。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6336000" cy="2580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3_discovery_gat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58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发现类型、预注册条件、可行域、扰动、四类参照、三道闸门、成功/失败判据。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0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；alphaXiv 读取收据；本地精确内核与浏览器收据。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四类发现信号与三道核验闸门。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保留 ACS 主页面 403、无催化数值模拟、当前无催化发现。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800 字＋1 表1图。</w:t>
      </w:r>
    </w:p>
    <w:p>
      <w:r>
        <w:br w:type="page"/>
      </w:r>
    </w:p>
    <w:p>
      <w:pPr>
        <w:pStyle w:val="Heading1"/>
        <w:keepNext/>
      </w:pPr>
      <w:r>
        <w:t>四、最小验证计划</w:t>
      </w:r>
    </w:p>
    <w:p>
      <w:pPr>
        <w:pStyle w:val="Heading2"/>
        <w:keepNext/>
      </w:pPr>
      <w:r>
        <w:t>4.1 一次试跑怎么做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解压后在项目根目录执行同一行命令：</w:t>
      </w:r>
    </w:p>
    <w:p>
      <w:pPr>
        <w:spacing w:after="40"/>
        <w:jc w:val="center"/>
      </w:pPr>
      <w:r>
        <w:rPr>
          <w:rFonts w:ascii="Consolas" w:hAnsi="Consolas" w:eastAsia="Consolas"/>
          <w:b/>
          <w:color w:val="0D2538"/>
          <w:sz w:val="20"/>
        </w:rPr>
        <w:t>python3 run.py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浏览器打开终端给出的本地地址，保留默认查询并点击一次“运行”。应看到原输入不守恒、配平方程与 Aν=0、目标因条件和测量缺失而欠定、六个相连空间、未排名文献候选及“示意、未经弛豫”的二维/三维构型。离线检查为 python3 run.py --check。默认启动只用相对路径与 Python 标准库；特定算子的符号分支比较才需要 SymPy。Windows 已实测；Linux/macOS 仍须真实复跑。</w:t>
      </w:r>
    </w:p>
    <w:p>
      <w:pPr>
        <w:pStyle w:val="Heading2"/>
        <w:keepNext/>
      </w:pPr>
      <w:r>
        <w:t>4.2 主要风险与失败路径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核心风险不是报错，而是失败后仍生成可信语气。系统实行“拒绝冒充性失败”：配平失败不排名；条件欠定不输出最佳；仅有元数据不推断实验性能；无坐标只画示意；数值一致不声称形式证明；含占位符只返回部分形式化。本地参数化记录使用 p mod k，旧 Lean 原型却固定为 p mod 10 且最终命题仍含 sorry；因此，对 k≠10 的整齐输出也不能支持原问题。模型超时、接口受限、文献矛盾和几何失败均须保存触发字段、原始状态与下一修复动作。</w:t>
      </w:r>
    </w:p>
    <w:p>
      <w:pPr>
        <w:pStyle w:val="Heading2"/>
        <w:keepNext/>
      </w:pPr>
      <w:r>
        <w:t>4.3 复现与开源计划</w:t>
      </w:r>
    </w:p>
    <w:p>
      <w:pPr>
        <w:spacing w:after="30"/>
      </w:pPr>
      <w:r>
        <w:rPr>
          <w:rFonts w:ascii="Microsoft YaHei" w:hAnsi="Microsoft YaHei" w:eastAsia="Microsoft YaHei"/>
          <w:b w:val="0"/>
          <w:sz w:val="15"/>
        </w:rPr>
        <w:t>开源包包含单行入口、冻结查询、特定基算子签名、结果 JSON、事件日志、测试收据、来源链接和源码哈希，不收录论文 PDF。复现截图须显示 Aν=0、J(c;θ) 在 θ/Cθ/测量表冻结前未定义、Gₙ=R³ⁿ/SE(3)，以及六个空间之间的带类型映射。发布前在 Ubuntu 与 macOS 各运行 python3 run.py --check；未实测的平台继续标为未验证。</w:t>
      </w:r>
    </w:p>
    <w:p>
      <w:pPr>
        <w:spacing w:before="16" w:after="28"/>
        <w:jc w:val="center"/>
      </w:pPr>
      <w:r>
        <w:rPr>
          <w:rFonts w:ascii="Cambria Math" w:hAnsi="Cambria Math" w:eastAsia="Cambria Math"/>
          <w:b w:val="0"/>
          <w:color w:val="0D2538"/>
          <w:sz w:val="17"/>
        </w:rPr>
        <w:t>B: ℂ×ℂ^×→ℂ,  B(u,v)=eᵘ−Log(v),  E(x)=B(1, B(B(1,x),1))</w:t>
      </w:r>
    </w:p>
    <w:p>
      <w:pPr>
        <w:spacing w:after="20"/>
      </w:pPr>
      <w:r>
        <w:rPr>
          <w:rFonts w:ascii="Microsoft YaHei" w:hAnsi="Microsoft YaHei" w:eastAsia="Microsoft YaHei"/>
          <w:b w:val="0"/>
          <w:sz w:val="14"/>
        </w:rPr>
        <w:t>每个 B 节点都检查第二参数非零，并约定 Arg(v)∈(−π,π]、逐点采用主值复对数。测试 x=−1 时，E(−1)=−iπ 而 Log(−1)=+iπ，故 E(−1)−Log(−1)=−2πi；该反例保留为“不匹配”。这只是特定基算子复合表达树，不代表统一代数。</w:t>
      </w:r>
    </w:p>
    <w:p>
      <w:pPr>
        <w:spacing w:before="14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99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4_function_space_screensho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" w:after="0"/>
        <w:ind w:left="85" w:right="85"/>
      </w:pPr>
      <w:r>
        <w:rPr>
          <w:rFonts w:ascii="Microsoft YaHei" w:hAnsi="Microsoft YaHei" w:eastAsia="Microsoft YaHei"/>
          <w:b/>
          <w:color w:val="245F83"/>
          <w:sz w:val="12"/>
        </w:rPr>
        <w:t>页面字段：</w:t>
      </w:r>
      <w:r>
        <w:rPr>
          <w:rFonts w:ascii="Microsoft YaHei" w:hAnsi="Microsoft YaHei" w:eastAsia="Microsoft YaHei"/>
          <w:b w:val="0"/>
          <w:color w:val="66727D"/>
          <w:sz w:val="12"/>
        </w:rPr>
        <w:t>单行命令、冻结输入、预期输出、拒绝冒充规则、平台状态、源码/日志哈希、开源边界。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文献依据：</w:t>
      </w:r>
      <w:hyperlink r:id="rId11" w:history="1">
        <w:r>
          <w:rPr>
            <w:rFonts w:ascii="Microsoft YaHei" w:hAnsi="Microsoft YaHei" w:eastAsia="Microsoft YaHei"/>
            <w:b w:val="0"/>
            <w:color w:val="245F83"/>
            <w:sz w:val="12"/>
            <w:u w:val="single"/>
          </w:rPr>
        </w:r>
      </w:hyperlink>
      <w:r>
        <w:rPr>
          <w:rFonts w:ascii="Microsoft YaHei" w:hAnsi="Microsoft YaHei" w:eastAsia="Microsoft YaHei"/>
          <w:b w:val="0"/>
          <w:color w:val="66727D"/>
          <w:sz w:val="12"/>
        </w:rPr>
        <w:t>；本地数论生成—否证记录；测试、浏览器与 Lean 收据。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建议视觉：</w:t>
      </w:r>
      <w:r>
        <w:rPr>
          <w:rFonts w:ascii="Microsoft YaHei" w:hAnsi="Microsoft YaHei" w:eastAsia="Microsoft YaHei"/>
          <w:b w:val="0"/>
          <w:color w:val="66727D"/>
          <w:sz w:val="12"/>
        </w:rPr>
        <w:t>含 B:ℂ×ℂ^×→ℂ、E(x)=B(1,B(B(1,x),1))、反例和 Lean 状态的工作台截图。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人工确认：</w:t>
      </w:r>
      <w:r>
        <w:rPr>
          <w:rFonts w:ascii="Microsoft YaHei" w:hAnsi="Microsoft YaHei" w:eastAsia="Microsoft YaHei"/>
          <w:b w:val="0"/>
          <w:color w:val="66727D"/>
          <w:sz w:val="12"/>
        </w:rPr>
        <w:t>核对命令、平台记录、来源跳转、示意标签与提交哈希；不把设计适配写成跨平台实测。</w:t>
      </w:r>
      <w:r>
        <w:rPr>
          <w:rFonts w:ascii="Microsoft YaHei" w:hAnsi="Microsoft YaHei" w:eastAsia="Microsoft YaHei"/>
          <w:b/>
          <w:color w:val="245F83"/>
          <w:sz w:val="12"/>
        </w:rPr>
        <w:t xml:space="preserve">  内容预算：</w:t>
      </w:r>
      <w:r>
        <w:rPr>
          <w:rFonts w:ascii="Microsoft YaHei" w:hAnsi="Microsoft YaHei" w:eastAsia="Microsoft YaHei"/>
          <w:b w:val="0"/>
          <w:color w:val="66727D"/>
          <w:sz w:val="12"/>
        </w:rPr>
        <w:t>约 650 字＋1 行命令1图。</w:t>
      </w:r>
    </w:p>
    <w:sectPr w:rsidR="00FC693F" w:rsidRPr="0006063C" w:rsidSect="00034616">
      <w:footerReference w:type="default" r:id="rId9"/>
      <w:pgSz w:w="11906" w:h="16838"/>
      <w:pgMar w:top="595" w:right="709" w:bottom="567" w:left="709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6727D"/>
        <w:sz w:val="13"/>
      </w:rPr>
      <w:t xml:space="preserve">GOAI 开放探索  •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30"/>
    </w:pPr>
    <w:rPr>
      <w:rFonts w:ascii="Microsoft YaHei" w:hAnsi="Microsoft YaHei" w:eastAsia="Microsoft YaHei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28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D253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28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5F83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28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D2538"/>
      <w:sz w:val="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" w:line="240" w:lineRule="auto" w:before="4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D2538"/>
      <w:spacing w:val="5"/>
      <w:kern w:val="28"/>
      <w:sz w:val="33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1021/acscatal.1c01504" TargetMode="External"/><Relationship Id="rId11" Type="http://schemas.openxmlformats.org/officeDocument/2006/relationships/hyperlink" Target="https://doi.org/10.20429/tag.2021.080108" TargetMode="External"/><Relationship Id="rId12" Type="http://schemas.openxmlformats.org/officeDocument/2006/relationships/hyperlink" Target="https://doi.org/10.1007/s00010-020-00739-w" TargetMode="External"/><Relationship Id="rId13" Type="http://schemas.openxmlformats.org/officeDocument/2006/relationships/hyperlink" Target="https://arxiv.org/abs/1901.01543" TargetMode="External"/><Relationship Id="rId14" Type="http://schemas.openxmlformats.org/officeDocument/2006/relationships/hyperlink" Target="https://proceedings.mlr.press/v162/brandstetter22a.html" TargetMode="External"/><Relationship Id="rId15" Type="http://schemas.openxmlformats.org/officeDocument/2006/relationships/hyperlink" Target="https://arxiv.org/abs/2307.05432" TargetMode="External"/><Relationship Id="rId16" Type="http://schemas.openxmlformats.org/officeDocument/2006/relationships/hyperlink" Target="https://arxiv.org/abs/2408.07818" TargetMode="External"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Structurer — GOAI 开放探索四页问题定义</dc:title>
  <dc:subject>特定基算子与迭代、类型化科研目标、发现信号</dc:subject>
  <dc:creator>GOAI 参赛团队</dc:creator>
  <cp:keywords>GOAI, Math Structurer, basis operator, iteration, catalyst, Lie symmetry, verification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