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Math Structurer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E6F95"/>
          <w:sz w:val="18"/>
        </w:rPr>
        <w:t>Convincing, reusable target-matching skills for AI research agents.</w:t>
        <w:br/>
        <w:t>数学滤镜 + 多空间插件路由；EML 域/分支为最小科学切片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474"/>
            <w:shd w:fill="17324D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4"/>
              </w:rPr>
              <w:t>共用信息</w:t>
            </w:r>
          </w:p>
        </w:tc>
        <w:tc>
          <w:tcPr>
            <w:tcW w:type="dxa" w:w="8447"/>
            <w:shd w:fill="17324D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4"/>
              </w:rPr>
              <w:t>冻结内容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一句话问题</w:t>
            </w:r>
          </w:p>
        </w:tc>
        <w:tc>
          <w:tcPr>
            <w:tcW w:type="dxa" w:w="844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Agent 能否把自然语言科研目标转换为类型、逻辑、约束、相连基空间与可否证子任务，并依据 oracle 反馈改变下一行动？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研究边界</w:t>
            </w:r>
          </w:p>
        </w:tc>
        <w:tc>
          <w:tcPr>
            <w:tcW w:type="dxa" w:w="844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这是数学滤镜与插件路由，不是万能 EML 解析器；催化只压测接口，EML 域/分支才是已运行科学切片；KaTeX 与 2D/3D 均非证明。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当前成熟度</w:t>
            </w:r>
          </w:p>
        </w:tc>
        <w:tc>
          <w:tcPr>
            <w:tcW w:type="dxa" w:w="844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E1/E2/E5 已确认；Demo 12 项、面板 11 项和 Chrome 验收通过；环境技术闸门通过、科学发现闸门未通过；Lean 为部分形式化。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一、问题与证据</w:t>
      </w:r>
    </w:p>
    <w:p>
      <w:pPr>
        <w:pStyle w:val="Heading2"/>
        <w:keepNext/>
      </w:pPr>
      <w:r>
        <w:t>1.1 真实问题或需求</w:t>
      </w:r>
    </w:p>
    <w:p>
      <w:pPr>
        <w:spacing w:after="36"/>
      </w:pPr>
      <w:r>
        <w:rPr>
          <w:rFonts w:ascii="Microsoft YaHei" w:hAnsi="Microsoft YaHei" w:eastAsia="Microsoft YaHei"/>
          <w:b w:val="0"/>
          <w:sz w:val="17"/>
        </w:rPr>
        <w:t>Math Structurer 先把 qNL 写成类型、逻辑、约束、基空间、机器任务和 KaTeX 视图，再用带验证器的部分映射连接多个空间。催化输入先交 ReactionDecomposer：默认式被判不守恒，补为 2CO2+6H2→C2H5OH+3H2O，得到 ν∈kerZ(A)；因条件化测量缺失，@best 弃权。EML 未被调用，3D 独立交给 GeometryPlugin——这里只压测路由，不宣称催化发现。</w:t>
      </w:r>
    </w:p>
    <w:p>
      <w:pPr>
        <w:spacing w:after="36"/>
      </w:pPr>
      <w:r>
        <w:rPr>
          <w:rFonts w:ascii="Microsoft YaHei" w:hAnsi="Microsoft YaHei" w:eastAsia="Microsoft YaHei"/>
          <w:b w:val="0"/>
          <w:sz w:val="16"/>
        </w:rPr>
        <w:t>当前唯一科学校准切片是 EML 的 eml(x,y)=exp(x)−log(y) 树。原论文记录零点、域端点和复对数主分支困难（E1）；Demo 在 x=−1 得到编译值约 −πi、参考值 +πi、误差 2π，x=0 未定义（P1）。这是已知复现，不是新定理。</w:t>
      </w:r>
    </w:p>
    <w:p>
      <w:pPr>
        <w:pStyle w:val="Heading2"/>
        <w:keepNext/>
      </w:pPr>
      <w:r>
        <w:t>1.2 为什么尚未被结构化</w:t>
      </w:r>
    </w:p>
    <w:p>
      <w:pPr>
        <w:spacing w:after="36"/>
      </w:pPr>
      <w:r>
        <w:rPr>
          <w:rFonts w:ascii="Microsoft YaHei" w:hAnsi="Microsoft YaHei" w:eastAsia="Microsoft YaHei"/>
          <w:b w:val="0"/>
          <w:sz w:val="17"/>
        </w:rPr>
        <w:t>Content MathML 已能表示 domain、condition 与 compose（E2），类型系统、化学配平和几何工具也各自成熟；所以“统一表示”或“写一个 parser”不是创新。尚未结构化的是可审计循环：哪种目标先进入哪个专业插件，何时必须弃权，以及反例如何改变下一空间、基、oracle 或问题边界。系统性新颖性检索仍未完成。</w:t>
      </w:r>
    </w:p>
    <w:p>
      <w:pPr>
        <w:pStyle w:val="Heading2"/>
        <w:keepNext/>
      </w:pPr>
      <w:r>
        <w:t>1.3 研究价值与合适切片</w:t>
      </w:r>
    </w:p>
    <w:p>
      <w:pPr>
        <w:spacing w:after="36"/>
      </w:pPr>
      <w:r>
        <w:rPr>
          <w:rFonts w:ascii="Microsoft YaHei" w:hAnsi="Microsoft YaHei" w:eastAsia="Microsoft YaHei"/>
          <w:b w:val="0"/>
          <w:sz w:val="17"/>
        </w:rPr>
        <w:t>AI 的价值是把模糊目标降到可检查的机器问题，并依据守恒失败、欠定目标、反例或 unknown 改变下一行动。四小时只以催化例检查多空间路由，以 E1 的 ln 树校准反例循环，并由 E5 支撑材料可得；只有在封存的新 EML 树上找到稳定新失败族，才算科学发现。</w:t>
      </w:r>
    </w:p>
    <w:p>
      <w:pPr>
        <w:spacing w:after="24"/>
        <w:jc w:val="center"/>
      </w:pPr>
      <w:r>
        <w:drawing>
          <wp:inline xmlns:a="http://schemas.openxmlformats.org/drawingml/2006/main" xmlns:pic="http://schemas.openxmlformats.org/drawingml/2006/picture">
            <wp:extent cx="6120000" cy="220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1_branch_mismat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794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cantSplit/>
        </w:trPr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证据编号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E1、E2、E5；P1、T1、B1</w:t>
            </w:r>
          </w:p>
        </w:tc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建议视觉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分支虚部图（标“已知复现”）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人工确认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催化仅接口压测；不得把 x=−1 写成新发现。</w:t>
            </w:r>
          </w:p>
        </w:tc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内容预算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750–850 汉字；1 图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二、环境接口</w:t>
      </w:r>
    </w:p>
    <w:p>
      <w:pPr>
        <w:pStyle w:val="Heading2"/>
        <w:keepNext/>
      </w:pPr>
      <w:r>
        <w:t>2.1 固定规则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757"/>
            <w:shd w:fill="17324D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固定项</w:t>
            </w:r>
          </w:p>
        </w:tc>
        <w:tc>
          <w:tcPr>
            <w:tcW w:type="dxa" w:w="8164"/>
            <w:shd w:fill="17324D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可执行定义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5"/>
              </w:rPr>
              <w:t>目标记录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5"/>
              </w:rPr>
              <w:t>保存 user_target、typed_logic、KaTeX、constraints、basis、spaces、plugin_route；显示公式不等于真值。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5"/>
              </w:rPr>
              <w:t>相连空间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5"/>
              </w:rPr>
              <w:t>催化固定为 N→S→C→Y→G→P；映射逐个带输入/输出类型和 oracle，不假定它们是同一向量空间。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5"/>
              </w:rPr>
              <w:t>插件路由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5"/>
              </w:rPr>
              <w:t>ReactionDecomposer 管反应；ObjectiveStructurer 管标量目标；GeometryPlugin 管坐标；Lean 只查明示命题。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5"/>
              </w:rPr>
              <w:t>EML 闸门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5"/>
              </w:rPr>
              <w:t>只接收合格标量解析 AST；代数结构标 unconfirmed；科学切片固定主分支、7 点池、1e−10 与 5 次预算。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5"/>
              </w:rPr>
              <w:t>状态/安全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5"/>
              </w:rPr>
              <w:t>solved / mismatch / undefined / unknown / abstain；不用 eval、exec、裸 sympify，运行后不得换指标。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观察/行动/反馈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757"/>
            <w:shd w:fill="17324D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4"/>
              </w:rPr>
              <w:t>接口</w:t>
            </w:r>
          </w:p>
        </w:tc>
        <w:tc>
          <w:tcPr>
            <w:tcW w:type="dxa" w:w="8164"/>
            <w:shd w:fill="17324D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4"/>
              </w:rPr>
              <w:t>字段/函数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观察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typed_target, spaces, plugin_route, AST/domain/branch, conditioned_data, counterexamples, budget_left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行动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decompose_reaction(), choose_basis(), probe(), inspect_subtree(), revise(diff), project_geometry(), emit_lean()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反馈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balance/Aν, objective_status, evidence_span, mismatch/undefined/unknown, failed_subtree, proof_status, oracle_trace</w:t>
            </w:r>
          </w:p>
        </w:tc>
      </w:tr>
    </w:tbl>
    <w:p>
      <w:pPr>
        <w:spacing w:after="0"/>
      </w:pPr>
    </w:p>
    <w:p>
      <w:pPr>
        <w:spacing w:after="36"/>
      </w:pPr>
      <w:r>
        <w:rPr>
          <w:rFonts w:ascii="Microsoft YaHei" w:hAnsi="Microsoft YaHei" w:eastAsia="Microsoft YaHei"/>
          <w:b w:val="0"/>
          <w:sz w:val="16"/>
        </w:rPr>
        <w:t>反馈必须改变行动：输入不守恒→补齐计量空间；@best 欠定→弃权并索取条件化观测；标量 AST 才可进 EML；x=1 一致→下一步改测 x=−1；失配→检查负轴与零边界。固定 Lean 义务通过，但上游 EML reconstruct_ln 含 sorry，只能返回 partial_formalization。</w:t>
      </w:r>
    </w:p>
    <w:p>
      <w:pPr>
        <w:pStyle w:val="Heading2"/>
        <w:keepNext/>
      </w:pPr>
      <w:r>
        <w:t>2.3 记录与预算</w:t>
      </w:r>
    </w:p>
    <w:p>
      <w:pPr>
        <w:spacing w:after="36"/>
      </w:pPr>
      <w:r>
        <w:rPr>
          <w:rFonts w:ascii="Microsoft YaHei" w:hAnsi="Microsoft YaHei" w:eastAsia="Microsoft YaHei"/>
          <w:b w:val="0"/>
          <w:sz w:val="16"/>
        </w:rPr>
        <w:t>每步向 events.jsonl 写 step/action/feedback/next_action_reason，并记录模型、插件、来源 URL、unknown 与 SHA-256。当前验收模型调用/外网请求均为 0；可选 Harness 每次最多 1 个模型。EML 随机参照共享 5 次预算、20 固定种子；有限映射另测恒等根、g²≠f 与 g(D)⊄D。</w:t>
      </w:r>
    </w:p>
    <w:p>
      <w:pPr>
        <w:spacing w:after="24"/>
        <w:jc w:val="center"/>
      </w:pPr>
      <w:r>
        <w:drawing>
          <wp:inline xmlns:a="http://schemas.openxmlformats.org/drawingml/2006/main" xmlns:pic="http://schemas.openxmlformats.org/drawingml/2006/picture">
            <wp:extent cx="6120000" cy="1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2_environment_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cantSplit/>
        </w:trPr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证据编号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E1、E2、E5；P1、T1、T2、L1、B1</w:t>
            </w:r>
          </w:p>
        </w:tc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建议视觉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类型过滤→插件→oracle→修订；N/S/C/Y/G/P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人工确认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确认插件边界、预算与上游 sorry。</w:t>
            </w:r>
          </w:p>
        </w:tc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内容预算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700–800 汉字；2 表1图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三、发现信号与参照</w:t>
      </w:r>
    </w:p>
    <w:p>
      <w:pPr>
        <w:pStyle w:val="Heading2"/>
        <w:keepNext/>
      </w:pPr>
      <w:r>
        <w:t>3.1 什么算发现</w:t>
      </w:r>
    </w:p>
    <w:p>
      <w:pPr>
        <w:spacing w:after="36"/>
      </w:pPr>
      <w:r>
        <w:rPr>
          <w:rFonts w:ascii="Microsoft YaHei" w:hAnsi="Microsoft YaHei" w:eastAsia="Microsoft YaHei"/>
          <w:b w:val="0"/>
          <w:sz w:val="17"/>
        </w:rPr>
        <w:t>科学发现须在探索前定义：①封存树中可跨多个输入复现的域/分支失效族；②能定位到最小子树的反例；③稳定 unknown/后端失败；④反例迫使把“全域等价”改成带域、分支和弃权项的契约。每项须保存输入、树、后端版本、轨迹和修订 diff。催化路由与 E1 已报告的负实轴问题都只算环境校准。</w:t>
      </w:r>
    </w:p>
    <w:p>
      <w:pPr>
        <w:pStyle w:val="Heading2"/>
        <w:keepNext/>
      </w:pPr>
      <w:r>
        <w:t>3.2 平凡解/随机/无干预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757"/>
            <w:shd w:fill="17324D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4"/>
              </w:rPr>
              <w:t>参照</w:t>
            </w:r>
          </w:p>
        </w:tc>
        <w:tc>
          <w:tcPr>
            <w:tcW w:type="dxa" w:w="8164"/>
            <w:shd w:fill="17324D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4"/>
              </w:rPr>
              <w:t>同预算比较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平凡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只过 AST/schema；若不给数学反例则不合格。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无干预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固定 1,2,0.5，不按反馈改动作；本轮未发现失败。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随机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同一 7 点池、5 次、20 种子；统计首次失败步数。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非平凡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  <w:shd w:fill="F2F4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SymPy continuous_domain；两式实连续域均为 (0,∞)。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4"/>
              </w:rPr>
              <w:t>精确校准</w:t>
            </w:r>
          </w:p>
        </w:tc>
        <w:tc>
          <w:tcPr>
            <w:tcW w:type="dxa" w:w="8164"/>
            <w:vAlign w:val="center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4"/>
              </w:rPr>
              <w:t>有限域先查闭合，再逐点查 g(g(x))=f(x)。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最低成功与失败标准</w:t>
      </w:r>
    </w:p>
    <w:p>
      <w:pPr>
        <w:spacing w:after="36"/>
      </w:pPr>
      <w:r>
        <w:rPr>
          <w:rFonts w:ascii="Microsoft YaHei" w:hAnsi="Microsoft YaHei" w:eastAsia="Microsoft YaHei"/>
          <w:b w:val="0"/>
          <w:sz w:val="17"/>
        </w:rPr>
        <w:t>技术门槛：反馈改变查询；5 步内捕获已知分支失配与零点未定义；轨迹齐全；闭合先验；测试全过。本轮第2步首次失效、三个负点失配、零点未定义，12/12 测试通过（P1/T1）。</w:t>
      </w:r>
    </w:p>
    <w:p>
      <w:pPr>
        <w:spacing w:after="36"/>
      </w:pPr>
      <w:r>
        <w:rPr>
          <w:rFonts w:ascii="Microsoft YaHei" w:hAnsi="Microsoft YaHei" w:eastAsia="Microsoft YaHei"/>
          <w:b w:val="0"/>
          <w:sz w:val="16"/>
        </w:rPr>
        <w:t>探索门槛：在封存的其他 EML 树中找到至少一个 E1 未直接报告的稳定失败族，且首次失败步数或有效反例数至少一项严格优于随机中位数。本轮自适应=2、随机中位=2，未达门槛；结论是“环境技术通过，科学发现未通过”。若扩大封存集后仍不胜随机，只能降级为验证工具。</w:t>
      </w:r>
    </w:p>
    <w:p>
      <w:pPr>
        <w:spacing w:after="24"/>
        <w:jc w:val="center"/>
      </w:pPr>
      <w:r>
        <w:drawing>
          <wp:inline xmlns:a="http://schemas.openxmlformats.org/drawingml/2006/main" xmlns:pic="http://schemas.openxmlformats.org/drawingml/2006/picture">
            <wp:extent cx="6120000" cy="21818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3_baseline_re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8182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cantSplit/>
        </w:trPr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证据编号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E1、E2；P1、T1</w:t>
            </w:r>
          </w:p>
        </w:tc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建议视觉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首次失败步数对照，显式标平局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人工确认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保留未胜随机、无新发现原判。</w:t>
            </w:r>
          </w:p>
        </w:tc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内容预算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700–800 汉字；1 表1图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四、最小验证计划</w:t>
      </w:r>
    </w:p>
    <w:p>
      <w:pPr>
        <w:pStyle w:val="Heading2"/>
        <w:keepNext/>
      </w:pPr>
      <w:r>
        <w:t>4.1 一次试跑怎么做</w:t>
      </w:r>
    </w:p>
    <w:p>
      <w:pPr>
        <w:spacing w:after="36"/>
      </w:pPr>
      <w:r>
        <w:rPr>
          <w:rFonts w:ascii="Microsoft YaHei" w:hAnsi="Microsoft YaHei" w:eastAsia="Microsoft YaHei"/>
          <w:b w:val="0"/>
          <w:sz w:val="17"/>
        </w:rPr>
        <w:t>目标：先验证数学滤镜不把反应、标量目标与几何混为一谈，再验证反馈能从正实一致转向负实反例。输入：默认催化 DSL；冻结 EML ln JSON、7 点池、主分支与 5 次预算。步骤：ReactionDecomposer 配平/守恒/中间体槽位→ObjectiveStructurer 对欠定 @best 弃权→确认 EML not_invoked、GeometryPlugin 独立→运行 EML 自适应/随机/SymPy→保存日志、Lean 与浏览器证据。</w:t>
      </w:r>
    </w:p>
    <w:p>
      <w:pPr>
        <w:spacing w:after="40"/>
        <w:ind w:left="198"/>
      </w:pPr>
      <w:r>
        <w:rPr>
          <w:rFonts w:ascii="Consolas" w:hAnsi="Consolas" w:eastAsia="Consolas"/>
          <w:b w:val="0"/>
          <w:color w:val="17324D"/>
          <w:sz w:val="15"/>
        </w:rPr>
        <w:t>python demo/run_demo.py</w:t>
      </w:r>
      <w:r>
        <w:rPr>
          <w:rFonts w:ascii="Consolas" w:hAnsi="Consolas" w:eastAsia="Consolas"/>
          <w:b w:val="0"/>
          <w:color w:val="17324D"/>
          <w:sz w:val="15"/>
        </w:rPr>
        <w:br/>
        <w:t>python -m pytest -q demo/test_demo.py panel/test_panel.py</w:t>
      </w:r>
      <w:r>
        <w:rPr>
          <w:rFonts w:ascii="Consolas" w:hAnsi="Consolas" w:eastAsia="Consolas"/>
          <w:b w:val="0"/>
          <w:color w:val="17324D"/>
          <w:sz w:val="15"/>
        </w:rPr>
        <w:br/>
        <w:t>python panel/serve_panel.py  # open :8766</w:t>
      </w:r>
    </w:p>
    <w:p>
      <w:pPr>
        <w:spacing w:after="36"/>
      </w:pPr>
      <w:r>
        <w:rPr>
          <w:rFonts w:ascii="Microsoft YaHei" w:hAnsi="Microsoft YaHei" w:eastAsia="Microsoft YaHei"/>
          <w:b/>
          <w:sz w:val="16"/>
        </w:rPr>
        <w:t>实际结果：</w:t>
      </w:r>
      <w:r>
        <w:rPr>
          <w:rFonts w:ascii="Microsoft YaHei" w:hAnsi="Microsoft YaHei" w:eastAsia="Microsoft YaHei"/>
          <w:b w:val="0"/>
          <w:sz w:val="16"/>
        </w:rPr>
        <w:t>Demo 12 项、双面板 11 项及真实 Chrome 桌面/移动验收通过；输出含 KaTeX、N/S/C/Y/G/P、未排名文献候选与示意 2D/3D；默认内核无外网请求、无模型调用。Lean 本地义务通过，上游文件 accepted_with_sorry。</w:t>
      </w:r>
    </w:p>
    <w:p>
      <w:pPr>
        <w:pStyle w:val="Heading2"/>
        <w:keepNext/>
      </w:pPr>
      <w:r>
        <w:t>4.2 主要风险与失败路径</w:t>
      </w:r>
    </w:p>
    <w:p>
      <w:pPr>
        <w:pStyle w:val="ListBullet"/>
        <w:spacing w:after="22"/>
        <w:ind w:left="238" w:hanging="125"/>
      </w:pPr>
      <w:r>
        <w:rPr>
          <w:rFonts w:ascii="Microsoft YaHei" w:hAnsi="Microsoft YaHei" w:eastAsia="Microsoft YaHei"/>
          <w:b w:val="0"/>
          <w:sz w:val="15"/>
        </w:rPr>
        <w:t>已知例冒充发现：校准集与 holdout 新表达式严格分离。</w:t>
      </w:r>
    </w:p>
    <w:p>
      <w:pPr>
        <w:pStyle w:val="ListBullet"/>
        <w:spacing w:after="22"/>
        <w:ind w:left="238" w:hanging="125"/>
      </w:pPr>
      <w:r>
        <w:rPr>
          <w:rFonts w:ascii="Microsoft YaHei" w:hAnsi="Microsoft YaHei" w:eastAsia="Microsoft YaHei"/>
          <w:b w:val="0"/>
          <w:sz w:val="15"/>
        </w:rPr>
        <w:t>后端分支差异：SymPy 与递归 cmath 轨迹都保存，不挑有利后端。</w:t>
      </w:r>
    </w:p>
    <w:p>
      <w:pPr>
        <w:pStyle w:val="ListBullet"/>
        <w:spacing w:after="22"/>
        <w:ind w:left="238" w:hanging="125"/>
      </w:pPr>
      <w:r>
        <w:rPr>
          <w:rFonts w:ascii="Microsoft YaHei" w:hAnsi="Microsoft YaHei" w:eastAsia="Microsoft YaHei"/>
          <w:b w:val="0"/>
          <w:sz w:val="15"/>
        </w:rPr>
        <w:t>采样冒充证明：数值一致不是恒等证明；Lean 含 sorry 即部分形式化。</w:t>
      </w:r>
    </w:p>
    <w:p>
      <w:pPr>
        <w:pStyle w:val="ListBullet"/>
        <w:spacing w:after="22"/>
        <w:ind w:left="238" w:hanging="125"/>
      </w:pPr>
      <w:r>
        <w:rPr>
          <w:rFonts w:ascii="Microsoft YaHei" w:hAnsi="Microsoft YaHei" w:eastAsia="Microsoft YaHei"/>
          <w:b w:val="0"/>
          <w:sz w:val="15"/>
        </w:rPr>
        <w:t>Agent 伪装：当前是确定性策略；反馈不改变动作即判失败。</w:t>
      </w:r>
    </w:p>
    <w:p>
      <w:pPr>
        <w:pStyle w:val="ListBullet"/>
        <w:spacing w:after="22"/>
        <w:ind w:left="238" w:hanging="125"/>
      </w:pPr>
      <w:r>
        <w:rPr>
          <w:rFonts w:ascii="Microsoft YaHei" w:hAnsi="Microsoft YaHei" w:eastAsia="Microsoft YaHei"/>
          <w:b w:val="0"/>
          <w:sz w:val="15"/>
        </w:rPr>
        <w:t>基线过弱：下一轮加入固定边界扫描；不得只和随机比。</w:t>
      </w:r>
    </w:p>
    <w:p>
      <w:pPr>
        <w:pStyle w:val="ListBullet"/>
        <w:spacing w:after="22"/>
        <w:ind w:left="238" w:hanging="125"/>
      </w:pPr>
      <w:r>
        <w:rPr>
          <w:rFonts w:ascii="Microsoft YaHei" w:hAnsi="Microsoft YaHei" w:eastAsia="Microsoft YaHei"/>
          <w:b w:val="0"/>
          <w:sz w:val="15"/>
        </w:rPr>
        <w:t>插件越权：EML 若接到配平、机理或 3D 坐标，路由测试立即失败。</w:t>
      </w:r>
    </w:p>
    <w:p>
      <w:pPr>
        <w:pStyle w:val="ListBullet"/>
        <w:spacing w:after="22"/>
        <w:ind w:left="238" w:hanging="125"/>
      </w:pPr>
      <w:r>
        <w:rPr>
          <w:rFonts w:ascii="Microsoft YaHei" w:hAnsi="Microsoft YaHei" w:eastAsia="Microsoft YaHei"/>
          <w:b w:val="0"/>
          <w:sz w:val="15"/>
        </w:rPr>
        <w:t>跨域夸张：催化候选/示意构型和 PDE/理论适配器不进入当前科学结论。</w:t>
      </w:r>
    </w:p>
    <w:p>
      <w:pPr>
        <w:pStyle w:val="Heading2"/>
        <w:keepNext/>
      </w:pPr>
      <w:r>
        <w:t>4.3 复现与开源计划</w:t>
      </w:r>
    </w:p>
    <w:p>
      <w:pPr>
        <w:spacing w:after="36"/>
      </w:pPr>
      <w:r>
        <w:rPr>
          <w:rFonts w:ascii="Microsoft YaHei" w:hAnsi="Microsoft YaHei" w:eastAsia="Microsoft YaHei"/>
          <w:b w:val="0"/>
          <w:sz w:val="16"/>
        </w:rPr>
        <w:t>公开 demo/、panel/、冻结合同、日志、结果、测试、截图、来源 URL 和 SHA-256；不打包论文 PDF。第三方在 Python 3.14.2 / SymPy 1.14.0 下应复现配平与弃权、EML 第2步失效、随机中位第2步、12+11 项测试和本地 2D/3D 面板。Lean 复跑须保留上游 sorry。</w:t>
      </w:r>
    </w:p>
    <w:p>
      <w:pPr>
        <w:spacing w:after="24"/>
        <w:jc w:val="center"/>
      </w:pPr>
      <w:r>
        <w:drawing>
          <wp:inline xmlns:a="http://schemas.openxmlformats.org/drawingml/2006/main" xmlns:pic="http://schemas.openxmlformats.org/drawingml/2006/picture">
            <wp:extent cx="6120000" cy="1476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4_reprodu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768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cantSplit/>
        </w:trPr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证据编号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E1、E2、E5；P1、T1、T2、R1、L1、B1</w:t>
            </w:r>
          </w:p>
        </w:tc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建议视觉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输入→运行→日志→测试→Lean/面板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人工确认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异机复跑；核对 sorry、截图与哈希。</w:t>
            </w:r>
          </w:p>
        </w:tc>
        <w:tc>
          <w:tcPr>
            <w:tcW w:type="dxa" w:w="1020"/>
            <w:tcMar>
              <w:top w:w="30" w:type="dxa"/>
              <w:start w:w="65" w:type="dxa"/>
              <w:bottom w:w="30" w:type="dxa"/>
              <w:end w:w="65" w:type="dxa"/>
            </w:tcMar>
            <w:shd w:fill="EAF2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24D"/>
                <w:sz w:val="13"/>
              </w:rPr>
              <w:t>内容预算</w:t>
            </w:r>
          </w:p>
        </w:tc>
        <w:tc>
          <w:tcPr>
            <w:tcW w:type="dxa" w:w="3798"/>
            <w:tcMar>
              <w:top w:w="30" w:type="dxa"/>
              <w:start w:w="65" w:type="dxa"/>
              <w:bottom w:w="30" w:type="dxa"/>
              <w:end w:w="6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66727D"/>
                <w:sz w:val="13"/>
              </w:rPr>
              <w:t>700–800 汉字；命令+1图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09" w:right="765" w:bottom="652" w:left="765" w:header="255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6727D"/>
        <w:sz w:val="14"/>
      </w:rPr>
      <w:t xml:space="preserve">GOAI 开放探索  •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0" w:lineRule="auto"/>
    </w:pPr>
    <w:rPr>
      <w:rFonts w:ascii="Microsoft YaHei" w:hAnsi="Microsoft YaHei" w:eastAsia="Microsoft YaHe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0" w:after="36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50" w:after="36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6F9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50" w:after="36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24D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24D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Structurer — Convincing, reusable target-matching skills for AI research agents</dc:title>
  <dc:subject>GOAI AI for Research 开放探索四页问题定义</dc:subject>
  <dc:creator>GOAI 参赛团队</dc:creator>
  <cp:keywords>GOAI, Math Structurer, EML, target matching, basis, FunctionContract, Agent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