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D2538"/>
          <w:sz w:val="33"/>
        </w:rPr>
        <w:t>Math Structurer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245F83"/>
          <w:sz w:val="16"/>
        </w:rPr>
        <w:t>Convincing, reusable target-matching skills for AI research agents.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1531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四页共用信息</w:t>
            </w:r>
          </w:p>
        </w:tc>
        <w:tc>
          <w:tcPr>
            <w:tcW w:type="dxa" w:w="884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冻结表述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一句话问题</w:t>
            </w:r>
          </w:p>
        </w:tc>
        <w:tc>
          <w:tcPr>
            <w:tcW w:type="dxa" w:w="884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科研代理能否把自然语言反应目标转换为反应物、产物、带来源反应能量、催化剂空间几何及文献记录，并利用空值、冲突和几何缺口改变下一轮检索，而不把候选记录冒充发现？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研究边界</w:t>
            </w:r>
          </w:p>
        </w:tc>
        <w:tc>
          <w:tcPr>
            <w:tcW w:type="dxa" w:w="884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首版只运行 CO2gas+H2gas -- CH3CH2OHgas @best 和独立的特定基算子调试；@best 只调用固定排序式。温度、压力、候选范围、观测指标和基线为空时仍允许查询。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当前成熟度</w:t>
            </w:r>
          </w:p>
        </w:tc>
        <w:tc>
          <w:tcPr>
            <w:tcW w:type="dxa" w:w="884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交互原型 v0.6；Windows 的单行启动、本地识别、结构检查与浏览器试跑均有通过收据，Linux／macOS 尚未实测。当前无统一口径反应能量、催化性能结论或催化剂发现。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</w:pPr>
      <w:r>
        <w:t>一、问题与证据</w:t>
      </w:r>
    </w:p>
    <w:p>
      <w:pPr>
        <w:pStyle w:val="Heading2"/>
        <w:keepNext/>
      </w:pPr>
      <w:r>
        <w:t>1.1 真实问题或需求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5"/>
        </w:rPr>
        <w:t>化学实验中的一句自然语言目标常把反应、能量口径、催化剂记录、空间结构和排序依据混在一起。以 CO₂ 与 H₂ 生成乙醇为例，Wang 等讨论 Na–Fe@C、K–CuZnAl、界面及组分邻近方式，说明候选必须携带来源和结构上下文，却不支持由题名或元数据直接推出跨论文性能次序（</w:t>
      </w:r>
      <w:hyperlink r:id="rId10" w:history="1">
        <w:r>
          <w:rPr>
            <w:rFonts w:ascii="Microsoft YaHei" w:hAnsi="Microsoft YaHei" w:eastAsia="Microsoft YaHei"/>
            <w:b w:val="0"/>
            <w:color w:val="245F83"/>
            <w:sz w:val="15"/>
            <w:u w:val="single"/>
          </w:rPr>
          <w:t>Wang et al., 2021</w:t>
        </w:r>
      </w:hyperlink>
      <w:r>
        <w:rPr>
          <w:rFonts w:ascii="Microsoft YaHei" w:hAnsi="Microsoft YaHei" w:eastAsia="Microsoft YaHei"/>
          <w:b w:val="0"/>
          <w:sz w:val="15"/>
        </w:rPr>
        <w:t>）。</w:t>
      </w:r>
      <w:hyperlink r:id="rId11" w:history="1">
        <w:r>
          <w:rPr>
            <w:rFonts w:ascii="Microsoft YaHei" w:hAnsi="Microsoft YaHei" w:eastAsia="Microsoft YaHei"/>
            <w:b w:val="0"/>
            <w:color w:val="245F83"/>
            <w:sz w:val="15"/>
            <w:u w:val="single"/>
          </w:rPr>
          <w:t>Pd₁/Fe₃O₄ 2018</w:t>
        </w:r>
      </w:hyperlink>
      <w:r>
        <w:rPr>
          <w:rFonts w:ascii="Microsoft YaHei" w:hAnsi="Microsoft YaHei" w:eastAsia="Microsoft YaHei"/>
          <w:b w:val="0"/>
          <w:sz w:val="15"/>
        </w:rPr>
        <w:t xml:space="preserve"> 与 </w:t>
      </w:r>
      <w:hyperlink r:id="rId12" w:history="1">
        <w:r>
          <w:rPr>
            <w:rFonts w:ascii="Microsoft YaHei" w:hAnsi="Microsoft YaHei" w:eastAsia="Microsoft YaHei"/>
            <w:b w:val="0"/>
            <w:color w:val="245F83"/>
            <w:sz w:val="15"/>
            <w:u w:val="single"/>
          </w:rPr>
          <w:t>Cu@Na-Beta 2020</w:t>
        </w:r>
      </w:hyperlink>
      <w:r>
        <w:rPr>
          <w:rFonts w:ascii="Microsoft YaHei" w:hAnsi="Microsoft YaHei" w:eastAsia="Microsoft YaHei"/>
          <w:b w:val="0"/>
          <w:sz w:val="15"/>
        </w:rPr>
        <w:t xml:space="preserve"> 只能先作为可追溯检索候选。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数学研究也常呈现“有限结构生成候选—验证器给出反例—下一轮改变表示”。半迭代是在指定 X 上寻找 g:X→X 使 g∘g=f，其存在性依赖函数图或受限连续函数类的内部结构（</w:t>
      </w:r>
      <w:hyperlink r:id="rId13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Kozyra, 2021</w:t>
        </w:r>
      </w:hyperlink>
      <w:r>
        <w:rPr>
          <w:rFonts w:ascii="Microsoft YaHei" w:hAnsi="Microsoft YaHei" w:eastAsia="Microsoft YaHei"/>
          <w:b w:val="0"/>
          <w:sz w:val="14"/>
        </w:rPr>
        <w:t>；</w:t>
      </w:r>
      <w:hyperlink r:id="rId14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Murugan &amp; Palanivel, 2021</w:t>
        </w:r>
      </w:hyperlink>
      <w:r>
        <w:rPr>
          <w:rFonts w:ascii="Microsoft YaHei" w:hAnsi="Microsoft YaHei" w:eastAsia="Microsoft YaHei"/>
          <w:b w:val="0"/>
          <w:sz w:val="14"/>
        </w:rPr>
        <w:t>）。李对称可压缩微分方程变量并支持机器学习表征；本地 MATHs/math 3624 number theory 生成器则产生轨道后检查素性、同余和闭合（</w:t>
      </w:r>
      <w:hyperlink r:id="rId15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Güngör, arXiv:1901.01543v11, 2025</w:t>
        </w:r>
      </w:hyperlink>
      <w:r>
        <w:rPr>
          <w:rFonts w:ascii="Microsoft YaHei" w:hAnsi="Microsoft YaHei" w:eastAsia="Microsoft YaHei"/>
          <w:b w:val="0"/>
          <w:sz w:val="14"/>
        </w:rPr>
        <w:t>；</w:t>
      </w:r>
      <w:hyperlink r:id="rId16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Brandstetter et al., 2022</w:t>
        </w:r>
      </w:hyperlink>
      <w:r>
        <w:rPr>
          <w:rFonts w:ascii="Microsoft YaHei" w:hAnsi="Microsoft YaHei" w:eastAsia="Microsoft YaHei"/>
          <w:b w:val="0"/>
          <w:sz w:val="14"/>
        </w:rPr>
        <w:t>；</w:t>
      </w:r>
      <w:hyperlink r:id="rId17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Mialon et al., 2023（arXiv v2, 2024）</w:t>
        </w:r>
      </w:hyperlink>
      <w:r>
        <w:rPr>
          <w:rFonts w:ascii="Microsoft YaHei" w:hAnsi="Microsoft YaHei" w:eastAsia="Microsoft YaHei"/>
          <w:b w:val="0"/>
          <w:sz w:val="14"/>
        </w:rPr>
        <w:t>）。共同点只是特定基算子＋迭代的工作流，并非已知统一代数。</w:t>
      </w:r>
    </w:p>
    <w:p>
      <w:pPr>
        <w:pStyle w:val="Heading2"/>
        <w:keepNext/>
      </w:pPr>
      <w:r>
        <w:t>1.2 为什么尚未被结构化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5"/>
        </w:rPr>
        <w:t>结构化瓶颈首先是定义不一致：反应能量可能指电子能差、焓变、自由能变、势垒或吸附能；缺少数值、单位、方法、参考态和来源时，任何数字都不可复查。催化剂又可能是分子、团簇、表面、载体或界面，二维连线、三维坐标和对称信息必须交给不同插件，并标明坐标来源与“体相／支撑体／表面／活性位”范围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5"/>
        </w:rPr>
        <w:t>纯数学侧也没有可直接套用的万能函数生成器。Deng、Hani 与 Ma 从硬球动力学长时导出 Boltzmann 方程时，用时间分层、累积量、部分展开、分子图和切割算法控制误差（</w:t>
      </w:r>
      <w:hyperlink r:id="rId18" w:history="1">
        <w:r>
          <w:rPr>
            <w:rFonts w:ascii="Microsoft YaHei" w:hAnsi="Microsoft YaHei" w:eastAsia="Microsoft YaHei"/>
            <w:b w:val="0"/>
            <w:color w:val="245F83"/>
            <w:sz w:val="15"/>
            <w:u w:val="single"/>
          </w:rPr>
          <w:t>Deng, Hani &amp; Ma, 2025</w:t>
        </w:r>
      </w:hyperlink>
      <w:r>
        <w:rPr>
          <w:rFonts w:ascii="Microsoft YaHei" w:hAnsi="Microsoft YaHei" w:eastAsia="Microsoft YaHei"/>
          <w:b w:val="0"/>
          <w:sz w:val="15"/>
        </w:rPr>
        <w:t>，pp. 9–12）。这份 192 页推导只作复杂度例证：专业参数、函数空间、结构表示与误差口径必须一起嵌入，不能由语言模型一次补全。</w:t>
      </w:r>
    </w:p>
    <w:p>
      <w:pPr>
        <w:pStyle w:val="Heading2"/>
        <w:keepNext/>
      </w:pPr>
      <w:r>
        <w:t>1.3 研究价值与合适切片</w:t>
      </w:r>
    </w:p>
    <w:p>
      <w:pPr>
        <w:spacing w:after="10"/>
      </w:pPr>
      <w:r>
        <w:rPr>
          <w:rFonts w:ascii="Microsoft YaHei" w:hAnsi="Microsoft YaHei" w:eastAsia="Microsoft YaHei"/>
          <w:b w:val="0"/>
          <w:sz w:val="14"/>
        </w:rPr>
        <w:t xml:space="preserve">演示只建立可审计的“反应—证据—几何”记录：反应物／产物来自输入，能量为 null，五条候选保留来源；当前三维对象是 </w:t>
      </w:r>
      <w:hyperlink r:id="rId19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Materials Project OPTIMADE</w:t>
        </w:r>
      </w:hyperlink>
      <w:r>
        <w:rPr>
          <w:rFonts w:ascii="Microsoft YaHei" w:hAnsi="Microsoft YaHei" w:eastAsia="Microsoft YaHei"/>
          <w:b w:val="0"/>
          <w:sz w:val="14"/>
        </w:rPr>
        <w:t xml:space="preserve"> 的 mp-19306 Fe₃O₄ 体相支撑体坐标，范围 support-only，不是 Pd 活性位。</w:t>
      </w:r>
    </w:p>
    <w:p>
      <w:pPr>
        <w:spacing w:before="16" w:after="28"/>
        <w:jc w:val="center"/>
      </w:pPr>
      <w:r>
        <w:rPr>
          <w:rFonts w:ascii="Cambria Math" w:hAnsi="Cambria Math" w:eastAsia="Cambria Math"/>
          <w:b w:val="0"/>
          <w:color w:val="0D2538"/>
          <w:sz w:val="16"/>
        </w:rPr>
        <w:t>S(c)=50mRP+25mabs+15mgeom+10menergy　（四项为 0／1，只作稳定检索排序）</w:t>
      </w:r>
    </w:p>
    <w:p>
      <w:pPr>
        <w:spacing w:before="14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62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emo_sl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6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" w:after="0"/>
        <w:ind w:left="85" w:right="85"/>
      </w:pPr>
      <w:r>
        <w:rPr>
          <w:rFonts w:ascii="Microsoft YaHei" w:hAnsi="Microsoft YaHei" w:eastAsia="Microsoft YaHei"/>
          <w:b/>
          <w:color w:val="245F83"/>
          <w:sz w:val="12"/>
        </w:rPr>
        <w:t>页面字段：</w:t>
      </w:r>
      <w:r>
        <w:rPr>
          <w:rFonts w:ascii="Microsoft YaHei" w:hAnsi="Microsoft YaHei" w:eastAsia="Microsoft YaHei"/>
          <w:b w:val="0"/>
          <w:color w:val="66727D"/>
          <w:sz w:val="12"/>
        </w:rPr>
        <w:t>反应物；产物；能量值／单位／定义／方法／来源／状态；候选记录；固定排序特征；几何来源与对象范围。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文献依据：</w:t>
      </w:r>
      <w:hyperlink r:id="rId10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Wang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3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Kozyra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4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Murugan–Palanivel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5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Güngör v11 2025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6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Brandstetter 2022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7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Mialon 2023／v2 2024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8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Deng–Hani–Ma 2025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9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Materials Project OPTIMADE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建议视觉：</w:t>
      </w:r>
      <w:r>
        <w:rPr>
          <w:rFonts w:ascii="Microsoft YaHei" w:hAnsi="Microsoft YaHei" w:eastAsia="Microsoft YaHei"/>
          <w:b w:val="0"/>
          <w:color w:val="66727D"/>
          <w:sz w:val="12"/>
        </w:rPr>
        <w:t>v0.6 演示截图：反应物—产物—能量空值—固定排序边界—相连空间。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人工确认：</w:t>
      </w:r>
      <w:r>
        <w:rPr>
          <w:rFonts w:ascii="Microsoft YaHei" w:hAnsi="Microsoft YaHei" w:eastAsia="Microsoft YaHei"/>
          <w:b w:val="0"/>
          <w:color w:val="66727D"/>
          <w:sz w:val="12"/>
        </w:rPr>
        <w:t>逐项打开候选链接；未知能量保持空值；mp-19306 未写成 Pd 活性位；排序未写成性能结论。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内容预算：</w:t>
      </w:r>
      <w:r>
        <w:rPr>
          <w:rFonts w:ascii="Microsoft YaHei" w:hAnsi="Microsoft YaHei" w:eastAsia="Microsoft YaHei"/>
          <w:b w:val="0"/>
          <w:color w:val="66727D"/>
          <w:sz w:val="12"/>
        </w:rPr>
        <w:t>约 850–950 字＋1 张实测截图。</w:t>
      </w:r>
    </w:p>
    <w:p>
      <w:r>
        <w:br w:type="page"/>
      </w:r>
    </w:p>
    <w:p>
      <w:pPr>
        <w:pStyle w:val="Heading1"/>
        <w:keepNext/>
      </w:pPr>
      <w:r>
        <w:t>二、环境接口</w:t>
      </w:r>
    </w:p>
    <w:p>
      <w:pPr>
        <w:pStyle w:val="Heading2"/>
        <w:keepNext/>
      </w:pPr>
      <w:r>
        <w:t>2.1 固定规则</w:t>
      </w:r>
    </w:p>
    <w:p>
      <w:pPr>
        <w:spacing w:after="12"/>
      </w:pPr>
      <w:r>
        <w:rPr>
          <w:rFonts w:ascii="Microsoft YaHei" w:hAnsi="Microsoft YaHei" w:eastAsia="Microsoft YaHei"/>
          <w:b w:val="0"/>
          <w:sz w:val="15"/>
        </w:rPr>
        <w:t>环境固定接收原始查询 q，并输出反应物 R、产物 P、能量记录 E、催化剂候选 C、空间几何 G 与来源集合 L。</w:t>
      </w:r>
    </w:p>
    <w:p>
      <w:pPr>
        <w:spacing w:before="16" w:after="28"/>
        <w:jc w:val="center"/>
      </w:pPr>
      <w:r>
        <w:rPr>
          <w:rFonts w:ascii="Cambria Math" w:hAnsi="Cambria Math" w:eastAsia="Cambria Math"/>
          <w:b w:val="0"/>
          <w:color w:val="0D2538"/>
          <w:sz w:val="18"/>
        </w:rPr>
        <w:t>q ↦ (R,P,E,C,G,L),　E=(v,u,ρ,m,s,σ)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5"/>
        </w:rPr>
        <w:t>E 中 v 为数值、u 为单位、ρ 为能量定义、m 为实验或计算方法、s 为来源、σ 为核验状态；任何必要子字段缺失时 v=null，界面显示“—”。候选至少保存名称、记录标识、网址、证据层级和检索时间；几何至少保存节点、边、坐标来源及“体相／支撑体／表面／活性位”范围。</w:t>
      </w:r>
    </w:p>
    <w:p>
      <w:pPr>
        <w:spacing w:after="12"/>
      </w:pPr>
      <w:r>
        <w:rPr>
          <w:rFonts w:ascii="Microsoft YaHei" w:hAnsi="Microsoft YaHei" w:eastAsia="Microsoft YaHei"/>
          <w:b w:val="0"/>
          <w:sz w:val="14"/>
        </w:rPr>
        <w:t>@best 只调用公开的 50／25／15／10 固定排序式，不新增科学主张。温度、压力、候选范围、观测指标和基线是可选可能性，缺失不阻断检索。各数据源职责固定如下。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243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1"/>
              </w:rPr>
              <w:t>数据源</w:t>
            </w:r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1"/>
              </w:rPr>
              <w:t>可读取对象</w:t>
            </w:r>
          </w:p>
        </w:tc>
        <w:tc>
          <w:tcPr>
            <w:tcW w:type="dxa" w:w="385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1"/>
              </w:rPr>
              <w:t>硬边界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hyperlink r:id="rId21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Catalysis-Hub（Winther et al., 2019）</w:t>
              </w:r>
            </w:hyperlink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反应物／产物、带类型 DFT 能量、部分原子结构</w:t>
            </w:r>
          </w:p>
        </w:tc>
        <w:tc>
          <w:tcPr>
            <w:tcW w:type="dxa" w:w="385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模式内省实测 200；无密钥记录查询 401；跨论文不可直接排序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hyperlink r:id="rId22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OC20（Chanussot et al., 2021）</w:t>
              </w:r>
            </w:hyperlink>
            <w:r>
              <w:rPr>
                <w:rFonts w:ascii="Microsoft YaHei" w:hAnsi="Microsoft YaHei" w:eastAsia="Microsoft YaHei"/>
                <w:b/>
                <w:sz w:val="11"/>
              </w:rPr>
              <w:t>／</w:t>
            </w:r>
            <w:hyperlink r:id="rId23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Materials Project API</w:t>
              </w:r>
            </w:hyperlink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初始／弛豫结构、能量与力／最低能体相晶体</w:t>
            </w:r>
          </w:p>
        </w:tc>
        <w:tc>
          <w:tcPr>
            <w:tcW w:type="dxa" w:w="385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OC20 非完整反应网络；体相结构不是催化界面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hyperlink r:id="rId24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Crossref REST API</w:t>
              </w:r>
            </w:hyperlink>
            <w:r>
              <w:rPr>
                <w:rFonts w:ascii="Microsoft YaHei" w:hAnsi="Microsoft YaHei" w:eastAsia="Microsoft YaHei"/>
                <w:b/>
                <w:sz w:val="11"/>
              </w:rPr>
              <w:t>／</w:t>
            </w:r>
            <w:hyperlink r:id="rId25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OpenAlex Works API</w:t>
              </w:r>
            </w:hyperlink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DOI、题名、作者、日期、落地页与开放状态</w:t>
            </w:r>
          </w:p>
        </w:tc>
        <w:tc>
          <w:tcPr>
            <w:tcW w:type="dxa" w:w="385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只作身份核验和跳转，不给反应能或几何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hyperlink r:id="rId26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alphaXiv MCP</w:t>
              </w:r>
            </w:hyperlink>
            <w:r>
              <w:rPr>
                <w:rFonts w:ascii="Microsoft YaHei" w:hAnsi="Microsoft YaHei" w:eastAsia="Microsoft YaHei"/>
                <w:b/>
                <w:sz w:val="11"/>
              </w:rPr>
              <w:t>／</w:t>
            </w:r>
            <w:hyperlink r:id="rId27" w:history="1">
              <w:r>
                <w:rPr>
                  <w:rFonts w:ascii="Microsoft YaHei" w:hAnsi="Microsoft YaHei" w:eastAsia="Microsoft YaHei"/>
                  <w:b/>
                  <w:color w:val="245F83"/>
                  <w:sz w:val="11"/>
                  <w:u w:val="single"/>
                </w:rPr>
                <w:t>arXiv API</w:t>
              </w:r>
            </w:hyperlink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认证后 AI 阅读或原文抽取／规范元数据回退</w:t>
            </w:r>
          </w:p>
        </w:tc>
        <w:tc>
          <w:tcPr>
            <w:tcW w:type="dxa" w:w="385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1"/>
              </w:rPr>
              <w:t>alphaXiv 默认是 AI 中间报告；fullText=true 才请求原文；无认证 401</w:t>
            </w:r>
          </w:p>
        </w:tc>
      </w:tr>
    </w:tbl>
    <w:p>
      <w:pPr>
        <w:spacing w:after="0" w:line="20" w:lineRule="exact"/>
      </w:pPr>
    </w:p>
    <w:p>
      <w:pPr>
        <w:pStyle w:val="Heading2"/>
        <w:keepNext/>
      </w:pPr>
      <w:r>
        <w:t>2.2 观察/行动/反馈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124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接口</w:t>
            </w:r>
          </w:p>
        </w:tc>
        <w:tc>
          <w:tcPr>
            <w:tcW w:type="dxa" w:w="504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落地字段或操作</w:t>
            </w:r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反馈如何改变下一步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观察</w:t>
            </w:r>
          </w:p>
        </w:tc>
        <w:tc>
          <w:tcPr>
            <w:tcW w:type="dxa" w:w="504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原查询；R/P；能量六元组；候选网址与证据层级；几何来源；剩余预算</w:t>
            </w:r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确定当前可核验字段与空值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行动</w:t>
            </w:r>
          </w:p>
        </w:tc>
        <w:tc>
          <w:tcPr>
            <w:tcW w:type="dxa" w:w="504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选择 DOI／alphaXiv／公共数据库；改检索式；读摘要或正文；调用能量或几何插件；执行固定排序</w:t>
            </w:r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改变下一来源、字段或几何对象范围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反馈</w:t>
            </w:r>
          </w:p>
        </w:tc>
        <w:tc>
          <w:tcPr>
            <w:tcW w:type="dxa" w:w="504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已核验／仅元数据／缺失／冲突／接口不可用／超时；同时返回原始字段和位置</w:t>
            </w:r>
          </w:p>
        </w:tc>
        <w:tc>
          <w:tcPr>
            <w:tcW w:type="dxa" w:w="408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能量缺失→授权记录接口；support-only→检索活性位；冲突→并列保留</w:t>
            </w:r>
          </w:p>
        </w:tc>
      </w:tr>
    </w:tbl>
    <w:p>
      <w:pPr>
        <w:spacing w:after="0" w:line="20" w:lineRule="exact"/>
      </w:pP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下一轮可改变连接器、查询词、目标证据层级或几何对象范围；固定 50／25／15／10 排序式不由 Agent 调权。至少一次反馈必须造成可见改变，模型推测不得写入已核验字段。</w:t>
      </w:r>
    </w:p>
    <w:p>
      <w:pPr>
        <w:pStyle w:val="Heading2"/>
        <w:keepNext/>
      </w:pPr>
      <w:r>
        <w:t>2.3 记录与预算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日志保存查询版本、连接器、记录标识、网址、访问时间、字段原文、能量空值原因、几何来源、固定排序特征、模型／插件版本、反馈与下一动作理由。本机 Qwen3-8B 检查点每次至多用于一次受限识别；Codex 或 DeepSeek 仅在用户显式选择时二选一、最多一次；文献与数据库接口合计八次，二维和三维输出各一幅，探索六轮。后端不可用必须明示。</w:t>
      </w:r>
    </w:p>
    <w:p>
      <w:pPr>
        <w:spacing w:before="10" w:after="0"/>
        <w:ind w:left="85" w:right="85"/>
      </w:pPr>
      <w:r>
        <w:rPr>
          <w:rFonts w:ascii="Microsoft YaHei" w:hAnsi="Microsoft YaHei" w:eastAsia="Microsoft YaHei"/>
          <w:b/>
          <w:color w:val="245F83"/>
          <w:sz w:val="12"/>
        </w:rPr>
        <w:t>页面字段：</w:t>
      </w:r>
      <w:r>
        <w:rPr>
          <w:rFonts w:ascii="Microsoft YaHei" w:hAnsi="Microsoft YaHei" w:eastAsia="Microsoft YaHei"/>
          <w:b w:val="0"/>
          <w:color w:val="66727D"/>
          <w:sz w:val="12"/>
        </w:rPr>
        <w:t>固定类型；观察字段；动作枚举；反馈状态；空值语义；固定排序式；来源日志；模型、接口、几何与轮数预算。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文献依据：</w:t>
      </w:r>
      <w:hyperlink r:id="rId10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Wang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1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Catalysis-Hub（Winther et al., 2019）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2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OC20（Chanussot et al., 2021）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3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Materials Project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4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Crossref REST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5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OpenAlex Works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6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alphaXiv MCP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7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arXiv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建议视觉：</w:t>
      </w:r>
      <w:r>
        <w:rPr>
          <w:rFonts w:ascii="Microsoft YaHei" w:hAnsi="Microsoft YaHei" w:eastAsia="Microsoft YaHei"/>
          <w:b w:val="0"/>
          <w:color w:val="66727D"/>
          <w:sz w:val="12"/>
        </w:rPr>
        <w:t>q→(R,P,E,C,G,L) 的类型接口与观察—行动—反馈表。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人工确认：</w:t>
      </w:r>
      <w:r>
        <w:rPr>
          <w:rFonts w:ascii="Microsoft YaHei" w:hAnsi="Microsoft YaHei" w:eastAsia="Microsoft YaHei"/>
          <w:b w:val="0"/>
          <w:color w:val="66727D"/>
          <w:sz w:val="12"/>
        </w:rPr>
        <w:t>可选字段为空不阻断；模型不是验证器；公共记录与科学结论分层；平台状态如实标注。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内容预算：</w:t>
      </w:r>
      <w:r>
        <w:rPr>
          <w:rFonts w:ascii="Microsoft YaHei" w:hAnsi="Microsoft YaHei" w:eastAsia="Microsoft YaHei"/>
          <w:b w:val="0"/>
          <w:color w:val="66727D"/>
          <w:sz w:val="12"/>
        </w:rPr>
        <w:t>约 650–750 字＋1 张接口表。</w:t>
      </w:r>
    </w:p>
    <w:p>
      <w:r>
        <w:br w:type="page"/>
      </w:r>
    </w:p>
    <w:p>
      <w:pPr>
        <w:pStyle w:val="Heading1"/>
        <w:keepNext/>
      </w:pPr>
      <w:r>
        <w:t>三、发现信号与参照</w:t>
      </w:r>
    </w:p>
    <w:p>
      <w:pPr>
        <w:pStyle w:val="Heading2"/>
        <w:keepNext/>
      </w:pPr>
      <w:r>
        <w:t>3.1 什么算发现</w:t>
      </w:r>
    </w:p>
    <w:p>
      <w:pPr>
        <w:spacing w:after="12"/>
      </w:pPr>
      <w:r>
        <w:rPr>
          <w:rFonts w:ascii="Microsoft YaHei" w:hAnsi="Microsoft YaHei" w:eastAsia="Microsoft YaHei"/>
          <w:b w:val="0"/>
          <w:sz w:val="15"/>
        </w:rPr>
        <w:t>材料名称或排序首位不算发现。发现信号必须在运行前写明，并允许被来源冲突、条件扰动或专业验证器否证。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127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信号</w:t>
            </w:r>
          </w:p>
        </w:tc>
        <w:tc>
          <w:tcPr>
            <w:tcW w:type="dxa" w:w="572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可操作定义</w:t>
            </w:r>
          </w:p>
        </w:tc>
        <w:tc>
          <w:tcPr>
            <w:tcW w:type="dxa" w:w="337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它改变什么认识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正向发现</w:t>
            </w:r>
          </w:p>
        </w:tc>
        <w:tc>
          <w:tcPr>
            <w:tcW w:type="dxa" w:w="572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同一反应定义与可比能量口径下，至少两个独立来源，或一项原始研究加专业数据库，支持同一几何—能量关系；几何对象范围明确；改预注册检索词后仍出现</w:t>
            </w:r>
          </w:p>
        </w:tc>
        <w:tc>
          <w:tcPr>
            <w:tcW w:type="dxa" w:w="337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得到待专业复核的条件化结构关系；support-only 不算活性位证据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稳定负结果</w:t>
            </w:r>
          </w:p>
        </w:tc>
        <w:tc>
          <w:tcPr>
            <w:tcW w:type="dxa" w:w="572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八次预注册接口调用均没有能量—几何联合字段</w:t>
            </w:r>
          </w:p>
        </w:tc>
        <w:tc>
          <w:tcPr>
            <w:tcW w:type="dxa" w:w="337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只说明当前数据覆盖不足，不说明领域不存在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异常／反例</w:t>
            </w:r>
          </w:p>
        </w:tc>
        <w:tc>
          <w:tcPr>
            <w:tcW w:type="dxa" w:w="572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同一候选的能量符号、单位、定义、参考态或结构标识在来源间冲突</w:t>
            </w:r>
          </w:p>
        </w:tc>
        <w:tc>
          <w:tcPr>
            <w:tcW w:type="dxa" w:w="337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停止合并，保留两侧原文并缩小口径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问题修正</w:t>
            </w:r>
          </w:p>
        </w:tc>
        <w:tc>
          <w:tcPr>
            <w:tcW w:type="dxa" w:w="572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把“性能最佳”改为“固定检索分排序”，或先区分自由能、电子能和势垒</w:t>
            </w:r>
          </w:p>
        </w:tc>
        <w:tc>
          <w:tcPr>
            <w:tcW w:type="dxa" w:w="3373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下一轮改连接器、检索词或几何对象范围</w:t>
            </w:r>
          </w:p>
        </w:tc>
      </w:tr>
    </w:tbl>
    <w:p>
      <w:pPr>
        <w:spacing w:after="0" w:line="20" w:lineRule="exact"/>
      </w:pP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当前演示最多取得接口、空值、冲突或问题修正信号，尚未构成催化剂发现。</w:t>
      </w:r>
    </w:p>
    <w:p>
      <w:pPr>
        <w:pStyle w:val="Heading2"/>
        <w:keepNext/>
      </w:pPr>
      <w:r>
        <w:t>3.2 平凡解/随机/无干预</w:t>
      </w:r>
    </w:p>
    <w:p>
      <w:pPr>
        <w:spacing w:before="16" w:after="28"/>
        <w:jc w:val="center"/>
      </w:pPr>
      <w:r>
        <w:rPr>
          <w:rFonts w:ascii="Cambria Math" w:hAnsi="Cambria Math" w:eastAsia="Cambria Math"/>
          <w:b w:val="0"/>
          <w:color w:val="0D2538"/>
          <w:sz w:val="17"/>
        </w:rPr>
        <w:t>𝒟q={dᵢ : match(dᵢ,R,P)&gt;0 且 source(dᵢ)≠∅},　cᵢ=record(dᵢ)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候选之所以出现，是公共记录与反应物／产物语义匹配，而不是系统证明了性能。@best 只对 𝒟q 应用固定 S(c)，不会生成缺失能量或提升证据层级。验证依次检查能量六元组，检查几何记录标识、坐标来源、节点／边与对象范围；mp-19306 只验证 Fe₃O₄ 体相支撑体，不验证 Pd 活性位。文献另分 DOI、元数据、摘要和正文层级。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130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参照</w:t>
            </w:r>
          </w:p>
        </w:tc>
        <w:tc>
          <w:tcPr>
            <w:tcW w:type="dxa" w:w="470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同预算操作</w:t>
            </w:r>
          </w:p>
        </w:tc>
        <w:tc>
          <w:tcPr>
            <w:tcW w:type="dxa" w:w="436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比较指标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平凡</w:t>
            </w:r>
          </w:p>
        </w:tc>
        <w:tc>
          <w:tcPr>
            <w:tcW w:type="dxa" w:w="470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直接让语言模型给材料名</w:t>
            </w:r>
          </w:p>
        </w:tc>
        <w:tc>
          <w:tcPr>
            <w:tcW w:type="dxa" w:w="436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无来源候选数、虚构能量数、边界措辞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随机</w:t>
            </w:r>
          </w:p>
        </w:tc>
        <w:tc>
          <w:tcPr>
            <w:tcW w:type="dxa" w:w="470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随机排列同一批公共记录</w:t>
            </w:r>
          </w:p>
        </w:tc>
        <w:tc>
          <w:tcPr>
            <w:tcW w:type="dxa" w:w="436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与固定 S(c) 的次序和首位证据完整度比较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无干预</w:t>
            </w:r>
          </w:p>
        </w:tc>
        <w:tc>
          <w:tcPr>
            <w:tcW w:type="dxa" w:w="470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单次关键词检索，不读来源层级</w:t>
            </w:r>
          </w:p>
        </w:tc>
        <w:tc>
          <w:tcPr>
            <w:tcW w:type="dxa" w:w="436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可点击来源数、空值是否保留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非平凡</w:t>
            </w:r>
          </w:p>
        </w:tc>
        <w:tc>
          <w:tcPr>
            <w:tcW w:type="dxa" w:w="4706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确定性合并 DOI／公共元数据并应用固定 S(c)</w:t>
            </w:r>
          </w:p>
        </w:tc>
        <w:tc>
          <w:tcPr>
            <w:tcW w:type="dxa" w:w="4365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重复率、来源覆盖、能量与几何可追溯率</w:t>
            </w:r>
          </w:p>
        </w:tc>
      </w:tr>
    </w:tbl>
    <w:p>
      <w:pPr>
        <w:spacing w:after="0" w:line="20" w:lineRule="exact"/>
      </w:pPr>
    </w:p>
    <w:p>
      <w:pPr>
        <w:pStyle w:val="Heading2"/>
        <w:keepNext/>
      </w:pPr>
      <w:r>
        <w:t>3.3 最低成功与失败标准</w:t>
      </w:r>
    </w:p>
    <w:p>
      <w:pPr>
        <w:spacing w:after="14"/>
      </w:pPr>
      <w:r>
        <w:rPr>
          <w:rFonts w:ascii="Microsoft YaHei" w:hAnsi="Microsoft YaHei" w:eastAsia="Microsoft YaHei"/>
          <w:b/>
          <w:sz w:val="14"/>
        </w:rPr>
        <w:t>环境技术通过：</w:t>
      </w:r>
      <w:r>
        <w:rPr>
          <w:rFonts w:ascii="Microsoft YaHei" w:hAnsi="Microsoft YaHei" w:eastAsia="Microsoft YaHei"/>
          <w:b w:val="0"/>
          <w:sz w:val="14"/>
        </w:rPr>
        <w:t xml:space="preserve">① DOI 经 Crossref／OpenAlex 核验；alphaXiv 只有认证且 fullText=true 才计入原文读取，否则用 </w:t>
      </w:r>
      <w:hyperlink r:id="rId27" w:history="1">
        <w:r>
          <w:rPr>
            <w:rFonts w:ascii="Microsoft YaHei" w:hAnsi="Microsoft YaHei" w:eastAsia="Microsoft YaHei"/>
            <w:b w:val="0"/>
            <w:color w:val="245F83"/>
            <w:sz w:val="14"/>
            <w:u w:val="single"/>
          </w:rPr>
          <w:t>arXiv API</w:t>
        </w:r>
      </w:hyperlink>
      <w:r>
        <w:rPr>
          <w:rFonts w:ascii="Microsoft YaHei" w:hAnsi="Microsoft YaHei" w:eastAsia="Microsoft YaHei"/>
          <w:b w:val="0"/>
          <w:sz w:val="14"/>
        </w:rPr>
        <w:t xml:space="preserve"> 回退；② 本地无数值验证器通过反应物／产物、能量 null、固定 50／25／15／10 排序、mp-19306／support-only、日志结构检查，且不生成催化数值；③ 人工终审链接、公式、字段和结论边界。三关全过且反馈改变下一行动。</w:t>
      </w:r>
    </w:p>
    <w:p>
      <w:pPr>
        <w:spacing w:after="14"/>
      </w:pPr>
      <w:r>
        <w:rPr>
          <w:rFonts w:ascii="Microsoft YaHei" w:hAnsi="Microsoft YaHei" w:eastAsia="Microsoft YaHei"/>
          <w:b/>
          <w:sz w:val="14"/>
        </w:rPr>
        <w:t>科学发现通过：</w:t>
      </w:r>
      <w:r>
        <w:rPr>
          <w:rFonts w:ascii="Microsoft YaHei" w:hAnsi="Microsoft YaHei" w:eastAsia="Microsoft YaHei"/>
          <w:b w:val="0"/>
          <w:sz w:val="14"/>
        </w:rPr>
        <w:t>结果须超过非平凡基线，形成可复现的几何—能量关系，或跨预注册查询稳定复现的数据覆盖负结果，并经专业工具或领域专家核验。当前科学闸门未通过。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直接失败：空能量写成零；元数据冒充实验／计算结论；首位记录冒充性能最优；数据库候选冒充发现；支撑体坐标冒充活性位；可选条件缺失便停止；接口不可用写成研究不存在；模型无来源输出进入正式字段；反馈不改变行动。若条件化试跑仍不优于确定性基线，应承认当前切片不成立。</w:t>
      </w:r>
    </w:p>
    <w:p>
      <w:pPr>
        <w:spacing w:before="10" w:after="0"/>
        <w:ind w:left="85" w:right="85"/>
      </w:pPr>
      <w:r>
        <w:rPr>
          <w:rFonts w:ascii="Microsoft YaHei" w:hAnsi="Microsoft YaHei" w:eastAsia="Microsoft YaHei"/>
          <w:b/>
          <w:color w:val="245F83"/>
          <w:sz w:val="12"/>
        </w:rPr>
        <w:t>页面字段：</w:t>
      </w:r>
      <w:r>
        <w:rPr>
          <w:rFonts w:ascii="Microsoft YaHei" w:hAnsi="Microsoft YaHei" w:eastAsia="Microsoft YaHei"/>
          <w:b w:val="0"/>
          <w:color w:val="66727D"/>
          <w:sz w:val="12"/>
        </w:rPr>
        <w:t>四类发现信号；能量／几何可比条件；四类参照；技术闸门；科学闸门；失败标准。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文献依据：</w:t>
      </w:r>
      <w:hyperlink r:id="rId10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Wang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4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Crossref REST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5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OpenAlex Works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6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alphaXiv MCP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27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arXiv API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；本地浏览器与结构检查收据。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建议视觉：</w:t>
      </w:r>
      <w:r>
        <w:rPr>
          <w:rFonts w:ascii="Microsoft YaHei" w:hAnsi="Microsoft YaHei" w:eastAsia="Microsoft YaHei"/>
          <w:b w:val="0"/>
          <w:color w:val="66727D"/>
          <w:sz w:val="12"/>
        </w:rPr>
        <w:t>四类发现信号表、四类参照表和文献—本地—人工三级闸门。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人工确认：</w:t>
      </w:r>
      <w:r>
        <w:rPr>
          <w:rFonts w:ascii="Microsoft YaHei" w:hAnsi="Microsoft YaHei" w:eastAsia="Microsoft YaHei"/>
          <w:b w:val="0"/>
          <w:color w:val="66727D"/>
          <w:sz w:val="12"/>
        </w:rPr>
        <w:t>ACS 主页面本轮未读；当前无统一能量数值、性能结论或催化发现。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内容预算：</w:t>
      </w:r>
      <w:r>
        <w:rPr>
          <w:rFonts w:ascii="Microsoft YaHei" w:hAnsi="Microsoft YaHei" w:eastAsia="Microsoft YaHei"/>
          <w:b w:val="0"/>
          <w:color w:val="66727D"/>
          <w:sz w:val="12"/>
        </w:rPr>
        <w:t>约 750–850 字＋2 张紧凑表。</w:t>
      </w:r>
    </w:p>
    <w:p>
      <w:r>
        <w:br w:type="page"/>
      </w:r>
    </w:p>
    <w:p>
      <w:pPr>
        <w:pStyle w:val="Heading1"/>
        <w:keepNext/>
      </w:pPr>
      <w:r>
        <w:t>四、最小验证计划</w:t>
      </w:r>
    </w:p>
    <w:p>
      <w:pPr>
        <w:pStyle w:val="Heading2"/>
        <w:keepNext/>
      </w:pPr>
      <w:r>
        <w:t>4.1 一次试跑怎么做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5"/>
        </w:rPr>
        <w:t>解压后在项目根目录只执行一行：</w:t>
      </w:r>
    </w:p>
    <w:p>
      <w:pPr>
        <w:spacing w:after="40"/>
        <w:jc w:val="center"/>
      </w:pPr>
      <w:r>
        <w:rPr>
          <w:rFonts w:ascii="Consolas" w:hAnsi="Consolas" w:eastAsia="Consolas"/>
          <w:b/>
          <w:color w:val="0D2538"/>
          <w:sz w:val="20"/>
        </w:rPr>
        <w:t>python3 run.py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浏览器打开终端给出的本地地址，保留 CO2gas+H2gas -- CH3CH2OHgas @best 并点击一次“运行”。本次只验五项；离线结构检查为 python3 run.py --check。Windows v0.6 已实测，Linux／macOS 使用同一入口但仍须实机复跑。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181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一次试跑检查</w:t>
            </w:r>
          </w:p>
        </w:tc>
        <w:tc>
          <w:tcPr>
            <w:tcW w:type="dxa" w:w="476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通过表现</w:t>
            </w:r>
          </w:p>
        </w:tc>
        <w:tc>
          <w:tcPr>
            <w:tcW w:type="dxa" w:w="379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0D25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失败时保留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反应物／产物</w:t>
            </w:r>
          </w:p>
        </w:tc>
        <w:tc>
          <w:tcPr>
            <w:tcW w:type="dxa" w:w="476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分别显示 CO₂、H₂ 与 C₂H₅OH</w:t>
            </w:r>
          </w:p>
        </w:tc>
        <w:tc>
          <w:tcPr>
            <w:tcW w:type="dxa" w:w="379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原始输入与解析字段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反应能量</w:t>
            </w:r>
          </w:p>
        </w:tc>
        <w:tc>
          <w:tcPr>
            <w:tcW w:type="dxa" w:w="476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未知时显示“—”，内部 v=null</w:t>
            </w:r>
          </w:p>
        </w:tc>
        <w:tc>
          <w:tcPr>
            <w:tcW w:type="dxa" w:w="379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空值原因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候选来源</w:t>
            </w:r>
          </w:p>
        </w:tc>
        <w:tc>
          <w:tcPr>
            <w:tcW w:type="dxa" w:w="476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五条可点击记录及证据层级</w:t>
            </w:r>
          </w:p>
        </w:tc>
        <w:tc>
          <w:tcPr>
            <w:tcW w:type="dxa" w:w="379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接口状态与原字段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@best</w:t>
            </w:r>
          </w:p>
        </w:tc>
        <w:tc>
          <w:tcPr>
            <w:tcW w:type="dxa" w:w="476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严格按 50／25／15／10 固定分只改变次序</w:t>
            </w:r>
          </w:p>
        </w:tc>
        <w:tc>
          <w:tcPr>
            <w:tcW w:type="dxa" w:w="379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  <w:shd w:fill="F7F8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四项特征与并列记录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2"/>
              </w:rPr>
              <w:t>二维／三维</w:t>
            </w:r>
          </w:p>
        </w:tc>
        <w:tc>
          <w:tcPr>
            <w:tcW w:type="dxa" w:w="4762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mp-19306 Fe₃O₄；support-only</w:t>
            </w:r>
          </w:p>
        </w:tc>
        <w:tc>
          <w:tcPr>
            <w:tcW w:type="dxa" w:w="3798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2"/>
              </w:rPr>
              <w:t>不得改写为 Pd 活性位</w:t>
            </w:r>
          </w:p>
        </w:tc>
      </w:tr>
    </w:tbl>
    <w:p>
      <w:pPr>
        <w:spacing w:after="0" w:line="20" w:lineRule="exact"/>
      </w:pPr>
    </w:p>
    <w:p>
      <w:pPr>
        <w:pStyle w:val="Heading2"/>
        <w:keepNext/>
      </w:pPr>
      <w:r>
        <w:t>4.2 主要风险与失败路径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首要风险是用可信语气覆盖空值或对象范围。能量缺定义或来源时只显示“—”；元数据不生成活性或机理；首位记录不改写成性能最佳；mp-19306 只显示为 Fe₃O₄ 体相支撑体，不补画 Pd 活性位；接口超时与来源矛盾保留原状态。模型生成的 DOI、数值或结构标识，未打开原始页面前一律待核验。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数学面板独立调试特定基算子与迭代；数值点上一致不等于函数恒等，含 sorry 或额外公理的 Lean 文件不等于完成证明。该算子不处理反应能量或催化剂坐标，也不代表统一代数。</w:t>
      </w:r>
    </w:p>
    <w:p>
      <w:pPr>
        <w:spacing w:before="16" w:after="28"/>
        <w:jc w:val="center"/>
      </w:pPr>
      <w:r>
        <w:rPr>
          <w:rFonts w:ascii="Cambria Math" w:hAnsi="Cambria Math" w:eastAsia="Cambria Math"/>
          <w:b w:val="0"/>
          <w:color w:val="0D2538"/>
          <w:sz w:val="17"/>
        </w:rPr>
        <w:t>B: ℂ×ℂ^×→ℂ,　B(u,v)=eᵘ−Log(v),　E(x)=B(1,B(B(1,x),1))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约定主值复对数且每个 B 节点的第二参数非零；若测试点给出反例，界面保留“不匹配”，不得改写为成功。</w:t>
      </w:r>
    </w:p>
    <w:p>
      <w:pPr>
        <w:pStyle w:val="Heading2"/>
        <w:keepNext/>
      </w:pPr>
      <w:r>
        <w:t>4.3 复现与开源计划</w:t>
      </w:r>
    </w:p>
    <w:p>
      <w:pPr>
        <w:spacing w:after="30"/>
      </w:pPr>
      <w:r>
        <w:rPr>
          <w:rFonts w:ascii="Microsoft YaHei" w:hAnsi="Microsoft YaHei" w:eastAsia="Microsoft YaHei"/>
          <w:b w:val="0"/>
          <w:sz w:val="14"/>
        </w:rPr>
        <w:t>开源包保存冻结查询、R/P JSON、能量六元组与空值原因、候选标识、固定排序特征、mp-19306 来源及 support-only 范围、事件日志、链接、测试收据和源码哈希，不收录论文 PDF。复现画面必须显示 q↦(R,P,E,C,G,L)、函数空间 B:ℂ×ℂ^×→ℂ、复合树、反例和 Lean 状态。发布前在 Ubuntu 与 macOS 运行 python3 run.py --check；未通过的平台继续标为“未验证”。</w:t>
      </w:r>
    </w:p>
    <w:p>
      <w:pPr>
        <w:spacing w:before="14" w:after="20"/>
        <w:jc w:val="center"/>
      </w:pPr>
      <w:r>
        <w:drawing>
          <wp:inline xmlns:a="http://schemas.openxmlformats.org/drawingml/2006/main" xmlns:pic="http://schemas.openxmlformats.org/drawingml/2006/picture">
            <wp:extent cx="3311999" cy="3061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function_space_screensh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3061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" w:after="0"/>
        <w:ind w:left="85" w:right="85"/>
      </w:pPr>
      <w:r>
        <w:rPr>
          <w:rFonts w:ascii="Microsoft YaHei" w:hAnsi="Microsoft YaHei" w:eastAsia="Microsoft YaHei"/>
          <w:b/>
          <w:color w:val="245F83"/>
          <w:sz w:val="12"/>
        </w:rPr>
        <w:t>页面字段：</w:t>
      </w:r>
      <w:r>
        <w:rPr>
          <w:rFonts w:ascii="Microsoft YaHei" w:hAnsi="Microsoft YaHei" w:eastAsia="Microsoft YaHei"/>
          <w:b w:val="0"/>
          <w:color w:val="66727D"/>
          <w:sz w:val="12"/>
        </w:rPr>
        <w:t>单行命令；冻结输入；五项输出；空值与风险状态；平台状态；源码／日志哈希；开源边界。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文献依据：</w:t>
      </w:r>
      <w:hyperlink r:id="rId10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Wang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</w:t>
      </w:r>
      <w:hyperlink r:id="rId13" w:history="1">
        <w:r>
          <w:rPr>
            <w:rFonts w:ascii="Microsoft YaHei" w:hAnsi="Microsoft YaHei" w:eastAsia="Microsoft YaHei"/>
            <w:b w:val="0"/>
            <w:color w:val="245F83"/>
            <w:sz w:val="12"/>
            <w:u w:val="single"/>
          </w:rPr>
          <w:t>Kozyra 2021</w:t>
        </w:r>
      </w:hyperlink>
      <w:r>
        <w:rPr>
          <w:rFonts w:ascii="Microsoft YaHei" w:hAnsi="Microsoft YaHei" w:eastAsia="Microsoft YaHei"/>
          <w:b w:val="0"/>
          <w:color w:val="66727D"/>
          <w:sz w:val="12"/>
        </w:rPr>
        <w:t>；本轮 DOI／alphaXiv、浏览器、结构检查与 Lean 收据。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建议视觉：</w:t>
      </w:r>
      <w:r>
        <w:rPr>
          <w:rFonts w:ascii="Microsoft YaHei" w:hAnsi="Microsoft YaHei" w:eastAsia="Microsoft YaHei"/>
          <w:b w:val="0"/>
          <w:color w:val="66727D"/>
          <w:sz w:val="12"/>
        </w:rPr>
        <w:t>v0.6 实测截图：函数空间、特定基算子复合树、反例与 Lean 状态；化学截图另示 support-only 边界。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人工确认：</w:t>
      </w:r>
      <w:r>
        <w:rPr>
          <w:rFonts w:ascii="Microsoft YaHei" w:hAnsi="Microsoft YaHei" w:eastAsia="Microsoft YaHei"/>
          <w:b w:val="0"/>
          <w:color w:val="66727D"/>
          <w:sz w:val="12"/>
        </w:rPr>
        <w:t>逐项打开来源；核对能量空值、固定排序式与 mp-19306 对象范围；不把设计适配写成跨平台实测。</w:t>
      </w:r>
      <w:r>
        <w:rPr>
          <w:rFonts w:ascii="Microsoft YaHei" w:hAnsi="Microsoft YaHei" w:eastAsia="Microsoft YaHei"/>
          <w:b/>
          <w:color w:val="245F83"/>
          <w:sz w:val="12"/>
        </w:rPr>
        <w:t xml:space="preserve">  内容预算：</w:t>
      </w:r>
      <w:r>
        <w:rPr>
          <w:rFonts w:ascii="Microsoft YaHei" w:hAnsi="Microsoft YaHei" w:eastAsia="Microsoft YaHei"/>
          <w:b w:val="0"/>
          <w:color w:val="66727D"/>
          <w:sz w:val="12"/>
        </w:rPr>
        <w:t>约 600–700 字＋1 行命令＋1 表＋1 张实测截图。</w:t>
      </w:r>
    </w:p>
    <w:sectPr w:rsidR="00FC693F" w:rsidRPr="0006063C" w:rsidSect="00034616">
      <w:footerReference w:type="default" r:id="rId9"/>
      <w:pgSz w:w="11906" w:h="16838"/>
      <w:pgMar w:top="595" w:right="709" w:bottom="567" w:left="709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27D"/>
        <w:sz w:val="13"/>
      </w:rPr>
      <w:t xml:space="preserve">GOAI 开放探索  •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30"/>
    </w:pPr>
    <w:rPr>
      <w:rFonts w:ascii="Microsoft YaHei" w:hAnsi="Microsoft YaHei" w:eastAsia="Microsoft YaHe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8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253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8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F8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8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2538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" w:line="240" w:lineRule="auto" w:before="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D2538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021/acscatal.1c01504" TargetMode="External"/><Relationship Id="rId11" Type="http://schemas.openxmlformats.org/officeDocument/2006/relationships/hyperlink" Target="https://doi.org/10.1002/cctc.201800362" TargetMode="External"/><Relationship Id="rId12" Type="http://schemas.openxmlformats.org/officeDocument/2006/relationships/hyperlink" Target="https://doi.org/10.1016/j.chempr.2020.07.001" TargetMode="External"/><Relationship Id="rId13" Type="http://schemas.openxmlformats.org/officeDocument/2006/relationships/hyperlink" Target="https://doi.org/10.20429/tag.2021.080108" TargetMode="External"/><Relationship Id="rId14" Type="http://schemas.openxmlformats.org/officeDocument/2006/relationships/hyperlink" Target="https://doi.org/10.1007/s00010-020-00739-w" TargetMode="External"/><Relationship Id="rId15" Type="http://schemas.openxmlformats.org/officeDocument/2006/relationships/hyperlink" Target="https://arxiv.org/abs/1901.01543" TargetMode="External"/><Relationship Id="rId16" Type="http://schemas.openxmlformats.org/officeDocument/2006/relationships/hyperlink" Target="https://proceedings.mlr.press/v162/brandstetter22a.html" TargetMode="External"/><Relationship Id="rId17" Type="http://schemas.openxmlformats.org/officeDocument/2006/relationships/hyperlink" Target="https://arxiv.org/abs/2307.05432" TargetMode="External"/><Relationship Id="rId18" Type="http://schemas.openxmlformats.org/officeDocument/2006/relationships/hyperlink" Target="https://arxiv.org/abs/2408.07818" TargetMode="External"/><Relationship Id="rId19" Type="http://schemas.openxmlformats.org/officeDocument/2006/relationships/hyperlink" Target="https://optimade.materialsproject.org/v1/structures?filter=id%3D%22mp-19306%22&amp;page_limit=1&amp;response_fields=id,chemical_formula_reduced,lattice_vectors,cartesian_site_positions,species_at_sites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doi.org/10.1038/s41597-019-0081-y" TargetMode="External"/><Relationship Id="rId22" Type="http://schemas.openxmlformats.org/officeDocument/2006/relationships/hyperlink" Target="https://doi.org/10.1021/acscatal.0c04525" TargetMode="External"/><Relationship Id="rId23" Type="http://schemas.openxmlformats.org/officeDocument/2006/relationships/hyperlink" Target="https://docs.materialsproject.org/downloading-data/using-the-api/getting-started" TargetMode="External"/><Relationship Id="rId24" Type="http://schemas.openxmlformats.org/officeDocument/2006/relationships/hyperlink" Target="https://www.crossref.org/documentation/retrieve-metadata/rest-api/" TargetMode="External"/><Relationship Id="rId25" Type="http://schemas.openxmlformats.org/officeDocument/2006/relationships/hyperlink" Target="https://help.openalex.org/data/works/attributes.md" TargetMode="External"/><Relationship Id="rId26" Type="http://schemas.openxmlformats.org/officeDocument/2006/relationships/hyperlink" Target="https://alphaxiv.org/docs/mcp" TargetMode="External"/><Relationship Id="rId27" Type="http://schemas.openxmlformats.org/officeDocument/2006/relationships/hyperlink" Target="https://info.arxiv.org/help/api/index.html" TargetMode="External"/><Relationship Id="rId2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Structurer — GOAI 开放探索四页问题定义</dc:title>
  <dc:subject>自然语言反应目标的证据、能量与几何结构化，以及特定基算子迭代</dc:subject>
  <dc:creator>GOAI 参赛团队</dc:creator>
  <cp:keywords>GOAI, Math Structurer, 催化剂, 反应能量, 空间几何, 特定基算子, 迭代, 文献核验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