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D2538"/>
          <w:sz w:val="33"/>
        </w:rPr>
        <w:t>Math Structurer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/>
          <w:color w:val="245F83"/>
          <w:sz w:val="16"/>
        </w:rPr>
        <w:t>Convincing, reusable target-matching skills for AI research agents.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cantSplit/>
        </w:trPr>
        <w:tc>
          <w:tcPr>
            <w:tcW w:type="dxa" w:w="1531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3"/>
              </w:rPr>
              <w:t>四页共用信息</w:t>
            </w:r>
          </w:p>
        </w:tc>
        <w:tc>
          <w:tcPr>
            <w:tcW w:type="dxa" w:w="884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3"/>
              </w:rPr>
              <w:t>冻结表述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一句话问题</w:t>
            </w:r>
          </w:p>
        </w:tc>
        <w:tc>
          <w:tcPr>
            <w:tcW w:type="dxa" w:w="884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科研代理能否把自然语言反应目标转换为反应物、产物、带来源反应能量、催化剂空间几何及文献记录，并利用空值、冲突和几何缺口改变下一轮检索，而不把候选记录冒充发现？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研究边界</w:t>
            </w:r>
          </w:p>
        </w:tc>
        <w:tc>
          <w:tcPr>
            <w:tcW w:type="dxa" w:w="884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首版只运行 CO2gas+H2gas -- CH3CH2OHgas @best 和独立的特定基算子调试；@best 只调用固定排序式。温度、压力、候选范围、观测指标和基线为空时仍允许查询。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当前成熟度</w:t>
            </w:r>
          </w:p>
        </w:tc>
        <w:tc>
          <w:tcPr>
            <w:tcW w:type="dxa" w:w="884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交互原型 v0.6；Windows 启动、浏览器与本地识别通过。2026-08-18 又完成 Materials Project 认证查询和 alphaXiv fullText 抽取；Linux／macOS 未实测。当前无可比反应能量、活性位几何、性能结论或催化发现。</w:t>
            </w:r>
          </w:p>
        </w:tc>
      </w:tr>
    </w:tbl>
    <w:p>
      <w:pPr>
        <w:spacing w:after="0" w:line="20" w:lineRule="exact"/>
      </w:pPr>
    </w:p>
    <w:p>
      <w:pPr>
        <w:pStyle w:val="Heading1"/>
        <w:keepNext/>
      </w:pPr>
      <w:r>
        <w:t>一、问题与证据</w:t>
      </w:r>
    </w:p>
    <w:p>
      <w:pPr>
        <w:pStyle w:val="Heading2"/>
        <w:keepNext/>
      </w:pPr>
      <w:r>
        <w:t>1.1 真实问题或需求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化学实验中的一句自然语言目标常把反应、能量口径、催化剂记录、空间结构和排序依据混在一起。以 CO₂ 与 H₂ 生成乙醇为例，Wang 等讨论 Na–Fe@C、K–CuZnAl、界面及组分邻近方式，说明候选必须携带来源和结构上下文，却不支持由题名或元数据直接推出跨论文性能次序（</w:t>
      </w:r>
      <w:hyperlink r:id="rId10" w:history="1">
        <w:r>
          <w:rPr>
            <w:rFonts w:ascii="Microsoft YaHei" w:hAnsi="Microsoft YaHei" w:eastAsia="Microsoft YaHei"/>
            <w:b w:val="0"/>
            <w:color w:val="245F83"/>
            <w:sz w:val="15"/>
            <w:u w:val="single"/>
          </w:rPr>
          <w:t>Wang et al., 2021</w:t>
        </w:r>
      </w:hyperlink>
      <w:r>
        <w:rPr>
          <w:rFonts w:ascii="Microsoft YaHei" w:hAnsi="Microsoft YaHei" w:eastAsia="Microsoft YaHei"/>
          <w:b w:val="0"/>
          <w:sz w:val="15"/>
        </w:rPr>
        <w:t>）。</w:t>
      </w:r>
      <w:hyperlink r:id="rId11" w:history="1">
        <w:r>
          <w:rPr>
            <w:rFonts w:ascii="Microsoft YaHei" w:hAnsi="Microsoft YaHei" w:eastAsia="Microsoft YaHei"/>
            <w:b w:val="0"/>
            <w:color w:val="245F83"/>
            <w:sz w:val="15"/>
            <w:u w:val="single"/>
          </w:rPr>
          <w:t>Pd₁/Fe₃O₄ 2018</w:t>
        </w:r>
      </w:hyperlink>
      <w:r>
        <w:rPr>
          <w:rFonts w:ascii="Microsoft YaHei" w:hAnsi="Microsoft YaHei" w:eastAsia="Microsoft YaHei"/>
          <w:b w:val="0"/>
          <w:sz w:val="15"/>
        </w:rPr>
        <w:t xml:space="preserve"> 与 </w:t>
      </w:r>
      <w:hyperlink r:id="rId12" w:history="1">
        <w:r>
          <w:rPr>
            <w:rFonts w:ascii="Microsoft YaHei" w:hAnsi="Microsoft YaHei" w:eastAsia="Microsoft YaHei"/>
            <w:b w:val="0"/>
            <w:color w:val="245F83"/>
            <w:sz w:val="15"/>
            <w:u w:val="single"/>
          </w:rPr>
          <w:t>Cu@Na-Beta 2020</w:t>
        </w:r>
      </w:hyperlink>
      <w:r>
        <w:rPr>
          <w:rFonts w:ascii="Microsoft YaHei" w:hAnsi="Microsoft YaHei" w:eastAsia="Microsoft YaHei"/>
          <w:b w:val="0"/>
          <w:sz w:val="15"/>
        </w:rPr>
        <w:t xml:space="preserve"> 只能先作为可追溯检索候选。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4"/>
        </w:rPr>
        <w:t>数学研究也常呈现“有限结构生成候选—验证器给出反例—下一轮改变表示”。半迭代是在指定 X 上寻找 g:X→X 使 g∘g=f，其存在性依赖函数图或受限连续函数类的内部结构（</w:t>
      </w:r>
      <w:hyperlink r:id="rId13" w:history="1">
        <w:r>
          <w:rPr>
            <w:rFonts w:ascii="Microsoft YaHei" w:hAnsi="Microsoft YaHei" w:eastAsia="Microsoft YaHei"/>
            <w:b w:val="0"/>
            <w:color w:val="245F83"/>
            <w:sz w:val="14"/>
            <w:u w:val="single"/>
          </w:rPr>
          <w:t>Kozyra, 2021</w:t>
        </w:r>
      </w:hyperlink>
      <w:r>
        <w:rPr>
          <w:rFonts w:ascii="Microsoft YaHei" w:hAnsi="Microsoft YaHei" w:eastAsia="Microsoft YaHei"/>
          <w:b w:val="0"/>
          <w:sz w:val="14"/>
        </w:rPr>
        <w:t>；</w:t>
      </w:r>
      <w:hyperlink r:id="rId14" w:history="1">
        <w:r>
          <w:rPr>
            <w:rFonts w:ascii="Microsoft YaHei" w:hAnsi="Microsoft YaHei" w:eastAsia="Microsoft YaHei"/>
            <w:b w:val="0"/>
            <w:color w:val="245F83"/>
            <w:sz w:val="14"/>
            <w:u w:val="single"/>
          </w:rPr>
          <w:t>Murugan &amp; Palanivel, 2021</w:t>
        </w:r>
      </w:hyperlink>
      <w:r>
        <w:rPr>
          <w:rFonts w:ascii="Microsoft YaHei" w:hAnsi="Microsoft YaHei" w:eastAsia="Microsoft YaHei"/>
          <w:b w:val="0"/>
          <w:sz w:val="14"/>
        </w:rPr>
        <w:t>）。李对称可压缩微分方程变量并支持机器学习表征；本地 MATHs/math 3624 number theory 生成器则产生轨道后检查素性、同余和闭合（</w:t>
      </w:r>
      <w:hyperlink r:id="rId15" w:history="1">
        <w:r>
          <w:rPr>
            <w:rFonts w:ascii="Microsoft YaHei" w:hAnsi="Microsoft YaHei" w:eastAsia="Microsoft YaHei"/>
            <w:b w:val="0"/>
            <w:color w:val="245F83"/>
            <w:sz w:val="14"/>
            <w:u w:val="single"/>
          </w:rPr>
          <w:t>Güngör, arXiv:1901.01543v11, 2025</w:t>
        </w:r>
      </w:hyperlink>
      <w:r>
        <w:rPr>
          <w:rFonts w:ascii="Microsoft YaHei" w:hAnsi="Microsoft YaHei" w:eastAsia="Microsoft YaHei"/>
          <w:b w:val="0"/>
          <w:sz w:val="14"/>
        </w:rPr>
        <w:t>；</w:t>
      </w:r>
      <w:hyperlink r:id="rId16" w:history="1">
        <w:r>
          <w:rPr>
            <w:rFonts w:ascii="Microsoft YaHei" w:hAnsi="Microsoft YaHei" w:eastAsia="Microsoft YaHei"/>
            <w:b w:val="0"/>
            <w:color w:val="245F83"/>
            <w:sz w:val="14"/>
            <w:u w:val="single"/>
          </w:rPr>
          <w:t>Brandstetter et al., 2022</w:t>
        </w:r>
      </w:hyperlink>
      <w:r>
        <w:rPr>
          <w:rFonts w:ascii="Microsoft YaHei" w:hAnsi="Microsoft YaHei" w:eastAsia="Microsoft YaHei"/>
          <w:b w:val="0"/>
          <w:sz w:val="14"/>
        </w:rPr>
        <w:t>；</w:t>
      </w:r>
      <w:hyperlink r:id="rId17" w:history="1">
        <w:r>
          <w:rPr>
            <w:rFonts w:ascii="Microsoft YaHei" w:hAnsi="Microsoft YaHei" w:eastAsia="Microsoft YaHei"/>
            <w:b w:val="0"/>
            <w:color w:val="245F83"/>
            <w:sz w:val="14"/>
            <w:u w:val="single"/>
          </w:rPr>
          <w:t>Mialon et al., 2023（arXiv v2, 2024）</w:t>
        </w:r>
      </w:hyperlink>
      <w:r>
        <w:rPr>
          <w:rFonts w:ascii="Microsoft YaHei" w:hAnsi="Microsoft YaHei" w:eastAsia="Microsoft YaHei"/>
          <w:b w:val="0"/>
          <w:sz w:val="14"/>
        </w:rPr>
        <w:t>）。共同点只是特定基算子＋迭代的工作流，并非已知统一代数。</w:t>
      </w:r>
    </w:p>
    <w:p>
      <w:pPr>
        <w:pStyle w:val="Heading2"/>
        <w:keepNext/>
      </w:pPr>
      <w:r>
        <w:t>1.2 为什么尚未被结构化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结构化瓶颈首先是定义不一致：反应能量可能指电子能差、焓变、自由能变、势垒或吸附能；缺少数值、单位、方法、参考态和来源时，任何数字都不可复查。催化剂又可能是分子、团簇、表面、载体或界面，二维连线、三维坐标和对称信息必须交给不同插件，并标明坐标来源与“体相／支撑体／表面／活性位”范围。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纯数学侧也没有可直接套用的万能函数生成器。Deng、Hani 与 Ma 从硬球动力学长时导出 Boltzmann 方程时，用时间分层、累积量、部分展开、分子图和切割算法控制误差（</w:t>
      </w:r>
      <w:hyperlink r:id="rId18" w:history="1">
        <w:r>
          <w:rPr>
            <w:rFonts w:ascii="Microsoft YaHei" w:hAnsi="Microsoft YaHei" w:eastAsia="Microsoft YaHei"/>
            <w:b w:val="0"/>
            <w:color w:val="245F83"/>
            <w:sz w:val="15"/>
            <w:u w:val="single"/>
          </w:rPr>
          <w:t>Deng, Hani &amp; Ma, 2025</w:t>
        </w:r>
      </w:hyperlink>
      <w:r>
        <w:rPr>
          <w:rFonts w:ascii="Microsoft YaHei" w:hAnsi="Microsoft YaHei" w:eastAsia="Microsoft YaHei"/>
          <w:b w:val="0"/>
          <w:sz w:val="15"/>
        </w:rPr>
        <w:t>，pp. 9–12）。这份 192 页推导只作复杂度例证：专业参数、函数空间、结构表示与误差口径必须一起嵌入，不能由语言模型一次补全。</w:t>
      </w:r>
    </w:p>
    <w:p>
      <w:pPr>
        <w:pStyle w:val="Heading2"/>
        <w:keepNext/>
      </w:pPr>
      <w:r>
        <w:t>1.3 研究价值与合适切片</w:t>
      </w:r>
    </w:p>
    <w:p>
      <w:pPr>
        <w:spacing w:after="10"/>
      </w:pPr>
      <w:r>
        <w:rPr>
          <w:rFonts w:ascii="Microsoft YaHei" w:hAnsi="Microsoft YaHei" w:eastAsia="Microsoft YaHei"/>
          <w:b w:val="0"/>
          <w:sz w:val="14"/>
        </w:rPr>
        <w:t xml:space="preserve">演示只建立可审计的“反应—证据—几何”记录：反应物／产物来自输入，能量为 null，五条候选保留来源；当前三维对象是 </w:t>
      </w:r>
      <w:hyperlink r:id="rId19" w:history="1">
        <w:r>
          <w:rPr>
            <w:rFonts w:ascii="Microsoft YaHei" w:hAnsi="Microsoft YaHei" w:eastAsia="Microsoft YaHei"/>
            <w:b w:val="0"/>
            <w:color w:val="245F83"/>
            <w:sz w:val="14"/>
            <w:u w:val="single"/>
          </w:rPr>
          <w:t>Materials Project OPTIMADE</w:t>
        </w:r>
      </w:hyperlink>
      <w:r>
        <w:rPr>
          <w:rFonts w:ascii="Microsoft YaHei" w:hAnsi="Microsoft YaHei" w:eastAsia="Microsoft YaHei"/>
          <w:b w:val="0"/>
          <w:sz w:val="14"/>
        </w:rPr>
        <w:t xml:space="preserve"> 的 mp-19306 Fe₃O₄ 体相支撑体坐标，范围 support-only，不是 Pd 活性位。</w:t>
      </w:r>
    </w:p>
    <w:p>
      <w:pPr>
        <w:spacing w:before="16" w:after="28"/>
        <w:jc w:val="center"/>
      </w:pPr>
      <w:r>
        <w:rPr>
          <w:rFonts w:ascii="Cambria Math" w:hAnsi="Cambria Math" w:eastAsia="Cambria Math"/>
          <w:b w:val="0"/>
          <w:color w:val="0D2538"/>
          <w:sz w:val="16"/>
        </w:rPr>
        <w:t>S(c)=50mRP+25mabs+15mgeom+10menergy　（四项为 0／1，只作稳定检索排序）</w:t>
      </w:r>
    </w:p>
    <w:p>
      <w:pPr>
        <w:spacing w:before="14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62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1_demo_sli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62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" w:after="0"/>
        <w:ind w:left="85" w:right="85"/>
      </w:pPr>
      <w:r>
        <w:rPr>
          <w:rFonts w:ascii="Microsoft YaHei" w:hAnsi="Microsoft YaHei" w:eastAsia="Microsoft YaHei"/>
          <w:b/>
          <w:color w:val="245F83"/>
          <w:sz w:val="12"/>
        </w:rPr>
        <w:t>页面字段：</w:t>
      </w:r>
      <w:r>
        <w:rPr>
          <w:rFonts w:ascii="Microsoft YaHei" w:hAnsi="Microsoft YaHei" w:eastAsia="Microsoft YaHei"/>
          <w:b w:val="0"/>
          <w:color w:val="66727D"/>
          <w:sz w:val="12"/>
        </w:rPr>
        <w:t>反应物；产物；能量值／单位／定义／方法／来源／状态；候选记录；固定排序特征；几何来源与对象范围。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文献依据：</w:t>
      </w:r>
      <w:hyperlink r:id="rId10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Wang 2021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13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Kozyra 2021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14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Murugan–Palanivel 2021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15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Güngör v11 2025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16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Brandstetter 2022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17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Mialon 2023／v2 2024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18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Deng–Hani–Ma 2025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19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Materials Project OPTIMADE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建议视觉：</w:t>
      </w:r>
      <w:r>
        <w:rPr>
          <w:rFonts w:ascii="Microsoft YaHei" w:hAnsi="Microsoft YaHei" w:eastAsia="Microsoft YaHei"/>
          <w:b w:val="0"/>
          <w:color w:val="66727D"/>
          <w:sz w:val="12"/>
        </w:rPr>
        <w:t>v0.6 演示截图：反应物—产物—能量空值—固定排序边界—相连空间。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人工确认：</w:t>
      </w:r>
      <w:r>
        <w:rPr>
          <w:rFonts w:ascii="Microsoft YaHei" w:hAnsi="Microsoft YaHei" w:eastAsia="Microsoft YaHei"/>
          <w:b w:val="0"/>
          <w:color w:val="66727D"/>
          <w:sz w:val="12"/>
        </w:rPr>
        <w:t>逐项打开候选链接；未知能量保持空值；mp-19306 未写成 Pd 活性位；排序未写成性能结论。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内容预算：</w:t>
      </w:r>
      <w:r>
        <w:rPr>
          <w:rFonts w:ascii="Microsoft YaHei" w:hAnsi="Microsoft YaHei" w:eastAsia="Microsoft YaHei"/>
          <w:b w:val="0"/>
          <w:color w:val="66727D"/>
          <w:sz w:val="12"/>
        </w:rPr>
        <w:t>约 850–950 字＋1 张实测截图。</w:t>
      </w:r>
    </w:p>
    <w:p>
      <w:r>
        <w:br w:type="page"/>
      </w:r>
    </w:p>
    <w:p>
      <w:pPr>
        <w:pStyle w:val="Heading1"/>
        <w:keepNext/>
      </w:pPr>
      <w:r>
        <w:t>二、环境接口</w:t>
      </w:r>
    </w:p>
    <w:p>
      <w:pPr>
        <w:pStyle w:val="Heading2"/>
        <w:keepNext/>
      </w:pPr>
      <w:r>
        <w:t>2.1 固定规则</w:t>
      </w:r>
    </w:p>
    <w:p>
      <w:pPr>
        <w:spacing w:after="12"/>
      </w:pPr>
      <w:r>
        <w:rPr>
          <w:rFonts w:ascii="Microsoft YaHei" w:hAnsi="Microsoft YaHei" w:eastAsia="Microsoft YaHei"/>
          <w:b w:val="0"/>
          <w:sz w:val="15"/>
        </w:rPr>
        <w:t>环境固定接收原始查询 q，并输出反应物 R、产物 P、能量记录 E、催化剂候选 C、空间几何 G 与来源集合 L。</w:t>
      </w:r>
    </w:p>
    <w:p>
      <w:pPr>
        <w:spacing w:before="16" w:after="28"/>
        <w:jc w:val="center"/>
      </w:pPr>
      <w:r>
        <w:rPr>
          <w:rFonts w:ascii="Cambria Math" w:hAnsi="Cambria Math" w:eastAsia="Cambria Math"/>
          <w:b w:val="0"/>
          <w:color w:val="0D2538"/>
          <w:sz w:val="18"/>
        </w:rPr>
        <w:t>q ↦ (R,P,E,C,G,L),　E=(v,u,ρ,m,s,σ)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E 中 v 为数值、u 为单位、ρ 为能量定义、m 为实验或计算方法、s 为来源、σ 为核验状态；任何必要子字段缺失时 v=null，界面显示“—”。候选至少保存名称、记录标识、网址、证据层级和检索时间；几何至少保存节点、边、坐标来源及“体相／支撑体／表面／活性位”范围。</w:t>
      </w:r>
    </w:p>
    <w:p>
      <w:pPr>
        <w:spacing w:after="12"/>
      </w:pPr>
      <w:r>
        <w:rPr>
          <w:rFonts w:ascii="Microsoft YaHei" w:hAnsi="Microsoft YaHei" w:eastAsia="Microsoft YaHei"/>
          <w:b w:val="0"/>
          <w:sz w:val="14"/>
        </w:rPr>
        <w:t>@best 只调用公开的 50／25／15／10 固定排序式，不新增科学主张。温度、压力、候选范围、观测指标和基线是可选可能性，缺失不阻断检索。各数据源职责固定如下。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cantSplit/>
        </w:trPr>
        <w:tc>
          <w:tcPr>
            <w:tcW w:type="dxa" w:w="2438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1"/>
              </w:rPr>
              <w:t>数据源</w:t>
            </w:r>
          </w:p>
        </w:tc>
        <w:tc>
          <w:tcPr>
            <w:tcW w:type="dxa" w:w="408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1"/>
              </w:rPr>
              <w:t>可读取对象</w:t>
            </w:r>
          </w:p>
        </w:tc>
        <w:tc>
          <w:tcPr>
            <w:tcW w:type="dxa" w:w="3855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1"/>
              </w:rPr>
              <w:t>硬边界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hyperlink r:id="rId21" w:history="1">
              <w:r>
                <w:rPr>
                  <w:rFonts w:ascii="Microsoft YaHei" w:hAnsi="Microsoft YaHei" w:eastAsia="Microsoft YaHei"/>
                  <w:b/>
                  <w:color w:val="245F83"/>
                  <w:sz w:val="11"/>
                  <w:u w:val="single"/>
                </w:rPr>
                <w:t>Catalysis-Hub（Winther et al., 2019）</w:t>
              </w:r>
            </w:hyperlink>
          </w:p>
        </w:tc>
        <w:tc>
          <w:tcPr>
            <w:tcW w:type="dxa" w:w="408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1"/>
              </w:rPr>
              <w:t>反应物／产物、带类型 DFT 能量、部分原子结构</w:t>
            </w:r>
          </w:p>
        </w:tc>
        <w:tc>
          <w:tcPr>
            <w:tcW w:type="dxa" w:w="3855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1"/>
              </w:rPr>
              <w:t>模式内省实测 200；无密钥记录查询 401；跨论文不可直接排序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hyperlink r:id="rId22" w:history="1">
              <w:r>
                <w:rPr>
                  <w:rFonts w:ascii="Microsoft YaHei" w:hAnsi="Microsoft YaHei" w:eastAsia="Microsoft YaHei"/>
                  <w:b/>
                  <w:color w:val="245F83"/>
                  <w:sz w:val="11"/>
                  <w:u w:val="single"/>
                </w:rPr>
                <w:t>OC20（Chanussot et al., 2021）</w:t>
              </w:r>
            </w:hyperlink>
            <w:r>
              <w:rPr>
                <w:rFonts w:ascii="Microsoft YaHei" w:hAnsi="Microsoft YaHei" w:eastAsia="Microsoft YaHei"/>
                <w:b/>
                <w:sz w:val="11"/>
              </w:rPr>
              <w:t>／</w:t>
            </w:r>
            <w:hyperlink r:id="rId23" w:history="1">
              <w:r>
                <w:rPr>
                  <w:rFonts w:ascii="Microsoft YaHei" w:hAnsi="Microsoft YaHei" w:eastAsia="Microsoft YaHei"/>
                  <w:b/>
                  <w:color w:val="245F83"/>
                  <w:sz w:val="11"/>
                  <w:u w:val="single"/>
                </w:rPr>
                <w:t>Materials Project API</w:t>
              </w:r>
            </w:hyperlink>
          </w:p>
        </w:tc>
        <w:tc>
          <w:tcPr>
            <w:tcW w:type="dxa" w:w="408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1"/>
              </w:rPr>
              <w:t>初始／弛豫结构／认证体相查询</w:t>
            </w:r>
          </w:p>
        </w:tc>
        <w:tc>
          <w:tcPr>
            <w:tcW w:type="dxa" w:w="3855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1"/>
              </w:rPr>
              <w:t>MP 实测 200；mp-19306 解析为 mp-aaaabcoo；体相不是活性位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hyperlink r:id="rId24" w:history="1">
              <w:r>
                <w:rPr>
                  <w:rFonts w:ascii="Microsoft YaHei" w:hAnsi="Microsoft YaHei" w:eastAsia="Microsoft YaHei"/>
                  <w:b/>
                  <w:color w:val="245F83"/>
                  <w:sz w:val="11"/>
                  <w:u w:val="single"/>
                </w:rPr>
                <w:t>Crossref REST API</w:t>
              </w:r>
            </w:hyperlink>
            <w:r>
              <w:rPr>
                <w:rFonts w:ascii="Microsoft YaHei" w:hAnsi="Microsoft YaHei" w:eastAsia="Microsoft YaHei"/>
                <w:b/>
                <w:sz w:val="11"/>
              </w:rPr>
              <w:t>／</w:t>
            </w:r>
            <w:hyperlink r:id="rId25" w:history="1">
              <w:r>
                <w:rPr>
                  <w:rFonts w:ascii="Microsoft YaHei" w:hAnsi="Microsoft YaHei" w:eastAsia="Microsoft YaHei"/>
                  <w:b/>
                  <w:color w:val="245F83"/>
                  <w:sz w:val="11"/>
                  <w:u w:val="single"/>
                </w:rPr>
                <w:t>OpenAlex Works API</w:t>
              </w:r>
            </w:hyperlink>
          </w:p>
        </w:tc>
        <w:tc>
          <w:tcPr>
            <w:tcW w:type="dxa" w:w="408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1"/>
              </w:rPr>
              <w:t>DOI、题名、作者、日期、落地页与开放状态</w:t>
            </w:r>
          </w:p>
        </w:tc>
        <w:tc>
          <w:tcPr>
            <w:tcW w:type="dxa" w:w="3855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1"/>
              </w:rPr>
              <w:t>只作身份核验和跳转，不给反应能或几何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hyperlink r:id="rId26" w:history="1">
              <w:r>
                <w:rPr>
                  <w:rFonts w:ascii="Microsoft YaHei" w:hAnsi="Microsoft YaHei" w:eastAsia="Microsoft YaHei"/>
                  <w:b/>
                  <w:color w:val="245F83"/>
                  <w:sz w:val="11"/>
                  <w:u w:val="single"/>
                </w:rPr>
                <w:t>alphaXiv MCP</w:t>
              </w:r>
            </w:hyperlink>
            <w:r>
              <w:rPr>
                <w:rFonts w:ascii="Microsoft YaHei" w:hAnsi="Microsoft YaHei" w:eastAsia="Microsoft YaHei"/>
                <w:b/>
                <w:sz w:val="11"/>
              </w:rPr>
              <w:t>／</w:t>
            </w:r>
            <w:hyperlink r:id="rId27" w:history="1">
              <w:r>
                <w:rPr>
                  <w:rFonts w:ascii="Microsoft YaHei" w:hAnsi="Microsoft YaHei" w:eastAsia="Microsoft YaHei"/>
                  <w:b/>
                  <w:color w:val="245F83"/>
                  <w:sz w:val="11"/>
                  <w:u w:val="single"/>
                </w:rPr>
                <w:t>arXiv API</w:t>
              </w:r>
            </w:hyperlink>
          </w:p>
        </w:tc>
        <w:tc>
          <w:tcPr>
            <w:tcW w:type="dxa" w:w="408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1"/>
              </w:rPr>
              <w:t>认证原文抽取／规范元数据回退</w:t>
            </w:r>
          </w:p>
        </w:tc>
        <w:tc>
          <w:tcPr>
            <w:tcW w:type="dxa" w:w="3855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1"/>
              </w:rPr>
              <w:t>无认证 401；MCP 与 fullText=true 实测 200；默认 AI 报告仍非原文</w:t>
            </w:r>
          </w:p>
        </w:tc>
      </w:tr>
    </w:tbl>
    <w:p>
      <w:pPr>
        <w:spacing w:after="0" w:line="20" w:lineRule="exact"/>
      </w:pPr>
    </w:p>
    <w:p>
      <w:pPr>
        <w:pStyle w:val="Heading2"/>
        <w:keepNext/>
      </w:pPr>
      <w:r>
        <w:t>2.2 观察/行动/反馈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cantSplit/>
        </w:trPr>
        <w:tc>
          <w:tcPr>
            <w:tcW w:type="dxa" w:w="1247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3"/>
              </w:rPr>
              <w:t>接口</w:t>
            </w:r>
          </w:p>
        </w:tc>
        <w:tc>
          <w:tcPr>
            <w:tcW w:type="dxa" w:w="504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3"/>
              </w:rPr>
              <w:t>落地字段或操作</w:t>
            </w:r>
          </w:p>
        </w:tc>
        <w:tc>
          <w:tcPr>
            <w:tcW w:type="dxa" w:w="408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3"/>
              </w:rPr>
              <w:t>反馈如何改变下一步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观察</w:t>
            </w:r>
          </w:p>
        </w:tc>
        <w:tc>
          <w:tcPr>
            <w:tcW w:type="dxa" w:w="504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原查询；R/P；能量六元组；候选网址与证据层级；几何来源；剩余预算</w:t>
            </w:r>
          </w:p>
        </w:tc>
        <w:tc>
          <w:tcPr>
            <w:tcW w:type="dxa" w:w="408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确定当前可核验字段与空值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行动</w:t>
            </w:r>
          </w:p>
        </w:tc>
        <w:tc>
          <w:tcPr>
            <w:tcW w:type="dxa" w:w="504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选择 DOI／alphaXiv／公共数据库；改检索式；读摘要或正文；调用能量或几何插件；执行固定排序</w:t>
            </w:r>
          </w:p>
        </w:tc>
        <w:tc>
          <w:tcPr>
            <w:tcW w:type="dxa" w:w="408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改变下一来源、字段或几何对象范围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反馈</w:t>
            </w:r>
          </w:p>
        </w:tc>
        <w:tc>
          <w:tcPr>
            <w:tcW w:type="dxa" w:w="504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已核验／仅元数据／缺失／冲突／接口不可用／超时；同时返回原始字段和位置</w:t>
            </w:r>
          </w:p>
        </w:tc>
        <w:tc>
          <w:tcPr>
            <w:tcW w:type="dxa" w:w="408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能量缺失→授权记录接口；support-only→检索活性位；冲突→并列保留</w:t>
            </w:r>
          </w:p>
        </w:tc>
      </w:tr>
    </w:tbl>
    <w:p>
      <w:pPr>
        <w:spacing w:after="0" w:line="20" w:lineRule="exact"/>
      </w:pPr>
    </w:p>
    <w:p>
      <w:pPr>
        <w:spacing w:after="30"/>
      </w:pPr>
      <w:r>
        <w:rPr>
          <w:rFonts w:ascii="Microsoft YaHei" w:hAnsi="Microsoft YaHei" w:eastAsia="Microsoft YaHei"/>
          <w:b w:val="0"/>
          <w:sz w:val="14"/>
        </w:rPr>
        <w:t>下一轮可改变连接器、查询词、目标证据层级或几何对象范围；固定 50／25／15／10 排序式不由 Agent 调权。至少一次反馈必须造成可见改变，模型推测不得写入已核验字段。</w:t>
      </w:r>
    </w:p>
    <w:p>
      <w:pPr>
        <w:pStyle w:val="Heading2"/>
        <w:keepNext/>
      </w:pPr>
      <w:r>
        <w:t>2.3 记录与预算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4"/>
        </w:rPr>
        <w:t>日志保存查询版本、连接器、记录标识、网址、访问时间、字段原文、能量空值原因、几何来源、固定排序特征、模型／插件版本、反馈与下一动作理由。本机 Qwen3-8B 检查点每次至多用于一次受限识别；Codex 或 DeepSeek 仅在用户显式选择时二选一、最多一次；文献与数据库接口合计八次，二维和三维输出各一幅，探索六轮。后端不可用必须明示。</w:t>
      </w:r>
    </w:p>
    <w:p>
      <w:pPr>
        <w:spacing w:before="10" w:after="0"/>
        <w:ind w:left="85" w:right="85"/>
      </w:pPr>
      <w:r>
        <w:rPr>
          <w:rFonts w:ascii="Microsoft YaHei" w:hAnsi="Microsoft YaHei" w:eastAsia="Microsoft YaHei"/>
          <w:b/>
          <w:color w:val="245F83"/>
          <w:sz w:val="12"/>
        </w:rPr>
        <w:t>页面字段：</w:t>
      </w:r>
      <w:r>
        <w:rPr>
          <w:rFonts w:ascii="Microsoft YaHei" w:hAnsi="Microsoft YaHei" w:eastAsia="Microsoft YaHei"/>
          <w:b w:val="0"/>
          <w:color w:val="66727D"/>
          <w:sz w:val="12"/>
        </w:rPr>
        <w:t>固定类型；观察字段；动作枚举；反馈状态；空值语义；固定排序式；来源日志；模型、接口、几何与轮数预算。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文献依据：</w:t>
      </w:r>
      <w:hyperlink r:id="rId10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Wang 2021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21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Catalysis-Hub（Winther et al., 2019）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22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OC20（Chanussot et al., 2021）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23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Materials Project API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24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Crossref REST API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25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OpenAlex Works API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26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alphaXiv MCP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27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arXiv API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建议视觉：</w:t>
      </w:r>
      <w:r>
        <w:rPr>
          <w:rFonts w:ascii="Microsoft YaHei" w:hAnsi="Microsoft YaHei" w:eastAsia="Microsoft YaHei"/>
          <w:b w:val="0"/>
          <w:color w:val="66727D"/>
          <w:sz w:val="12"/>
        </w:rPr>
        <w:t>q→(R,P,E,C,G,L) 的类型接口与观察—行动—反馈表。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人工确认：</w:t>
      </w:r>
      <w:r>
        <w:rPr>
          <w:rFonts w:ascii="Microsoft YaHei" w:hAnsi="Microsoft YaHei" w:eastAsia="Microsoft YaHei"/>
          <w:b w:val="0"/>
          <w:color w:val="66727D"/>
          <w:sz w:val="12"/>
        </w:rPr>
        <w:t>可选字段为空不阻断；模型不是验证器；公共记录与科学结论分层；平台状态如实标注。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内容预算：</w:t>
      </w:r>
      <w:r>
        <w:rPr>
          <w:rFonts w:ascii="Microsoft YaHei" w:hAnsi="Microsoft YaHei" w:eastAsia="Microsoft YaHei"/>
          <w:b w:val="0"/>
          <w:color w:val="66727D"/>
          <w:sz w:val="12"/>
        </w:rPr>
        <w:t>约 650–750 字＋1 张接口表。</w:t>
      </w:r>
    </w:p>
    <w:p>
      <w:r>
        <w:br w:type="page"/>
      </w:r>
    </w:p>
    <w:p>
      <w:pPr>
        <w:pStyle w:val="Heading1"/>
        <w:keepNext/>
      </w:pPr>
      <w:r>
        <w:t>三、发现信号与参照</w:t>
      </w:r>
    </w:p>
    <w:p>
      <w:pPr>
        <w:pStyle w:val="Heading2"/>
        <w:keepNext/>
      </w:pPr>
      <w:r>
        <w:t>3.1 什么算发现</w:t>
      </w:r>
    </w:p>
    <w:p>
      <w:pPr>
        <w:spacing w:after="12"/>
      </w:pPr>
      <w:r>
        <w:rPr>
          <w:rFonts w:ascii="Microsoft YaHei" w:hAnsi="Microsoft YaHei" w:eastAsia="Microsoft YaHei"/>
          <w:b w:val="0"/>
          <w:sz w:val="15"/>
        </w:rPr>
        <w:t>材料名称或排序首位不算发现。发现信号必须在运行前写明，并允许被来源冲突、条件扰动或专业验证器否证。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cantSplit/>
        </w:trPr>
        <w:tc>
          <w:tcPr>
            <w:tcW w:type="dxa" w:w="127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2"/>
              </w:rPr>
              <w:t>信号</w:t>
            </w:r>
          </w:p>
        </w:tc>
        <w:tc>
          <w:tcPr>
            <w:tcW w:type="dxa" w:w="572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2"/>
              </w:rPr>
              <w:t>可操作定义</w:t>
            </w:r>
          </w:p>
        </w:tc>
        <w:tc>
          <w:tcPr>
            <w:tcW w:type="dxa" w:w="3373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2"/>
              </w:rPr>
              <w:t>它改变什么认识</w:t>
            </w:r>
          </w:p>
        </w:tc>
      </w:tr>
      <w:tr>
        <w:trPr>
          <w:cantSplit/>
        </w:trPr>
        <w:tc>
          <w:tcPr>
            <w:tcW w:type="dxa" w:w="127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2"/>
              </w:rPr>
              <w:t>正向发现</w:t>
            </w:r>
          </w:p>
        </w:tc>
        <w:tc>
          <w:tcPr>
            <w:tcW w:type="dxa" w:w="572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同一反应定义与可比能量口径下，至少两个独立来源，或一项原始研究加专业数据库，支持同一几何—能量关系；几何对象范围明确；改预注册检索词后仍出现</w:t>
            </w:r>
          </w:p>
        </w:tc>
        <w:tc>
          <w:tcPr>
            <w:tcW w:type="dxa" w:w="3373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得到待专业复核的条件化结构关系；support-only 不算活性位证据</w:t>
            </w:r>
          </w:p>
        </w:tc>
      </w:tr>
      <w:tr>
        <w:trPr>
          <w:cantSplit/>
        </w:trPr>
        <w:tc>
          <w:tcPr>
            <w:tcW w:type="dxa" w:w="127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2"/>
              </w:rPr>
              <w:t>稳定负结果</w:t>
            </w:r>
          </w:p>
        </w:tc>
        <w:tc>
          <w:tcPr>
            <w:tcW w:type="dxa" w:w="572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八次预注册接口调用均没有能量—几何联合字段</w:t>
            </w:r>
          </w:p>
        </w:tc>
        <w:tc>
          <w:tcPr>
            <w:tcW w:type="dxa" w:w="3373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只说明当前数据覆盖不足，不说明领域不存在</w:t>
            </w:r>
          </w:p>
        </w:tc>
      </w:tr>
      <w:tr>
        <w:trPr>
          <w:cantSplit/>
        </w:trPr>
        <w:tc>
          <w:tcPr>
            <w:tcW w:type="dxa" w:w="127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2"/>
              </w:rPr>
              <w:t>异常／反例</w:t>
            </w:r>
          </w:p>
        </w:tc>
        <w:tc>
          <w:tcPr>
            <w:tcW w:type="dxa" w:w="572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同一候选的能量符号、单位、定义、参考态或结构标识在来源间冲突</w:t>
            </w:r>
          </w:p>
        </w:tc>
        <w:tc>
          <w:tcPr>
            <w:tcW w:type="dxa" w:w="3373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停止合并，保留两侧原文并缩小口径</w:t>
            </w:r>
          </w:p>
        </w:tc>
      </w:tr>
      <w:tr>
        <w:trPr>
          <w:cantSplit/>
        </w:trPr>
        <w:tc>
          <w:tcPr>
            <w:tcW w:type="dxa" w:w="127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2"/>
              </w:rPr>
              <w:t>问题修正</w:t>
            </w:r>
          </w:p>
        </w:tc>
        <w:tc>
          <w:tcPr>
            <w:tcW w:type="dxa" w:w="572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把“性能最佳”改为“固定检索分排序”，或先区分自由能、电子能和势垒</w:t>
            </w:r>
          </w:p>
        </w:tc>
        <w:tc>
          <w:tcPr>
            <w:tcW w:type="dxa" w:w="3373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下一轮改连接器、检索词或几何对象范围</w:t>
            </w:r>
          </w:p>
        </w:tc>
      </w:tr>
    </w:tbl>
    <w:p>
      <w:pPr>
        <w:spacing w:after="0" w:line="20" w:lineRule="exact"/>
      </w:pPr>
    </w:p>
    <w:p>
      <w:pPr>
        <w:spacing w:after="30"/>
      </w:pPr>
      <w:r>
        <w:rPr>
          <w:rFonts w:ascii="Microsoft YaHei" w:hAnsi="Microsoft YaHei" w:eastAsia="Microsoft YaHei"/>
          <w:b w:val="0"/>
          <w:sz w:val="14"/>
        </w:rPr>
        <w:t>当前演示最多取得接口、空值、冲突或问题修正信号，尚未构成催化剂发现。</w:t>
      </w:r>
    </w:p>
    <w:p>
      <w:pPr>
        <w:pStyle w:val="Heading2"/>
        <w:keepNext/>
      </w:pPr>
      <w:r>
        <w:t>3.2 平凡解/随机/无干预</w:t>
      </w:r>
    </w:p>
    <w:p>
      <w:pPr>
        <w:spacing w:before="16" w:after="28"/>
        <w:jc w:val="center"/>
      </w:pPr>
      <w:r>
        <w:rPr>
          <w:rFonts w:ascii="Cambria Math" w:hAnsi="Cambria Math" w:eastAsia="Cambria Math"/>
          <w:b w:val="0"/>
          <w:color w:val="0D2538"/>
          <w:sz w:val="17"/>
        </w:rPr>
        <w:t>𝒟q={dᵢ : match(dᵢ,R,P)&gt;0 且 source(dᵢ)≠∅},　cᵢ=record(dᵢ)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4"/>
        </w:rPr>
        <w:t>候选之所以出现，是公共记录与反应物／产物语义匹配，而不是系统证明了性能。@best 只对 𝒟q 应用固定 S(c)，不会生成缺失能量或提升证据层级。验证依次检查能量六元组，检查几何记录标识、坐标来源、节点／边与对象范围；mp-19306 只验证 Fe₃O₄ 体相支撑体，不验证 Pd 活性位。文献另分 DOI、元数据、摘要和正文层级。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cantSplit/>
        </w:trPr>
        <w:tc>
          <w:tcPr>
            <w:tcW w:type="dxa" w:w="130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2"/>
              </w:rPr>
              <w:t>参照</w:t>
            </w:r>
          </w:p>
        </w:tc>
        <w:tc>
          <w:tcPr>
            <w:tcW w:type="dxa" w:w="470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2"/>
              </w:rPr>
              <w:t>同预算操作</w:t>
            </w:r>
          </w:p>
        </w:tc>
        <w:tc>
          <w:tcPr>
            <w:tcW w:type="dxa" w:w="4365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2"/>
              </w:rPr>
              <w:t>比较指标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2"/>
              </w:rPr>
              <w:t>平凡</w:t>
            </w:r>
          </w:p>
        </w:tc>
        <w:tc>
          <w:tcPr>
            <w:tcW w:type="dxa" w:w="470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直接让语言模型给材料名</w:t>
            </w:r>
          </w:p>
        </w:tc>
        <w:tc>
          <w:tcPr>
            <w:tcW w:type="dxa" w:w="4365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无来源候选数、虚构能量数、边界措辞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2"/>
              </w:rPr>
              <w:t>随机</w:t>
            </w:r>
          </w:p>
        </w:tc>
        <w:tc>
          <w:tcPr>
            <w:tcW w:type="dxa" w:w="470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随机排列同一批公共记录</w:t>
            </w:r>
          </w:p>
        </w:tc>
        <w:tc>
          <w:tcPr>
            <w:tcW w:type="dxa" w:w="4365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与固定 S(c) 的次序和首位证据完整度比较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2"/>
              </w:rPr>
              <w:t>无干预</w:t>
            </w:r>
          </w:p>
        </w:tc>
        <w:tc>
          <w:tcPr>
            <w:tcW w:type="dxa" w:w="470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单次关键词检索，不读来源层级</w:t>
            </w:r>
          </w:p>
        </w:tc>
        <w:tc>
          <w:tcPr>
            <w:tcW w:type="dxa" w:w="4365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可点击来源数、空值是否保留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2"/>
              </w:rPr>
              <w:t>非平凡</w:t>
            </w:r>
          </w:p>
        </w:tc>
        <w:tc>
          <w:tcPr>
            <w:tcW w:type="dxa" w:w="4706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确定性合并 DOI／公共元数据并应用固定 S(c)</w:t>
            </w:r>
          </w:p>
        </w:tc>
        <w:tc>
          <w:tcPr>
            <w:tcW w:type="dxa" w:w="4365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重复率、来源覆盖、能量与几何可追溯率</w:t>
            </w:r>
          </w:p>
        </w:tc>
      </w:tr>
    </w:tbl>
    <w:p>
      <w:pPr>
        <w:spacing w:after="0" w:line="20" w:lineRule="exact"/>
      </w:pPr>
    </w:p>
    <w:p>
      <w:pPr>
        <w:pStyle w:val="Heading2"/>
        <w:keepNext/>
      </w:pPr>
      <w:r>
        <w:t>3.3 最低成功与失败标准</w:t>
      </w:r>
    </w:p>
    <w:p>
      <w:pPr>
        <w:spacing w:after="14"/>
      </w:pPr>
      <w:r>
        <w:rPr>
          <w:rFonts w:ascii="Microsoft YaHei" w:hAnsi="Microsoft YaHei" w:eastAsia="Microsoft YaHei"/>
          <w:b/>
          <w:sz w:val="14"/>
        </w:rPr>
        <w:t>环境技术通过：</w:t>
      </w:r>
      <w:r>
        <w:rPr>
          <w:rFonts w:ascii="Microsoft YaHei" w:hAnsi="Microsoft YaHei" w:eastAsia="Microsoft YaHei"/>
          <w:b w:val="0"/>
          <w:sz w:val="14"/>
        </w:rPr>
        <w:t>① DOI 经 Crossref／OpenAlex 核验，alphaXiv 已在认证且 fullText=true 下完成 arXiv:2408.07818 抽取，只保存长度和哈希；② 本地验证器通过反应物／产物、能量 null、固定 50／25／15／10 排序和 mp-19306／support-only；③ 人工终审链接、公式、字段和结论边界。认证通过不等于科学发现。</w:t>
      </w:r>
    </w:p>
    <w:p>
      <w:pPr>
        <w:spacing w:after="14"/>
      </w:pPr>
      <w:r>
        <w:rPr>
          <w:rFonts w:ascii="Microsoft YaHei" w:hAnsi="Microsoft YaHei" w:eastAsia="Microsoft YaHei"/>
          <w:b/>
          <w:sz w:val="14"/>
        </w:rPr>
        <w:t>科学发现通过：</w:t>
      </w:r>
      <w:r>
        <w:rPr>
          <w:rFonts w:ascii="Microsoft YaHei" w:hAnsi="Microsoft YaHei" w:eastAsia="Microsoft YaHei"/>
          <w:b w:val="0"/>
          <w:sz w:val="14"/>
        </w:rPr>
        <w:t>结果须超过非平凡基线，形成可复现的几何—能量关系，或跨预注册查询稳定复现的数据覆盖负结果，并经专业工具或领域专家核验。当前科学闸门未通过。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4"/>
        </w:rPr>
        <w:t>直接失败：空能量写成零；元数据冒充实验／计算结论；首位记录冒充性能最优；数据库候选冒充发现；支撑体坐标冒充活性位；可选条件缺失便停止；接口不可用写成研究不存在；模型无来源输出进入正式字段；反馈不改变行动。若条件化试跑仍不优于确定性基线，应承认当前切片不成立。</w:t>
      </w:r>
    </w:p>
    <w:p>
      <w:pPr>
        <w:spacing w:before="10" w:after="0"/>
        <w:ind w:left="85" w:right="85"/>
      </w:pPr>
      <w:r>
        <w:rPr>
          <w:rFonts w:ascii="Microsoft YaHei" w:hAnsi="Microsoft YaHei" w:eastAsia="Microsoft YaHei"/>
          <w:b/>
          <w:color w:val="245F83"/>
          <w:sz w:val="12"/>
        </w:rPr>
        <w:t>页面字段：</w:t>
      </w:r>
      <w:r>
        <w:rPr>
          <w:rFonts w:ascii="Microsoft YaHei" w:hAnsi="Microsoft YaHei" w:eastAsia="Microsoft YaHei"/>
          <w:b w:val="0"/>
          <w:color w:val="66727D"/>
          <w:sz w:val="12"/>
        </w:rPr>
        <w:t>四类发现信号；能量／几何可比条件；四类参照；技术闸门；科学闸门；失败标准。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文献依据：</w:t>
      </w:r>
      <w:hyperlink r:id="rId10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Wang 2021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24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Crossref REST API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25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OpenAlex Works API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26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alphaXiv MCP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27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arXiv API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；本地浏览器与结构检查收据。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建议视觉：</w:t>
      </w:r>
      <w:r>
        <w:rPr>
          <w:rFonts w:ascii="Microsoft YaHei" w:hAnsi="Microsoft YaHei" w:eastAsia="Microsoft YaHei"/>
          <w:b w:val="0"/>
          <w:color w:val="66727D"/>
          <w:sz w:val="12"/>
        </w:rPr>
        <w:t>四类发现信号表、四类参照表和文献—本地—人工三级闸门。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人工确认：</w:t>
      </w:r>
      <w:r>
        <w:rPr>
          <w:rFonts w:ascii="Microsoft YaHei" w:hAnsi="Microsoft YaHei" w:eastAsia="Microsoft YaHei"/>
          <w:b w:val="0"/>
          <w:color w:val="66727D"/>
          <w:sz w:val="12"/>
        </w:rPr>
        <w:t>ACS 主页面本轮未读；当前无统一能量数值、性能结论或催化发现。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内容预算：</w:t>
      </w:r>
      <w:r>
        <w:rPr>
          <w:rFonts w:ascii="Microsoft YaHei" w:hAnsi="Microsoft YaHei" w:eastAsia="Microsoft YaHei"/>
          <w:b w:val="0"/>
          <w:color w:val="66727D"/>
          <w:sz w:val="12"/>
        </w:rPr>
        <w:t>约 750–850 字＋2 张紧凑表。</w:t>
      </w:r>
    </w:p>
    <w:p>
      <w:r>
        <w:br w:type="page"/>
      </w:r>
    </w:p>
    <w:p>
      <w:pPr>
        <w:pStyle w:val="Heading1"/>
        <w:keepNext/>
      </w:pPr>
      <w:r>
        <w:t>四、最小验证计划</w:t>
      </w:r>
    </w:p>
    <w:p>
      <w:pPr>
        <w:pStyle w:val="Heading2"/>
        <w:keepNext/>
      </w:pPr>
      <w:r>
        <w:t>4.1 一次试跑怎么做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解压后在项目根目录只执行一行：</w:t>
      </w:r>
    </w:p>
    <w:p>
      <w:pPr>
        <w:spacing w:after="40"/>
        <w:jc w:val="center"/>
      </w:pPr>
      <w:r>
        <w:rPr>
          <w:rFonts w:ascii="Consolas" w:hAnsi="Consolas" w:eastAsia="Consolas"/>
          <w:b/>
          <w:color w:val="0D2538"/>
          <w:sz w:val="20"/>
        </w:rPr>
        <w:t>python3 run.py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4"/>
        </w:rPr>
        <w:t>浏览器打开终端给出的本地地址，保留 CO2gas+H2gas -- CH3CH2OHgas @best 并点击一次“运行”。本次只验五项；离线结构检查为 python3 run.py --check。Windows v0.6 已实测，Linux／macOS 使用同一入口但仍须实机复跑。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cantSplit/>
        </w:trPr>
        <w:tc>
          <w:tcPr>
            <w:tcW w:type="dxa" w:w="181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2"/>
              </w:rPr>
              <w:t>一次试跑检查</w:t>
            </w:r>
          </w:p>
        </w:tc>
        <w:tc>
          <w:tcPr>
            <w:tcW w:type="dxa" w:w="476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2"/>
              </w:rPr>
              <w:t>通过表现</w:t>
            </w:r>
          </w:p>
        </w:tc>
        <w:tc>
          <w:tcPr>
            <w:tcW w:type="dxa" w:w="3798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2"/>
              </w:rPr>
              <w:t>失败时保留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2"/>
              </w:rPr>
              <w:t>反应物／产物</w:t>
            </w:r>
          </w:p>
        </w:tc>
        <w:tc>
          <w:tcPr>
            <w:tcW w:type="dxa" w:w="476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分别显示 CO₂、H₂ 与 C₂H₅OH</w:t>
            </w:r>
          </w:p>
        </w:tc>
        <w:tc>
          <w:tcPr>
            <w:tcW w:type="dxa" w:w="3798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原始输入与解析字段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2"/>
              </w:rPr>
              <w:t>反应能量</w:t>
            </w:r>
          </w:p>
        </w:tc>
        <w:tc>
          <w:tcPr>
            <w:tcW w:type="dxa" w:w="476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未知时显示“—”，内部 v=null</w:t>
            </w:r>
          </w:p>
        </w:tc>
        <w:tc>
          <w:tcPr>
            <w:tcW w:type="dxa" w:w="3798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空值原因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2"/>
              </w:rPr>
              <w:t>候选来源</w:t>
            </w:r>
          </w:p>
        </w:tc>
        <w:tc>
          <w:tcPr>
            <w:tcW w:type="dxa" w:w="476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五条可点击记录及证据层级</w:t>
            </w:r>
          </w:p>
        </w:tc>
        <w:tc>
          <w:tcPr>
            <w:tcW w:type="dxa" w:w="3798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接口状态与原字段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2"/>
              </w:rPr>
              <w:t>@best</w:t>
            </w:r>
          </w:p>
        </w:tc>
        <w:tc>
          <w:tcPr>
            <w:tcW w:type="dxa" w:w="476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严格按 50／25／15／10 固定分只改变次序</w:t>
            </w:r>
          </w:p>
        </w:tc>
        <w:tc>
          <w:tcPr>
            <w:tcW w:type="dxa" w:w="3798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四项特征与并列记录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2"/>
              </w:rPr>
              <w:t>二维／三维</w:t>
            </w:r>
          </w:p>
        </w:tc>
        <w:tc>
          <w:tcPr>
            <w:tcW w:type="dxa" w:w="476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mp-19306 Fe₃O₄；support-only</w:t>
            </w:r>
          </w:p>
        </w:tc>
        <w:tc>
          <w:tcPr>
            <w:tcW w:type="dxa" w:w="3798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2"/>
              </w:rPr>
              <w:t>不得改写为 Pd 活性位</w:t>
            </w:r>
          </w:p>
        </w:tc>
      </w:tr>
    </w:tbl>
    <w:p>
      <w:pPr>
        <w:spacing w:after="0" w:line="20" w:lineRule="exact"/>
      </w:pPr>
    </w:p>
    <w:p>
      <w:pPr>
        <w:pStyle w:val="Heading2"/>
        <w:keepNext/>
      </w:pPr>
      <w:r>
        <w:t>4.2 主要风险与失败路径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4"/>
        </w:rPr>
        <w:t>首要风险是用可信语气覆盖空值或对象范围。能量缺定义或来源时只显示“—”；元数据不生成活性或机理；首位记录不改写成性能最佳；mp-19306 只显示为 Fe₃O₄ 体相支撑体，不补画 Pd 活性位；接口超时与来源矛盾保留原状态。模型生成的 DOI、数值或结构标识，未打开原始页面前一律待核验。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4"/>
        </w:rPr>
        <w:t>数学面板独立调试特定基算子与迭代；数值点上一致不等于函数恒等，含 sorry 或额外公理的 Lean 文件不等于完成证明。该算子不处理反应能量或催化剂坐标，也不代表统一代数。</w:t>
      </w:r>
    </w:p>
    <w:p>
      <w:pPr>
        <w:spacing w:before="16" w:after="28"/>
        <w:jc w:val="center"/>
      </w:pPr>
      <w:r>
        <w:rPr>
          <w:rFonts w:ascii="Cambria Math" w:hAnsi="Cambria Math" w:eastAsia="Cambria Math"/>
          <w:b w:val="0"/>
          <w:color w:val="0D2538"/>
          <w:sz w:val="17"/>
        </w:rPr>
        <w:t>B: ℂ×ℂ^×→ℂ,　B(u,v)=eᵘ−Log(v),　E(x)=B(1,B(B(1,x),1))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4"/>
        </w:rPr>
        <w:t>约定主值复对数且每个 B 节点的第二参数非零；若测试点给出反例，界面保留“不匹配”，不得改写为成功。</w:t>
      </w:r>
    </w:p>
    <w:p>
      <w:pPr>
        <w:pStyle w:val="Heading2"/>
        <w:keepNext/>
      </w:pPr>
      <w:r>
        <w:t>4.3 复现与开源计划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4"/>
        </w:rPr>
        <w:t>开源包保存冻结查询、R/P JSON、能量六元组与空值原因、候选标识、固定排序特征、mp-19306 来源及 support-only 范围、事件日志、链接、测试收据和源码哈希，不收录论文 PDF。复现画面必须显示 q↦(R,P,E,C,G,L)、函数空间 B:ℂ×ℂ^×→ℂ、复合树、反例和 Lean 状态。发布前在 Ubuntu 与 macOS 运行 python3 run.py --check；未通过的平台继续标为“未验证”。</w:t>
      </w:r>
    </w:p>
    <w:p>
      <w:pPr>
        <w:spacing w:before="14" w:after="20"/>
        <w:jc w:val="center"/>
      </w:pPr>
      <w:r>
        <w:drawing>
          <wp:inline xmlns:a="http://schemas.openxmlformats.org/drawingml/2006/main" xmlns:pic="http://schemas.openxmlformats.org/drawingml/2006/picture">
            <wp:extent cx="3311999" cy="30612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4_function_space_screensho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3061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" w:after="0"/>
        <w:ind w:left="85" w:right="85"/>
      </w:pPr>
      <w:r>
        <w:rPr>
          <w:rFonts w:ascii="Microsoft YaHei" w:hAnsi="Microsoft YaHei" w:eastAsia="Microsoft YaHei"/>
          <w:b/>
          <w:color w:val="245F83"/>
          <w:sz w:val="12"/>
        </w:rPr>
        <w:t>页面字段：</w:t>
      </w:r>
      <w:r>
        <w:rPr>
          <w:rFonts w:ascii="Microsoft YaHei" w:hAnsi="Microsoft YaHei" w:eastAsia="Microsoft YaHei"/>
          <w:b w:val="0"/>
          <w:color w:val="66727D"/>
          <w:sz w:val="12"/>
        </w:rPr>
        <w:t>单行命令；冻结输入；五项输出；空值与风险状态；平台状态；源码／日志哈希；开源边界。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文献依据：</w:t>
      </w:r>
      <w:hyperlink r:id="rId10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Wang 2021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13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  <w:t>Kozyra 2021</w:t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；本轮 DOI／alphaXiv、浏览器、结构检查与 Lean 收据。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建议视觉：</w:t>
      </w:r>
      <w:r>
        <w:rPr>
          <w:rFonts w:ascii="Microsoft YaHei" w:hAnsi="Microsoft YaHei" w:eastAsia="Microsoft YaHei"/>
          <w:b w:val="0"/>
          <w:color w:val="66727D"/>
          <w:sz w:val="12"/>
        </w:rPr>
        <w:t>v0.6 实测截图：函数空间、特定基算子复合树、反例与 Lean 状态；化学截图另示 support-only 边界。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人工确认：</w:t>
      </w:r>
      <w:r>
        <w:rPr>
          <w:rFonts w:ascii="Microsoft YaHei" w:hAnsi="Microsoft YaHei" w:eastAsia="Microsoft YaHei"/>
          <w:b w:val="0"/>
          <w:color w:val="66727D"/>
          <w:sz w:val="12"/>
        </w:rPr>
        <w:t>逐项打开来源；核对能量空值、固定排序式与 mp-19306 对象范围；不把设计适配写成跨平台实测。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内容预算：</w:t>
      </w:r>
      <w:r>
        <w:rPr>
          <w:rFonts w:ascii="Microsoft YaHei" w:hAnsi="Microsoft YaHei" w:eastAsia="Microsoft YaHei"/>
          <w:b w:val="0"/>
          <w:color w:val="66727D"/>
          <w:sz w:val="12"/>
        </w:rPr>
        <w:t>约 600–700 字＋1 行命令＋1 表＋1 张实测截图。</w:t>
      </w:r>
    </w:p>
    <w:sectPr w:rsidR="00FC693F" w:rsidRPr="0006063C" w:rsidSect="00034616">
      <w:footerReference w:type="default" r:id="rId9"/>
      <w:pgSz w:w="11906" w:h="16838"/>
      <w:pgMar w:top="595" w:right="709" w:bottom="567" w:left="709" w:header="198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66727D"/>
        <w:sz w:val="13"/>
      </w:rPr>
      <w:t xml:space="preserve">GOAI 开放探索  •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30"/>
    </w:pPr>
    <w:rPr>
      <w:rFonts w:ascii="Microsoft YaHei" w:hAnsi="Microsoft YaHei" w:eastAsia="Microsoft YaHei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28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D2538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28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5F83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0" w:after="28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D2538"/>
      <w:sz w:val="1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" w:line="240" w:lineRule="auto" w:before="4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D2538"/>
      <w:spacing w:val="5"/>
      <w:kern w:val="28"/>
      <w:sz w:val="33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oi.org/10.1021/acscatal.1c01504" TargetMode="External"/><Relationship Id="rId11" Type="http://schemas.openxmlformats.org/officeDocument/2006/relationships/hyperlink" Target="https://doi.org/10.1002/cctc.201800362" TargetMode="External"/><Relationship Id="rId12" Type="http://schemas.openxmlformats.org/officeDocument/2006/relationships/hyperlink" Target="https://doi.org/10.1016/j.chempr.2020.07.001" TargetMode="External"/><Relationship Id="rId13" Type="http://schemas.openxmlformats.org/officeDocument/2006/relationships/hyperlink" Target="https://doi.org/10.20429/tag.2021.080108" TargetMode="External"/><Relationship Id="rId14" Type="http://schemas.openxmlformats.org/officeDocument/2006/relationships/hyperlink" Target="https://doi.org/10.1007/s00010-020-00739-w" TargetMode="External"/><Relationship Id="rId15" Type="http://schemas.openxmlformats.org/officeDocument/2006/relationships/hyperlink" Target="https://arxiv.org/abs/1901.01543" TargetMode="External"/><Relationship Id="rId16" Type="http://schemas.openxmlformats.org/officeDocument/2006/relationships/hyperlink" Target="https://proceedings.mlr.press/v162/brandstetter22a.html" TargetMode="External"/><Relationship Id="rId17" Type="http://schemas.openxmlformats.org/officeDocument/2006/relationships/hyperlink" Target="https://arxiv.org/abs/2307.05432" TargetMode="External"/><Relationship Id="rId18" Type="http://schemas.openxmlformats.org/officeDocument/2006/relationships/hyperlink" Target="https://arxiv.org/abs/2408.07818" TargetMode="External"/><Relationship Id="rId19" Type="http://schemas.openxmlformats.org/officeDocument/2006/relationships/hyperlink" Target="https://optimade.materialsproject.org/v1/structures?filter=id%3D%22mp-19306%22&amp;page_limit=1&amp;response_fields=id,chemical_formula_reduced,lattice_vectors,cartesian_site_positions,species_at_sites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doi.org/10.1038/s41597-019-0081-y" TargetMode="External"/><Relationship Id="rId22" Type="http://schemas.openxmlformats.org/officeDocument/2006/relationships/hyperlink" Target="https://doi.org/10.1021/acscatal.0c04525" TargetMode="External"/><Relationship Id="rId23" Type="http://schemas.openxmlformats.org/officeDocument/2006/relationships/hyperlink" Target="https://docs.materialsproject.org/downloading-data/using-the-api/getting-started" TargetMode="External"/><Relationship Id="rId24" Type="http://schemas.openxmlformats.org/officeDocument/2006/relationships/hyperlink" Target="https://www.crossref.org/documentation/retrieve-metadata/rest-api/" TargetMode="External"/><Relationship Id="rId25" Type="http://schemas.openxmlformats.org/officeDocument/2006/relationships/hyperlink" Target="https://help.openalex.org/data/works/attributes.md" TargetMode="External"/><Relationship Id="rId26" Type="http://schemas.openxmlformats.org/officeDocument/2006/relationships/hyperlink" Target="https://alphaxiv.org/docs/mcp" TargetMode="External"/><Relationship Id="rId27" Type="http://schemas.openxmlformats.org/officeDocument/2006/relationships/hyperlink" Target="https://info.arxiv.org/help/api/index.html" TargetMode="External"/><Relationship Id="rId2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Structurer — GOAI 开放探索四页问题定义</dc:title>
  <dc:subject>自然语言反应目标的证据、能量与几何结构化，以及特定基算子迭代</dc:subject>
  <dc:creator>GOAI 参赛团队</dc:creator>
  <cp:keywords>GOAI, Math Structurer, 催化剂, 反应能量, 空间几何, 特定基算子, 迭代, 文献核验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