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1C00" w14:textId="050499E8" w:rsidR="0009527B" w:rsidRPr="0009527B" w:rsidRDefault="00EF7386" w:rsidP="0009527B">
      <w:pPr>
        <w:spacing w:before="160" w:after="210" w:line="360" w:lineRule="auto"/>
        <w:jc w:val="center"/>
        <w:rPr>
          <w:rFonts w:ascii="inter" w:eastAsia="inter" w:hAnsi="inter" w:cs="inter"/>
          <w:b/>
          <w:bCs/>
          <w:color w:val="000000"/>
          <w:sz w:val="28"/>
          <w:szCs w:val="28"/>
        </w:rPr>
      </w:pPr>
      <w:r>
        <w:rPr>
          <w:rFonts w:ascii="inter" w:eastAsia="inter" w:hAnsi="inter" w:cs="inter"/>
          <w:b/>
          <w:bCs/>
          <w:color w:val="000000"/>
          <w:sz w:val="28"/>
          <w:szCs w:val="28"/>
        </w:rPr>
        <w:t>How Assets Pass at Death</w:t>
      </w:r>
    </w:p>
    <w:p w14:paraId="300900B9" w14:textId="5EAB587B" w:rsidR="00EF7386" w:rsidRDefault="00EF7386" w:rsidP="00EF7386">
      <w:pPr>
        <w:spacing w:after="210" w:line="360" w:lineRule="auto"/>
      </w:pPr>
      <w:r>
        <w:rPr>
          <w:rFonts w:ascii="inter" w:eastAsia="inter" w:hAnsi="inter" w:cs="inter"/>
          <w:color w:val="000000"/>
        </w:rPr>
        <w:t xml:space="preserve">When a person dies, what really matters </w:t>
      </w:r>
      <w:proofErr w:type="gramStart"/>
      <w:r>
        <w:rPr>
          <w:rFonts w:ascii="inter" w:eastAsia="inter" w:hAnsi="inter" w:cs="inter"/>
          <w:color w:val="000000"/>
        </w:rPr>
        <w:t>for</w:t>
      </w:r>
      <w:proofErr w:type="gramEnd"/>
      <w:r>
        <w:rPr>
          <w:rFonts w:ascii="inter" w:eastAsia="inter" w:hAnsi="inter" w:cs="inter"/>
          <w:color w:val="000000"/>
        </w:rPr>
        <w:t xml:space="preserve"> who </w:t>
      </w:r>
      <w:proofErr w:type="gramStart"/>
      <w:r>
        <w:rPr>
          <w:rFonts w:ascii="inter" w:eastAsia="inter" w:hAnsi="inter" w:cs="inter"/>
          <w:color w:val="000000"/>
        </w:rPr>
        <w:t>receives</w:t>
      </w:r>
      <w:proofErr w:type="gramEnd"/>
      <w:r>
        <w:rPr>
          <w:rFonts w:ascii="inter" w:eastAsia="inter" w:hAnsi="inter" w:cs="inter"/>
          <w:color w:val="000000"/>
        </w:rPr>
        <w:t xml:space="preserve"> an asset is </w:t>
      </w:r>
      <w:r>
        <w:rPr>
          <w:rFonts w:ascii="inter" w:eastAsia="inter" w:hAnsi="inter" w:cs="inter"/>
          <w:b/>
          <w:color w:val="000000"/>
        </w:rPr>
        <w:t>how</w:t>
      </w:r>
      <w:r>
        <w:rPr>
          <w:rFonts w:ascii="inter" w:eastAsia="inter" w:hAnsi="inter" w:cs="inter"/>
          <w:color w:val="000000"/>
        </w:rPr>
        <w:t xml:space="preserve"> that asset is titled or structured, not what the will alone </w:t>
      </w:r>
      <w:proofErr w:type="spellStart"/>
      <w:r>
        <w:rPr>
          <w:rFonts w:ascii="inter" w:eastAsia="inter" w:hAnsi="inter" w:cs="inter"/>
          <w:color w:val="000000"/>
        </w:rPr>
        <w:t>says</w:t>
      </w:r>
      <w:proofErr w:type="spellEnd"/>
      <w:r>
        <w:rPr>
          <w:rFonts w:ascii="inter" w:eastAsia="inter" w:hAnsi="inter" w:cs="inter"/>
          <w:color w:val="000000"/>
        </w:rPr>
        <w:t>. Different forms of ownership and beneficiary arrangements follow different legal “paths” at death and may or may not require probate. This overview explains the most common ways assets pass at death for general educational purposes only and is not legal advice.</w:t>
      </w:r>
      <w:bookmarkStart w:id="0" w:name="fnref1"/>
      <w:bookmarkEnd w:id="0"/>
      <w:r>
        <w:fldChar w:fldCharType="begin"/>
      </w:r>
      <w:r>
        <w:instrText>HYPERLINK \l "fn1" \h</w:instrText>
      </w:r>
      <w:r>
        <w:fldChar w:fldCharType="separate"/>
      </w:r>
      <w:r>
        <w:fldChar w:fldCharType="end"/>
      </w:r>
      <w:bookmarkStart w:id="1" w:name="fnref2"/>
      <w:bookmarkEnd w:id="1"/>
      <w:r>
        <w:fldChar w:fldCharType="begin"/>
      </w:r>
      <w:r>
        <w:instrText>HYPERLINK \l "fn2" \h</w:instrText>
      </w:r>
      <w:r>
        <w:fldChar w:fldCharType="separate"/>
      </w:r>
      <w:r>
        <w:fldChar w:fldCharType="end"/>
      </w:r>
      <w:bookmarkStart w:id="2" w:name="fnref3"/>
      <w:bookmarkEnd w:id="2"/>
      <w:r>
        <w:fldChar w:fldCharType="begin"/>
      </w:r>
      <w:r>
        <w:instrText>HYPERLINK \l "fn3" \h</w:instrText>
      </w:r>
      <w:r>
        <w:fldChar w:fldCharType="separate"/>
      </w:r>
      <w:r>
        <w:fldChar w:fldCharType="end"/>
      </w:r>
    </w:p>
    <w:p w14:paraId="646D8F86" w14:textId="77777777" w:rsidR="00EF7386" w:rsidRDefault="00EF7386" w:rsidP="00EF7386">
      <w:pPr>
        <w:spacing w:before="315" w:after="105" w:line="360" w:lineRule="auto"/>
        <w:ind w:left="-30"/>
      </w:pPr>
      <w:bookmarkStart w:id="3" w:name="multiple_owner_property"/>
      <w:r>
        <w:rPr>
          <w:rFonts w:ascii="inter" w:eastAsia="inter" w:hAnsi="inter" w:cs="inter"/>
          <w:b/>
          <w:color w:val="000000"/>
          <w:sz w:val="24"/>
        </w:rPr>
        <w:t>Multiple‑owner property</w:t>
      </w:r>
      <w:bookmarkEnd w:id="3"/>
    </w:p>
    <w:p w14:paraId="5A27EB1C" w14:textId="6778FDBD" w:rsidR="00EF7386" w:rsidRDefault="00EF7386" w:rsidP="00EF7386">
      <w:pPr>
        <w:spacing w:after="210" w:line="360" w:lineRule="auto"/>
      </w:pPr>
      <w:r>
        <w:rPr>
          <w:rFonts w:ascii="inter" w:eastAsia="inter" w:hAnsi="inter" w:cs="inter"/>
          <w:color w:val="000000"/>
        </w:rPr>
        <w:t>When more than one person owns an asset, the form of co‑ownership usually controls what happens at the first owner’s death. The title on the deed, account, or registration is the starting point for understanding whether the asset passes automatically to a survivor, is divided, or must go through probate.</w:t>
      </w:r>
      <w:bookmarkStart w:id="4" w:name="fnref4"/>
      <w:bookmarkEnd w:id="4"/>
      <w:r>
        <w:fldChar w:fldCharType="begin"/>
      </w:r>
      <w:r>
        <w:instrText>HYPERLINK \l "fn4" \h</w:instrText>
      </w:r>
      <w:r>
        <w:fldChar w:fldCharType="separate"/>
      </w:r>
      <w:r>
        <w:fldChar w:fldCharType="end"/>
      </w:r>
      <w:bookmarkStart w:id="5" w:name="fnref1_1"/>
      <w:bookmarkEnd w:id="5"/>
      <w:r>
        <w:fldChar w:fldCharType="begin"/>
      </w:r>
      <w:r>
        <w:instrText>HYPERLINK \l "fn1" \h</w:instrText>
      </w:r>
      <w:r>
        <w:fldChar w:fldCharType="separate"/>
      </w:r>
      <w:r>
        <w:fldChar w:fldCharType="end"/>
      </w:r>
    </w:p>
    <w:p w14:paraId="48736C6F" w14:textId="71CA3C21" w:rsidR="00EF7386" w:rsidRDefault="00EF7386" w:rsidP="00EF7386">
      <w:pPr>
        <w:numPr>
          <w:ilvl w:val="0"/>
          <w:numId w:val="9"/>
        </w:numPr>
        <w:spacing w:before="105" w:after="105" w:line="360" w:lineRule="auto"/>
      </w:pPr>
      <w:r>
        <w:rPr>
          <w:rFonts w:ascii="inter" w:eastAsia="inter" w:hAnsi="inter" w:cs="inter"/>
          <w:color w:val="000000"/>
        </w:rPr>
        <w:t>Co‑ownership forms are typically spelled out in the deed (for real estate) or the account agreement (for bank and investment accounts).</w:t>
      </w:r>
      <w:bookmarkStart w:id="6" w:name="fnref2_1"/>
      <w:bookmarkEnd w:id="6"/>
      <w:r>
        <w:fldChar w:fldCharType="begin"/>
      </w:r>
      <w:r>
        <w:instrText>HYPERLINK \l "fn2" \h</w:instrText>
      </w:r>
      <w:r>
        <w:fldChar w:fldCharType="separate"/>
      </w:r>
      <w:r>
        <w:fldChar w:fldCharType="end"/>
      </w:r>
    </w:p>
    <w:p w14:paraId="0F13C14F" w14:textId="6E6E4E75" w:rsidR="00EF7386" w:rsidRDefault="00EF7386" w:rsidP="00EF7386">
      <w:pPr>
        <w:numPr>
          <w:ilvl w:val="0"/>
          <w:numId w:val="9"/>
        </w:numPr>
        <w:spacing w:before="105" w:after="105" w:line="360" w:lineRule="auto"/>
      </w:pPr>
      <w:r>
        <w:rPr>
          <w:rFonts w:ascii="inter" w:eastAsia="inter" w:hAnsi="inter" w:cs="inter"/>
          <w:color w:val="000000"/>
        </w:rPr>
        <w:t xml:space="preserve">Different forms of co‑ownership can exist side by side in a plan, and they may interact in unexpected ways with </w:t>
      </w:r>
      <w:proofErr w:type="gramStart"/>
      <w:r>
        <w:rPr>
          <w:rFonts w:ascii="inter" w:eastAsia="inter" w:hAnsi="inter" w:cs="inter"/>
          <w:color w:val="000000"/>
        </w:rPr>
        <w:t>wills</w:t>
      </w:r>
      <w:proofErr w:type="gramEnd"/>
      <w:r>
        <w:rPr>
          <w:rFonts w:ascii="inter" w:eastAsia="inter" w:hAnsi="inter" w:cs="inter"/>
          <w:color w:val="000000"/>
        </w:rPr>
        <w:t xml:space="preserve">, </w:t>
      </w:r>
      <w:proofErr w:type="gramStart"/>
      <w:r>
        <w:rPr>
          <w:rFonts w:ascii="inter" w:eastAsia="inter" w:hAnsi="inter" w:cs="inter"/>
          <w:color w:val="000000"/>
        </w:rPr>
        <w:t>trusts</w:t>
      </w:r>
      <w:proofErr w:type="gramEnd"/>
      <w:r>
        <w:rPr>
          <w:rFonts w:ascii="inter" w:eastAsia="inter" w:hAnsi="inter" w:cs="inter"/>
          <w:color w:val="000000"/>
        </w:rPr>
        <w:t>, and beneficiary designations.</w:t>
      </w:r>
      <w:bookmarkStart w:id="7" w:name="fnref3_1"/>
      <w:bookmarkEnd w:id="7"/>
      <w:r>
        <w:fldChar w:fldCharType="begin"/>
      </w:r>
      <w:r>
        <w:instrText>HYPERLINK \l "fn3" \h</w:instrText>
      </w:r>
      <w:r>
        <w:fldChar w:fldCharType="separate"/>
      </w:r>
      <w:r>
        <w:fldChar w:fldCharType="end"/>
      </w:r>
    </w:p>
    <w:p w14:paraId="03EBA528" w14:textId="77777777" w:rsidR="00EF7386" w:rsidRDefault="00EF7386" w:rsidP="00EF7386">
      <w:pPr>
        <w:spacing w:before="315" w:after="105" w:line="360" w:lineRule="auto"/>
        <w:ind w:left="-30"/>
      </w:pPr>
      <w:bookmarkStart w:id="8" w:name="joint_ownership_with_rights_of_su_a0b49c"/>
      <w:r>
        <w:rPr>
          <w:rFonts w:ascii="inter" w:eastAsia="inter" w:hAnsi="inter" w:cs="inter"/>
          <w:b/>
          <w:color w:val="000000"/>
          <w:sz w:val="24"/>
        </w:rPr>
        <w:t>Joint ownership with rights of survivorship</w:t>
      </w:r>
      <w:bookmarkEnd w:id="8"/>
    </w:p>
    <w:p w14:paraId="022B9E84" w14:textId="7671C41B" w:rsidR="00EF7386" w:rsidRDefault="00EF7386" w:rsidP="00EF7386">
      <w:pPr>
        <w:spacing w:after="210" w:line="360" w:lineRule="auto"/>
      </w:pPr>
      <w:r>
        <w:rPr>
          <w:rFonts w:ascii="inter" w:eastAsia="inter" w:hAnsi="inter" w:cs="inter"/>
          <w:color w:val="000000"/>
        </w:rPr>
        <w:t>“Joint ownership with rights of survivorship” means that when one joint owner dies, that person’s interest disappears and the surviving owner(s) automatically own the entire asset. This transfer occurs by operation of law and usually does not require probate for that asset.</w:t>
      </w:r>
      <w:bookmarkStart w:id="9" w:name="fnref1_2"/>
      <w:bookmarkEnd w:id="9"/>
      <w:r>
        <w:fldChar w:fldCharType="begin"/>
      </w:r>
      <w:r>
        <w:instrText>HYPERLINK \l "fn1" \h</w:instrText>
      </w:r>
      <w:r>
        <w:fldChar w:fldCharType="separate"/>
      </w:r>
      <w:r>
        <w:fldChar w:fldCharType="end"/>
      </w:r>
      <w:bookmarkStart w:id="10" w:name="fnref2_2"/>
      <w:bookmarkEnd w:id="10"/>
      <w:r>
        <w:fldChar w:fldCharType="begin"/>
      </w:r>
      <w:r>
        <w:instrText>HYPERLINK \l "fn2" \h</w:instrText>
      </w:r>
      <w:r>
        <w:fldChar w:fldCharType="separate"/>
      </w:r>
      <w:r>
        <w:fldChar w:fldCharType="end"/>
      </w:r>
    </w:p>
    <w:p w14:paraId="5E6CDD28" w14:textId="75680DE2" w:rsidR="00EF7386" w:rsidRDefault="00EF7386" w:rsidP="00EF7386">
      <w:pPr>
        <w:numPr>
          <w:ilvl w:val="0"/>
          <w:numId w:val="10"/>
        </w:numPr>
        <w:spacing w:before="105" w:after="105" w:line="360" w:lineRule="auto"/>
      </w:pPr>
      <w:r>
        <w:rPr>
          <w:rFonts w:ascii="inter" w:eastAsia="inter" w:hAnsi="inter" w:cs="inter"/>
          <w:color w:val="000000"/>
        </w:rPr>
        <w:t>Common labels include “JTWROS” (joint tenants with right of survivorship) on financial accounts and specific survivorship wording in real‑estate deeds.</w:t>
      </w:r>
      <w:bookmarkStart w:id="11" w:name="fnref4_1"/>
      <w:bookmarkEnd w:id="11"/>
      <w:r>
        <w:fldChar w:fldCharType="begin"/>
      </w:r>
      <w:r>
        <w:instrText>HYPERLINK \l "fn4" \h</w:instrText>
      </w:r>
      <w:r>
        <w:fldChar w:fldCharType="separate"/>
      </w:r>
      <w:r>
        <w:fldChar w:fldCharType="end"/>
      </w:r>
    </w:p>
    <w:p w14:paraId="116D3203" w14:textId="18C4CE4D" w:rsidR="00EF7386" w:rsidRDefault="00EF7386" w:rsidP="00EF7386">
      <w:pPr>
        <w:numPr>
          <w:ilvl w:val="0"/>
          <w:numId w:val="10"/>
        </w:numPr>
        <w:spacing w:before="105" w:after="105" w:line="360" w:lineRule="auto"/>
      </w:pPr>
      <w:r>
        <w:rPr>
          <w:rFonts w:ascii="inter" w:eastAsia="inter" w:hAnsi="inter" w:cs="inter"/>
          <w:color w:val="000000"/>
        </w:rPr>
        <w:t>A surviving joint owner typically needs to present a death certificate and complete the institution’s paperwork to retitle the asset solely in the survivor’s name.</w:t>
      </w:r>
      <w:bookmarkStart w:id="12" w:name="fnref3_2"/>
      <w:bookmarkEnd w:id="12"/>
      <w:r>
        <w:fldChar w:fldCharType="begin"/>
      </w:r>
      <w:r>
        <w:instrText>HYPERLINK \l "fn3" \h</w:instrText>
      </w:r>
      <w:r>
        <w:fldChar w:fldCharType="separate"/>
      </w:r>
      <w:r>
        <w:fldChar w:fldCharType="end"/>
      </w:r>
    </w:p>
    <w:p w14:paraId="2524457A" w14:textId="232C5B28" w:rsidR="00EF7386" w:rsidRDefault="00EF7386" w:rsidP="00EF7386">
      <w:pPr>
        <w:numPr>
          <w:ilvl w:val="0"/>
          <w:numId w:val="10"/>
        </w:numPr>
        <w:spacing w:before="105" w:after="105" w:line="360" w:lineRule="auto"/>
      </w:pPr>
      <w:r>
        <w:rPr>
          <w:rFonts w:ascii="inter" w:eastAsia="inter" w:hAnsi="inter" w:cs="inter"/>
          <w:color w:val="000000"/>
        </w:rPr>
        <w:t>Because the deceased owner’s share never becomes part of the probate estate, a will generally does not control who receives a JTWROS asset at the first death.</w:t>
      </w:r>
      <w:bookmarkStart w:id="13" w:name="fnref1_3"/>
      <w:bookmarkEnd w:id="13"/>
      <w:r>
        <w:fldChar w:fldCharType="begin"/>
      </w:r>
      <w:r>
        <w:instrText>HYPERLINK \l "fn1" \h</w:instrText>
      </w:r>
      <w:r>
        <w:fldChar w:fldCharType="separate"/>
      </w:r>
      <w:r>
        <w:fldChar w:fldCharType="end"/>
      </w:r>
    </w:p>
    <w:p w14:paraId="7B8A2F7C" w14:textId="09D32C5F" w:rsidR="00EF7386" w:rsidRDefault="00EF7386" w:rsidP="00EF7386">
      <w:pPr>
        <w:spacing w:after="210" w:line="360" w:lineRule="auto"/>
      </w:pPr>
      <w:r>
        <w:rPr>
          <w:rFonts w:ascii="inter" w:eastAsia="inter" w:hAnsi="inter" w:cs="inter"/>
          <w:color w:val="000000"/>
        </w:rPr>
        <w:lastRenderedPageBreak/>
        <w:t xml:space="preserve">Joint ownership with survivorship can be convenient for avoiding probate on </w:t>
      </w:r>
      <w:proofErr w:type="gramStart"/>
      <w:r>
        <w:rPr>
          <w:rFonts w:ascii="inter" w:eastAsia="inter" w:hAnsi="inter" w:cs="inter"/>
          <w:color w:val="000000"/>
        </w:rPr>
        <w:t>particular assets</w:t>
      </w:r>
      <w:proofErr w:type="gramEnd"/>
      <w:r>
        <w:rPr>
          <w:rFonts w:ascii="inter" w:eastAsia="inter" w:hAnsi="inter" w:cs="inter"/>
          <w:color w:val="000000"/>
        </w:rPr>
        <w:t xml:space="preserve"> but can also cause unequal results if one child is placed on an account and others are not. Careful planning and documentation are often needed to distinguish between convenience accounts and true survivorship gifts.</w:t>
      </w:r>
      <w:bookmarkStart w:id="14" w:name="fnref2_3"/>
      <w:bookmarkEnd w:id="14"/>
      <w:r>
        <w:fldChar w:fldCharType="begin"/>
      </w:r>
      <w:r>
        <w:instrText>HYPERLINK \l "fn2" \h</w:instrText>
      </w:r>
      <w:r>
        <w:fldChar w:fldCharType="separate"/>
      </w:r>
      <w:r>
        <w:fldChar w:fldCharType="end"/>
      </w:r>
      <w:bookmarkStart w:id="15" w:name="fnref4_2"/>
      <w:bookmarkEnd w:id="15"/>
      <w:r>
        <w:fldChar w:fldCharType="begin"/>
      </w:r>
      <w:r>
        <w:instrText>HYPERLINK \l "fn4" \h</w:instrText>
      </w:r>
      <w:r>
        <w:fldChar w:fldCharType="separate"/>
      </w:r>
      <w:r>
        <w:fldChar w:fldCharType="end"/>
      </w:r>
    </w:p>
    <w:p w14:paraId="7F4CA3E6" w14:textId="77777777" w:rsidR="00EF7386" w:rsidRDefault="00EF7386" w:rsidP="00EF7386">
      <w:pPr>
        <w:spacing w:before="315" w:after="105" w:line="360" w:lineRule="auto"/>
        <w:ind w:left="-30"/>
      </w:pPr>
      <w:bookmarkStart w:id="16" w:name="tenancy_by_the_entirety_married_couples"/>
      <w:r>
        <w:rPr>
          <w:rFonts w:ascii="inter" w:eastAsia="inter" w:hAnsi="inter" w:cs="inter"/>
          <w:b/>
          <w:color w:val="000000"/>
          <w:sz w:val="24"/>
        </w:rPr>
        <w:t>Tenancy by the entirety (married couples)</w:t>
      </w:r>
      <w:bookmarkEnd w:id="16"/>
    </w:p>
    <w:p w14:paraId="3A38B880" w14:textId="512B13BF" w:rsidR="00EF7386" w:rsidRDefault="00EF7386" w:rsidP="00EF7386">
      <w:pPr>
        <w:spacing w:after="210" w:line="360" w:lineRule="auto"/>
      </w:pPr>
      <w:r>
        <w:rPr>
          <w:rFonts w:ascii="inter" w:eastAsia="inter" w:hAnsi="inter" w:cs="inter"/>
          <w:color w:val="000000"/>
        </w:rPr>
        <w:t>Tenancy by the entirety is a special form of co‑ownership available only to married couples in certain states. It combines survivorship rights with additional protections, such as limiting the ability of one spouse’s individual creditor to reach the property.</w:t>
      </w:r>
      <w:bookmarkStart w:id="17" w:name="fnref3_3"/>
      <w:bookmarkEnd w:id="17"/>
      <w:r>
        <w:fldChar w:fldCharType="begin"/>
      </w:r>
      <w:r>
        <w:instrText>HYPERLINK \l "fn3" \h</w:instrText>
      </w:r>
      <w:r>
        <w:fldChar w:fldCharType="separate"/>
      </w:r>
      <w:r>
        <w:fldChar w:fldCharType="end"/>
      </w:r>
      <w:bookmarkStart w:id="18" w:name="fnref1_4"/>
      <w:bookmarkEnd w:id="18"/>
      <w:r>
        <w:fldChar w:fldCharType="begin"/>
      </w:r>
      <w:r>
        <w:instrText>HYPERLINK \l "fn1" \h</w:instrText>
      </w:r>
      <w:r>
        <w:fldChar w:fldCharType="separate"/>
      </w:r>
      <w:r>
        <w:fldChar w:fldCharType="end"/>
      </w:r>
    </w:p>
    <w:p w14:paraId="2D0AC96A" w14:textId="31DC7B87" w:rsidR="00EF7386" w:rsidRDefault="00EF7386" w:rsidP="00EF7386">
      <w:pPr>
        <w:numPr>
          <w:ilvl w:val="0"/>
          <w:numId w:val="11"/>
        </w:numPr>
        <w:spacing w:before="105" w:after="105" w:line="360" w:lineRule="auto"/>
      </w:pPr>
      <w:r>
        <w:rPr>
          <w:rFonts w:ascii="inter" w:eastAsia="inter" w:hAnsi="inter" w:cs="inter"/>
          <w:color w:val="000000"/>
        </w:rPr>
        <w:t xml:space="preserve">Property held as tenants by the entirety generally passes automatically to the surviving spouse at the first spouse’s death, </w:t>
      </w:r>
      <w:proofErr w:type="gramStart"/>
      <w:r>
        <w:rPr>
          <w:rFonts w:ascii="inter" w:eastAsia="inter" w:hAnsi="inter" w:cs="inter"/>
          <w:color w:val="000000"/>
        </w:rPr>
        <w:t>similar to</w:t>
      </w:r>
      <w:proofErr w:type="gramEnd"/>
      <w:r>
        <w:rPr>
          <w:rFonts w:ascii="inter" w:eastAsia="inter" w:hAnsi="inter" w:cs="inter"/>
          <w:color w:val="000000"/>
        </w:rPr>
        <w:t xml:space="preserve"> joint ownership with rights of survivorship.</w:t>
      </w:r>
      <w:bookmarkStart w:id="19" w:name="fnref2_4"/>
      <w:bookmarkEnd w:id="19"/>
      <w:r>
        <w:fldChar w:fldCharType="begin"/>
      </w:r>
      <w:r>
        <w:instrText>HYPERLINK \l "fn2" \h</w:instrText>
      </w:r>
      <w:r>
        <w:fldChar w:fldCharType="separate"/>
      </w:r>
      <w:r>
        <w:fldChar w:fldCharType="end"/>
      </w:r>
    </w:p>
    <w:p w14:paraId="11DDA2DB" w14:textId="7CA173EE" w:rsidR="00EF7386" w:rsidRDefault="00EF7386" w:rsidP="00EF7386">
      <w:pPr>
        <w:numPr>
          <w:ilvl w:val="0"/>
          <w:numId w:val="11"/>
        </w:numPr>
        <w:spacing w:before="105" w:after="105" w:line="360" w:lineRule="auto"/>
      </w:pPr>
      <w:r>
        <w:rPr>
          <w:rFonts w:ascii="inter" w:eastAsia="inter" w:hAnsi="inter" w:cs="inter"/>
          <w:color w:val="000000"/>
        </w:rPr>
        <w:t>Neither spouse acting alone can usually sell, mortgage, or transfer entirety property; both must agree, which can help protect the asset during the marriage.</w:t>
      </w:r>
      <w:bookmarkStart w:id="20" w:name="fnref3_4"/>
      <w:bookmarkEnd w:id="20"/>
      <w:r>
        <w:fldChar w:fldCharType="begin"/>
      </w:r>
      <w:r>
        <w:instrText>HYPERLINK \l "fn3" \h</w:instrText>
      </w:r>
      <w:r>
        <w:fldChar w:fldCharType="separate"/>
      </w:r>
      <w:r>
        <w:fldChar w:fldCharType="end"/>
      </w:r>
    </w:p>
    <w:p w14:paraId="7EBD59A3" w14:textId="0559F150" w:rsidR="00EF7386" w:rsidRDefault="00EF7386" w:rsidP="00EF7386">
      <w:pPr>
        <w:numPr>
          <w:ilvl w:val="0"/>
          <w:numId w:val="11"/>
        </w:numPr>
        <w:spacing w:before="105" w:after="105" w:line="360" w:lineRule="auto"/>
      </w:pPr>
      <w:r>
        <w:rPr>
          <w:rFonts w:ascii="inter" w:eastAsia="inter" w:hAnsi="inter" w:cs="inter"/>
          <w:color w:val="000000"/>
        </w:rPr>
        <w:t>At the first death, the surviving spouse ends up as the sole owner, and only at that later death will the property be controlled by a will, trust, or other planning.</w:t>
      </w:r>
      <w:bookmarkStart w:id="21" w:name="fnref4_3"/>
      <w:bookmarkEnd w:id="21"/>
      <w:r>
        <w:fldChar w:fldCharType="begin"/>
      </w:r>
      <w:r>
        <w:instrText>HYPERLINK \l "fn4" \h</w:instrText>
      </w:r>
      <w:r>
        <w:fldChar w:fldCharType="separate"/>
      </w:r>
      <w:r>
        <w:fldChar w:fldCharType="end"/>
      </w:r>
    </w:p>
    <w:p w14:paraId="4124B741" w14:textId="7A31F0CA" w:rsidR="00EF7386" w:rsidRDefault="00EF7386" w:rsidP="00EF7386">
      <w:pPr>
        <w:spacing w:after="210" w:line="360" w:lineRule="auto"/>
      </w:pPr>
      <w:r>
        <w:rPr>
          <w:rFonts w:ascii="inter" w:eastAsia="inter" w:hAnsi="inter" w:cs="inter"/>
          <w:color w:val="000000"/>
        </w:rPr>
        <w:t>This form of ownership is often used for the primary residence and is chosen for both estate‑planning and creditor‑protection reasons; however, it must be properly created in the deed to be effective.</w:t>
      </w:r>
      <w:bookmarkStart w:id="22" w:name="fnref1_5"/>
      <w:bookmarkEnd w:id="22"/>
      <w:r>
        <w:fldChar w:fldCharType="begin"/>
      </w:r>
      <w:r>
        <w:instrText>HYPERLINK \l "fn1" \h</w:instrText>
      </w:r>
      <w:r>
        <w:fldChar w:fldCharType="separate"/>
      </w:r>
      <w:r>
        <w:fldChar w:fldCharType="end"/>
      </w:r>
    </w:p>
    <w:p w14:paraId="389707F7" w14:textId="77777777" w:rsidR="00EF7386" w:rsidRDefault="00EF7386" w:rsidP="00EF7386">
      <w:pPr>
        <w:spacing w:before="315" w:after="105" w:line="360" w:lineRule="auto"/>
        <w:ind w:left="-30"/>
      </w:pPr>
      <w:bookmarkStart w:id="23" w:name="tenants_in_common"/>
      <w:r>
        <w:rPr>
          <w:rFonts w:ascii="inter" w:eastAsia="inter" w:hAnsi="inter" w:cs="inter"/>
          <w:b/>
          <w:color w:val="000000"/>
          <w:sz w:val="24"/>
        </w:rPr>
        <w:t>Tenants in common</w:t>
      </w:r>
      <w:bookmarkEnd w:id="23"/>
    </w:p>
    <w:p w14:paraId="15194FEC" w14:textId="668B3166" w:rsidR="00EF7386" w:rsidRDefault="00EF7386" w:rsidP="00EF7386">
      <w:pPr>
        <w:spacing w:after="210" w:line="360" w:lineRule="auto"/>
      </w:pPr>
      <w:r>
        <w:rPr>
          <w:rFonts w:ascii="inter" w:eastAsia="inter" w:hAnsi="inter" w:cs="inter"/>
          <w:color w:val="000000"/>
        </w:rPr>
        <w:t xml:space="preserve">Tenants in common </w:t>
      </w:r>
      <w:proofErr w:type="gramStart"/>
      <w:r>
        <w:rPr>
          <w:rFonts w:ascii="inter" w:eastAsia="inter" w:hAnsi="inter" w:cs="inter"/>
          <w:color w:val="000000"/>
        </w:rPr>
        <w:t>is</w:t>
      </w:r>
      <w:proofErr w:type="gramEnd"/>
      <w:r>
        <w:rPr>
          <w:rFonts w:ascii="inter" w:eastAsia="inter" w:hAnsi="inter" w:cs="inter"/>
          <w:color w:val="000000"/>
        </w:rPr>
        <w:t xml:space="preserve"> the default form of co‑ownership in many situations when multiple people own an asset without survivorship wording. Each co‑owner holds a distinct fractional interest that can be sold, gifted, or passed to heirs at death.</w:t>
      </w:r>
      <w:bookmarkStart w:id="24" w:name="fnref2_5"/>
      <w:bookmarkEnd w:id="24"/>
      <w:r>
        <w:fldChar w:fldCharType="begin"/>
      </w:r>
      <w:r>
        <w:instrText>HYPERLINK \l "fn2" \h</w:instrText>
      </w:r>
      <w:r>
        <w:fldChar w:fldCharType="separate"/>
      </w:r>
      <w:r>
        <w:fldChar w:fldCharType="end"/>
      </w:r>
      <w:bookmarkStart w:id="25" w:name="fnref4_4"/>
      <w:bookmarkEnd w:id="25"/>
      <w:r>
        <w:fldChar w:fldCharType="begin"/>
      </w:r>
      <w:r>
        <w:instrText>HYPERLINK \l "fn4" \h</w:instrText>
      </w:r>
      <w:r>
        <w:fldChar w:fldCharType="separate"/>
      </w:r>
      <w:r>
        <w:fldChar w:fldCharType="end"/>
      </w:r>
    </w:p>
    <w:p w14:paraId="071BC543" w14:textId="68EF7C7A" w:rsidR="00EF7386" w:rsidRDefault="00EF7386" w:rsidP="00EF7386">
      <w:pPr>
        <w:numPr>
          <w:ilvl w:val="0"/>
          <w:numId w:val="12"/>
        </w:numPr>
        <w:spacing w:before="105" w:after="105" w:line="360" w:lineRule="auto"/>
      </w:pPr>
      <w:r>
        <w:rPr>
          <w:rFonts w:ascii="inter" w:eastAsia="inter" w:hAnsi="inter" w:cs="inter"/>
          <w:color w:val="000000"/>
        </w:rPr>
        <w:t xml:space="preserve">When a tenant in common dies, that owner’s share does </w:t>
      </w:r>
      <w:r>
        <w:rPr>
          <w:rFonts w:ascii="inter" w:eastAsia="inter" w:hAnsi="inter" w:cs="inter"/>
          <w:b/>
          <w:color w:val="000000"/>
        </w:rPr>
        <w:t>not</w:t>
      </w:r>
      <w:r>
        <w:rPr>
          <w:rFonts w:ascii="inter" w:eastAsia="inter" w:hAnsi="inter" w:cs="inter"/>
          <w:color w:val="000000"/>
        </w:rPr>
        <w:t xml:space="preserve"> automatically pass to the surviving co‑owners.</w:t>
      </w:r>
      <w:bookmarkStart w:id="26" w:name="fnref1_6"/>
      <w:bookmarkEnd w:id="26"/>
      <w:r>
        <w:fldChar w:fldCharType="begin"/>
      </w:r>
      <w:r>
        <w:instrText>HYPERLINK \l "fn1" \h</w:instrText>
      </w:r>
      <w:r>
        <w:fldChar w:fldCharType="separate"/>
      </w:r>
      <w:r>
        <w:fldChar w:fldCharType="end"/>
      </w:r>
    </w:p>
    <w:p w14:paraId="4F6B5B7A" w14:textId="0DD7CC27" w:rsidR="00EF7386" w:rsidRDefault="00EF7386" w:rsidP="00EF7386">
      <w:pPr>
        <w:numPr>
          <w:ilvl w:val="0"/>
          <w:numId w:val="12"/>
        </w:numPr>
        <w:spacing w:before="105" w:after="105" w:line="360" w:lineRule="auto"/>
      </w:pPr>
      <w:r>
        <w:rPr>
          <w:rFonts w:ascii="inter" w:eastAsia="inter" w:hAnsi="inter" w:cs="inter"/>
          <w:color w:val="000000"/>
        </w:rPr>
        <w:t>Instead, the deceased owner’s interest typically passes according to that person’s will, revocable trust, or, if there is no planning, under the state intestacy laws through probate.</w:t>
      </w:r>
      <w:bookmarkStart w:id="27" w:name="fnref2_6"/>
      <w:bookmarkEnd w:id="27"/>
      <w:r>
        <w:fldChar w:fldCharType="begin"/>
      </w:r>
      <w:r>
        <w:instrText>HYPERLINK \l "fn2" \h</w:instrText>
      </w:r>
      <w:r>
        <w:fldChar w:fldCharType="separate"/>
      </w:r>
      <w:r>
        <w:fldChar w:fldCharType="end"/>
      </w:r>
    </w:p>
    <w:p w14:paraId="64A143BD" w14:textId="58E960BA" w:rsidR="00EF7386" w:rsidRDefault="00EF7386" w:rsidP="00EF7386">
      <w:pPr>
        <w:numPr>
          <w:ilvl w:val="0"/>
          <w:numId w:val="12"/>
        </w:numPr>
        <w:spacing w:before="105" w:after="105" w:line="360" w:lineRule="auto"/>
      </w:pPr>
      <w:r>
        <w:rPr>
          <w:rFonts w:ascii="inter" w:eastAsia="inter" w:hAnsi="inter" w:cs="inter"/>
          <w:color w:val="000000"/>
        </w:rPr>
        <w:t>Co‑owners may hold unequal percentages (for example, 60% and 40%) and can leave their shares to different beneficiaries.</w:t>
      </w:r>
      <w:bookmarkStart w:id="28" w:name="fnref3_5"/>
      <w:bookmarkEnd w:id="28"/>
      <w:r>
        <w:fldChar w:fldCharType="begin"/>
      </w:r>
      <w:r>
        <w:instrText>HYPERLINK \l "fn3" \h</w:instrText>
      </w:r>
      <w:r>
        <w:fldChar w:fldCharType="separate"/>
      </w:r>
      <w:r>
        <w:fldChar w:fldCharType="end"/>
      </w:r>
    </w:p>
    <w:p w14:paraId="19B0A37F" w14:textId="04F2FDC2" w:rsidR="00EF7386" w:rsidRDefault="00EF7386" w:rsidP="00EF7386">
      <w:pPr>
        <w:spacing w:after="210" w:line="360" w:lineRule="auto"/>
      </w:pPr>
      <w:r>
        <w:rPr>
          <w:rFonts w:ascii="inter" w:eastAsia="inter" w:hAnsi="inter" w:cs="inter"/>
          <w:color w:val="000000"/>
        </w:rPr>
        <w:t>Because tenants‑in‑common interests must often be probated, families may prefer to retitle certain assets into a trust or add survivorship language as part of their estate‑planning strategy.</w:t>
      </w:r>
      <w:bookmarkStart w:id="29" w:name="fnref4_5"/>
      <w:bookmarkEnd w:id="29"/>
      <w:r>
        <w:fldChar w:fldCharType="begin"/>
      </w:r>
      <w:r>
        <w:instrText>HYPERLINK \l "fn4" \h</w:instrText>
      </w:r>
      <w:r>
        <w:fldChar w:fldCharType="separate"/>
      </w:r>
      <w:r>
        <w:fldChar w:fldCharType="end"/>
      </w:r>
    </w:p>
    <w:p w14:paraId="287CFFF4" w14:textId="77777777" w:rsidR="00EF7386" w:rsidRDefault="00EF7386" w:rsidP="00EF7386">
      <w:pPr>
        <w:spacing w:before="315" w:after="105" w:line="360" w:lineRule="auto"/>
        <w:ind w:left="-30"/>
      </w:pPr>
      <w:bookmarkStart w:id="30" w:name="beneficiary_designations"/>
      <w:r>
        <w:rPr>
          <w:rFonts w:ascii="inter" w:eastAsia="inter" w:hAnsi="inter" w:cs="inter"/>
          <w:b/>
          <w:color w:val="000000"/>
          <w:sz w:val="24"/>
        </w:rPr>
        <w:t>Beneficiary designations</w:t>
      </w:r>
      <w:bookmarkEnd w:id="30"/>
    </w:p>
    <w:p w14:paraId="5E73EBAF" w14:textId="2ABFA8FE" w:rsidR="00EF7386" w:rsidRDefault="00EF7386" w:rsidP="00EF7386">
      <w:pPr>
        <w:spacing w:after="210" w:line="360" w:lineRule="auto"/>
      </w:pPr>
      <w:r>
        <w:rPr>
          <w:rFonts w:ascii="inter" w:eastAsia="inter" w:hAnsi="inter" w:cs="inter"/>
          <w:color w:val="000000"/>
        </w:rPr>
        <w:lastRenderedPageBreak/>
        <w:t xml:space="preserve">Many assets do not pass by deed or by the will at </w:t>
      </w:r>
      <w:proofErr w:type="gramStart"/>
      <w:r>
        <w:rPr>
          <w:rFonts w:ascii="inter" w:eastAsia="inter" w:hAnsi="inter" w:cs="inter"/>
          <w:color w:val="000000"/>
        </w:rPr>
        <w:t>all, but</w:t>
      </w:r>
      <w:proofErr w:type="gramEnd"/>
      <w:r>
        <w:rPr>
          <w:rFonts w:ascii="inter" w:eastAsia="inter" w:hAnsi="inter" w:cs="inter"/>
          <w:color w:val="000000"/>
        </w:rPr>
        <w:t xml:space="preserve"> instead pass under a beneficiary designation. These are “contract” transfers: the institution pays the asset directly to the named beneficiary when it receives proof of death.</w:t>
      </w:r>
      <w:bookmarkStart w:id="31" w:name="fnref1_7"/>
      <w:bookmarkEnd w:id="31"/>
      <w:r>
        <w:fldChar w:fldCharType="begin"/>
      </w:r>
      <w:r>
        <w:instrText>HYPERLINK \l "fn1" \h</w:instrText>
      </w:r>
      <w:r>
        <w:fldChar w:fldCharType="separate"/>
      </w:r>
      <w:r>
        <w:fldChar w:fldCharType="end"/>
      </w:r>
      <w:bookmarkStart w:id="32" w:name="fnref2_7"/>
      <w:bookmarkEnd w:id="32"/>
      <w:r>
        <w:fldChar w:fldCharType="begin"/>
      </w:r>
      <w:r>
        <w:instrText>HYPERLINK \l "fn2" \h</w:instrText>
      </w:r>
      <w:r>
        <w:fldChar w:fldCharType="separate"/>
      </w:r>
      <w:r>
        <w:fldChar w:fldCharType="end"/>
      </w:r>
    </w:p>
    <w:p w14:paraId="202593AF" w14:textId="0C30B5BC" w:rsidR="00EF7386" w:rsidRDefault="00EF7386" w:rsidP="00EF7386">
      <w:pPr>
        <w:numPr>
          <w:ilvl w:val="0"/>
          <w:numId w:val="13"/>
        </w:numPr>
        <w:spacing w:before="105" w:after="105" w:line="360" w:lineRule="auto"/>
      </w:pPr>
      <w:r>
        <w:rPr>
          <w:rFonts w:ascii="inter" w:eastAsia="inter" w:hAnsi="inter" w:cs="inter"/>
          <w:color w:val="000000"/>
        </w:rPr>
        <w:t>Common examples include life‑insurance policies, retirement accounts (IRAs, 401(k)s, 403(b)s), annuities, and payable‑on‑death (POD) or transfer‑on‑death (TOD) bank and brokerage accounts.</w:t>
      </w:r>
      <w:bookmarkStart w:id="33" w:name="fnref3_6"/>
      <w:bookmarkEnd w:id="33"/>
      <w:r>
        <w:fldChar w:fldCharType="begin"/>
      </w:r>
      <w:r>
        <w:instrText>HYPERLINK \l "fn3" \h</w:instrText>
      </w:r>
      <w:r>
        <w:fldChar w:fldCharType="separate"/>
      </w:r>
      <w:r>
        <w:fldChar w:fldCharType="end"/>
      </w:r>
    </w:p>
    <w:p w14:paraId="5C9F64C2" w14:textId="78FDBDEF" w:rsidR="00EF7386" w:rsidRDefault="00EF7386" w:rsidP="00EF7386">
      <w:pPr>
        <w:numPr>
          <w:ilvl w:val="0"/>
          <w:numId w:val="13"/>
        </w:numPr>
        <w:spacing w:before="105" w:after="105" w:line="360" w:lineRule="auto"/>
      </w:pPr>
      <w:r>
        <w:rPr>
          <w:rFonts w:ascii="inter" w:eastAsia="inter" w:hAnsi="inter" w:cs="inter"/>
          <w:color w:val="000000"/>
        </w:rPr>
        <w:t>The beneficiary form on file with the company controls, even if the will or trust says something different about that asset.</w:t>
      </w:r>
      <w:bookmarkStart w:id="34" w:name="fnref4_6"/>
      <w:bookmarkEnd w:id="34"/>
      <w:r>
        <w:fldChar w:fldCharType="begin"/>
      </w:r>
      <w:r>
        <w:instrText>HYPERLINK \l "fn4" \h</w:instrText>
      </w:r>
      <w:r>
        <w:fldChar w:fldCharType="separate"/>
      </w:r>
      <w:r>
        <w:fldChar w:fldCharType="end"/>
      </w:r>
    </w:p>
    <w:p w14:paraId="69E94B8D" w14:textId="4DE28B75" w:rsidR="00EF7386" w:rsidRDefault="00EF7386" w:rsidP="00EF7386">
      <w:pPr>
        <w:numPr>
          <w:ilvl w:val="0"/>
          <w:numId w:val="13"/>
        </w:numPr>
        <w:spacing w:before="105" w:after="105" w:line="360" w:lineRule="auto"/>
      </w:pPr>
      <w:r>
        <w:rPr>
          <w:rFonts w:ascii="inter" w:eastAsia="inter" w:hAnsi="inter" w:cs="inter"/>
          <w:color w:val="000000"/>
        </w:rPr>
        <w:t>Primary beneficiaries are first in line, and contingent beneficiaries receive the asset if all primary beneficiaries have died or disclaimed.</w:t>
      </w:r>
      <w:bookmarkStart w:id="35" w:name="fnref1_8"/>
      <w:bookmarkEnd w:id="35"/>
      <w:r>
        <w:fldChar w:fldCharType="begin"/>
      </w:r>
      <w:r>
        <w:instrText>HYPERLINK \l "fn1" \h</w:instrText>
      </w:r>
      <w:r>
        <w:fldChar w:fldCharType="separate"/>
      </w:r>
      <w:r>
        <w:fldChar w:fldCharType="end"/>
      </w:r>
    </w:p>
    <w:p w14:paraId="360461B3" w14:textId="43B8B1EE" w:rsidR="00EF7386" w:rsidRDefault="00EF7386" w:rsidP="00EF7386">
      <w:pPr>
        <w:spacing w:after="210" w:line="360" w:lineRule="auto"/>
      </w:pPr>
      <w:r>
        <w:rPr>
          <w:rFonts w:ascii="inter" w:eastAsia="inter" w:hAnsi="inter" w:cs="inter"/>
          <w:color w:val="000000"/>
        </w:rPr>
        <w:t>Because beneficiary designations bypass probate, they are often used to streamline transfers, but inconsistent or outdated designations are a frequent source of unintended disinheritance and beneficiary conflict. Regular review and coordination with the overall estate plan are essential.</w:t>
      </w:r>
      <w:bookmarkStart w:id="36" w:name="fnref2_8"/>
      <w:bookmarkEnd w:id="36"/>
      <w:r>
        <w:fldChar w:fldCharType="begin"/>
      </w:r>
      <w:r>
        <w:instrText>HYPERLINK \l "fn2" \h</w:instrText>
      </w:r>
      <w:r>
        <w:fldChar w:fldCharType="separate"/>
      </w:r>
      <w:r>
        <w:fldChar w:fldCharType="end"/>
      </w:r>
      <w:bookmarkStart w:id="37" w:name="fnref3_7"/>
      <w:bookmarkEnd w:id="37"/>
      <w:r>
        <w:fldChar w:fldCharType="begin"/>
      </w:r>
      <w:r>
        <w:instrText>HYPERLINK \l "fn3" \h</w:instrText>
      </w:r>
      <w:r>
        <w:fldChar w:fldCharType="separate"/>
      </w:r>
      <w:r>
        <w:fldChar w:fldCharType="end"/>
      </w:r>
    </w:p>
    <w:p w14:paraId="6124E512" w14:textId="77777777" w:rsidR="00EF7386" w:rsidRDefault="00EF7386" w:rsidP="00EF7386">
      <w:pPr>
        <w:spacing w:before="315" w:after="105" w:line="360" w:lineRule="auto"/>
        <w:ind w:left="-30"/>
      </w:pPr>
      <w:bookmarkStart w:id="38" w:name="sole_ownership_and_probate"/>
      <w:r>
        <w:rPr>
          <w:rFonts w:ascii="inter" w:eastAsia="inter" w:hAnsi="inter" w:cs="inter"/>
          <w:b/>
          <w:color w:val="000000"/>
          <w:sz w:val="24"/>
        </w:rPr>
        <w:t>Sole ownership and probate</w:t>
      </w:r>
      <w:bookmarkEnd w:id="38"/>
    </w:p>
    <w:p w14:paraId="5F74C398" w14:textId="73227074" w:rsidR="00EF7386" w:rsidRDefault="00EF7386" w:rsidP="00EF7386">
      <w:pPr>
        <w:spacing w:after="210" w:line="360" w:lineRule="auto"/>
      </w:pPr>
      <w:r>
        <w:rPr>
          <w:rFonts w:ascii="inter" w:eastAsia="inter" w:hAnsi="inter" w:cs="inter"/>
          <w:color w:val="000000"/>
        </w:rPr>
        <w:t>Assets owned solely in one person’s name at death, with no survivorship title and no effective beneficiary designation, generally must pass through probate. Probate is the court‑supervised process of validating a will (if there is one), appointing a personal representative, paying debts and expenses, and distributing what remains.</w:t>
      </w:r>
      <w:bookmarkStart w:id="39" w:name="fnref2_9"/>
      <w:bookmarkEnd w:id="39"/>
      <w:r>
        <w:fldChar w:fldCharType="begin"/>
      </w:r>
      <w:r>
        <w:instrText>HYPERLINK \l "fn2" \h</w:instrText>
      </w:r>
      <w:r>
        <w:fldChar w:fldCharType="separate"/>
      </w:r>
      <w:r>
        <w:fldChar w:fldCharType="end"/>
      </w:r>
      <w:bookmarkStart w:id="40" w:name="fnref1_9"/>
      <w:bookmarkEnd w:id="40"/>
      <w:r>
        <w:fldChar w:fldCharType="begin"/>
      </w:r>
      <w:r>
        <w:instrText>HYPERLINK \l "fn1" \h</w:instrText>
      </w:r>
      <w:r>
        <w:fldChar w:fldCharType="separate"/>
      </w:r>
      <w:r>
        <w:fldChar w:fldCharType="end"/>
      </w:r>
    </w:p>
    <w:p w14:paraId="1D80992E" w14:textId="1F8EDFFD" w:rsidR="00EF7386" w:rsidRDefault="00EF7386" w:rsidP="00EF7386">
      <w:pPr>
        <w:numPr>
          <w:ilvl w:val="0"/>
          <w:numId w:val="14"/>
        </w:numPr>
        <w:spacing w:before="105" w:after="105" w:line="360" w:lineRule="auto"/>
      </w:pPr>
      <w:r>
        <w:rPr>
          <w:rFonts w:ascii="inter" w:eastAsia="inter" w:hAnsi="inter" w:cs="inter"/>
          <w:color w:val="000000"/>
        </w:rPr>
        <w:t>Typical probate assets include individually owned real estate, bank or investment accounts with no POD/TOD or joint owner, and personal property not otherwise assigned to a trust or beneficiary.</w:t>
      </w:r>
      <w:bookmarkStart w:id="41" w:name="fnref3_8"/>
      <w:bookmarkEnd w:id="41"/>
      <w:r>
        <w:fldChar w:fldCharType="begin"/>
      </w:r>
      <w:r>
        <w:instrText>HYPERLINK \l "fn3" \h</w:instrText>
      </w:r>
      <w:r>
        <w:fldChar w:fldCharType="separate"/>
      </w:r>
      <w:r>
        <w:fldChar w:fldCharType="end"/>
      </w:r>
    </w:p>
    <w:p w14:paraId="69812FF5" w14:textId="396C7E73" w:rsidR="00EF7386" w:rsidRDefault="00EF7386" w:rsidP="00EF7386">
      <w:pPr>
        <w:numPr>
          <w:ilvl w:val="0"/>
          <w:numId w:val="14"/>
        </w:numPr>
        <w:spacing w:before="105" w:after="105" w:line="360" w:lineRule="auto"/>
      </w:pPr>
      <w:r>
        <w:rPr>
          <w:rFonts w:ascii="inter" w:eastAsia="inter" w:hAnsi="inter" w:cs="inter"/>
          <w:color w:val="000000"/>
        </w:rPr>
        <w:t>If the decedent left a valid will, it usually directs where probate assets go and who will serve as the personal representative or executor.</w:t>
      </w:r>
      <w:bookmarkStart w:id="42" w:name="fnref4_7"/>
      <w:bookmarkEnd w:id="42"/>
      <w:r>
        <w:fldChar w:fldCharType="begin"/>
      </w:r>
      <w:r>
        <w:instrText>HYPERLINK \l "fn4" \h</w:instrText>
      </w:r>
      <w:r>
        <w:fldChar w:fldCharType="separate"/>
      </w:r>
      <w:r>
        <w:fldChar w:fldCharType="end"/>
      </w:r>
    </w:p>
    <w:p w14:paraId="1C19B754" w14:textId="16FC5E50" w:rsidR="00EF7386" w:rsidRDefault="00EF7386" w:rsidP="00EF7386">
      <w:pPr>
        <w:numPr>
          <w:ilvl w:val="0"/>
          <w:numId w:val="14"/>
        </w:numPr>
        <w:spacing w:before="105" w:after="105" w:line="360" w:lineRule="auto"/>
      </w:pPr>
      <w:r>
        <w:rPr>
          <w:rFonts w:ascii="inter" w:eastAsia="inter" w:hAnsi="inter" w:cs="inter"/>
          <w:color w:val="000000"/>
        </w:rPr>
        <w:t>If there is no will, state intestacy laws determine which relatives inherit and in what shares, which may differ from what the decedent would have wanted.</w:t>
      </w:r>
      <w:bookmarkStart w:id="43" w:name="fnref1_10"/>
      <w:bookmarkEnd w:id="43"/>
      <w:r>
        <w:fldChar w:fldCharType="begin"/>
      </w:r>
      <w:r>
        <w:instrText>HYPERLINK \l "fn1" \h</w:instrText>
      </w:r>
      <w:r>
        <w:fldChar w:fldCharType="separate"/>
      </w:r>
      <w:r>
        <w:fldChar w:fldCharType="end"/>
      </w:r>
    </w:p>
    <w:p w14:paraId="219AC585" w14:textId="0B410D7A" w:rsidR="00EF7386" w:rsidRDefault="00EF7386" w:rsidP="00EF7386">
      <w:pPr>
        <w:spacing w:after="210" w:line="360" w:lineRule="auto"/>
      </w:pPr>
      <w:r>
        <w:rPr>
          <w:rFonts w:ascii="inter" w:eastAsia="inter" w:hAnsi="inter" w:cs="inter"/>
          <w:color w:val="000000"/>
        </w:rPr>
        <w:t>While many people try to minimize probate, retaining some probate or trust‑controlled assets can be important to provide a clear source of funds for expenses, taxes, and equalization of distributions among beneficiaries.</w:t>
      </w:r>
      <w:bookmarkStart w:id="44" w:name="fnref2_10"/>
      <w:bookmarkEnd w:id="44"/>
      <w:r>
        <w:fldChar w:fldCharType="begin"/>
      </w:r>
      <w:r>
        <w:instrText>HYPERLINK \l "fn2" \h</w:instrText>
      </w:r>
      <w:r>
        <w:fldChar w:fldCharType="separate"/>
      </w:r>
      <w:r>
        <w:fldChar w:fldCharType="end"/>
      </w:r>
    </w:p>
    <w:p w14:paraId="4998350A" w14:textId="77777777" w:rsidR="00EF7386" w:rsidRDefault="00EF7386" w:rsidP="00EF7386">
      <w:pPr>
        <w:spacing w:before="315" w:after="105" w:line="360" w:lineRule="auto"/>
        <w:ind w:left="-30"/>
      </w:pPr>
      <w:bookmarkStart w:id="45" w:name="time_based_ownership_and_life_estates"/>
      <w:r>
        <w:rPr>
          <w:rFonts w:ascii="inter" w:eastAsia="inter" w:hAnsi="inter" w:cs="inter"/>
          <w:b/>
          <w:color w:val="000000"/>
          <w:sz w:val="24"/>
        </w:rPr>
        <w:t>Time‑based ownership and life estates</w:t>
      </w:r>
      <w:bookmarkEnd w:id="45"/>
    </w:p>
    <w:p w14:paraId="6F37A389" w14:textId="123BC8BD" w:rsidR="00EF7386" w:rsidRDefault="00EF7386" w:rsidP="00EF7386">
      <w:pPr>
        <w:spacing w:after="210" w:line="360" w:lineRule="auto"/>
      </w:pPr>
      <w:r>
        <w:rPr>
          <w:rFonts w:ascii="inter" w:eastAsia="inter" w:hAnsi="inter" w:cs="inter"/>
          <w:color w:val="000000"/>
        </w:rPr>
        <w:t xml:space="preserve">Some property interests are defined by </w:t>
      </w:r>
      <w:r>
        <w:rPr>
          <w:rFonts w:ascii="inter" w:eastAsia="inter" w:hAnsi="inter" w:cs="inter"/>
          <w:b/>
          <w:color w:val="000000"/>
        </w:rPr>
        <w:t>time</w:t>
      </w:r>
      <w:r>
        <w:rPr>
          <w:rFonts w:ascii="inter" w:eastAsia="inter" w:hAnsi="inter" w:cs="inter"/>
          <w:color w:val="000000"/>
        </w:rPr>
        <w:t>, such as a life estate, where one person has the right to use property for life and another has the right to receive it afterward. These arrangements affect both control during life and how the property passes at death.</w:t>
      </w:r>
      <w:bookmarkStart w:id="46" w:name="fnref4_8"/>
      <w:bookmarkEnd w:id="46"/>
      <w:r>
        <w:fldChar w:fldCharType="begin"/>
      </w:r>
      <w:r>
        <w:instrText>HYPERLINK \l "fn4" \h</w:instrText>
      </w:r>
      <w:r>
        <w:fldChar w:fldCharType="separate"/>
      </w:r>
      <w:r>
        <w:fldChar w:fldCharType="end"/>
      </w:r>
      <w:bookmarkStart w:id="47" w:name="fnref3_9"/>
      <w:bookmarkEnd w:id="47"/>
      <w:r>
        <w:fldChar w:fldCharType="begin"/>
      </w:r>
      <w:r>
        <w:instrText>HYPERLINK \l "fn3" \h</w:instrText>
      </w:r>
      <w:r>
        <w:fldChar w:fldCharType="separate"/>
      </w:r>
      <w:r>
        <w:fldChar w:fldCharType="end"/>
      </w:r>
    </w:p>
    <w:p w14:paraId="4489B5FB" w14:textId="6ABADBA2" w:rsidR="00EF7386" w:rsidRDefault="00EF7386" w:rsidP="00EF7386">
      <w:pPr>
        <w:numPr>
          <w:ilvl w:val="0"/>
          <w:numId w:val="15"/>
        </w:numPr>
        <w:spacing w:before="105" w:after="105" w:line="360" w:lineRule="auto"/>
      </w:pPr>
      <w:r>
        <w:rPr>
          <w:rFonts w:ascii="inter" w:eastAsia="inter" w:hAnsi="inter" w:cs="inter"/>
          <w:color w:val="000000"/>
        </w:rPr>
        <w:lastRenderedPageBreak/>
        <w:t>A typical life‑estate deed gives a “life tenant” the right to occupy or benefit from the property for life, with “remaindermen” (often children) entitled to full ownership automatically at the life tenant’s death.</w:t>
      </w:r>
      <w:bookmarkStart w:id="48" w:name="fnref1_11"/>
      <w:bookmarkEnd w:id="48"/>
      <w:r>
        <w:fldChar w:fldCharType="begin"/>
      </w:r>
      <w:r>
        <w:instrText>HYPERLINK \l "fn1" \h</w:instrText>
      </w:r>
      <w:r>
        <w:fldChar w:fldCharType="separate"/>
      </w:r>
      <w:r>
        <w:fldChar w:fldCharType="end"/>
      </w:r>
    </w:p>
    <w:p w14:paraId="721737B8" w14:textId="59AEB432" w:rsidR="00EF7386" w:rsidRDefault="00EF7386" w:rsidP="00EF7386">
      <w:pPr>
        <w:numPr>
          <w:ilvl w:val="0"/>
          <w:numId w:val="15"/>
        </w:numPr>
        <w:spacing w:before="105" w:after="105" w:line="360" w:lineRule="auto"/>
      </w:pPr>
      <w:r>
        <w:rPr>
          <w:rFonts w:ascii="inter" w:eastAsia="inter" w:hAnsi="inter" w:cs="inter"/>
          <w:color w:val="000000"/>
        </w:rPr>
        <w:t>When the life tenant dies, the property passes to the remaindermen by operation of the deed, without going through probate for that property interest.</w:t>
      </w:r>
      <w:bookmarkStart w:id="49" w:name="fnref2_11"/>
      <w:bookmarkEnd w:id="49"/>
      <w:r>
        <w:fldChar w:fldCharType="begin"/>
      </w:r>
      <w:r>
        <w:instrText>HYPERLINK \l "fn2" \h</w:instrText>
      </w:r>
      <w:r>
        <w:fldChar w:fldCharType="separate"/>
      </w:r>
      <w:r>
        <w:fldChar w:fldCharType="end"/>
      </w:r>
    </w:p>
    <w:p w14:paraId="7FC1905E" w14:textId="24D8CDE7" w:rsidR="00EF7386" w:rsidRDefault="00EF7386" w:rsidP="00EF7386">
      <w:pPr>
        <w:numPr>
          <w:ilvl w:val="0"/>
          <w:numId w:val="15"/>
        </w:numPr>
        <w:spacing w:before="105" w:after="105" w:line="360" w:lineRule="auto"/>
      </w:pPr>
      <w:r>
        <w:rPr>
          <w:rFonts w:ascii="inter" w:eastAsia="inter" w:hAnsi="inter" w:cs="inter"/>
          <w:color w:val="000000"/>
        </w:rPr>
        <w:t>Life estates can be created in deeds, trusts, or other instruments and often limit the life tenant’s ability to sell or mortgage the property without the consent of the remaindermen.</w:t>
      </w:r>
      <w:bookmarkStart w:id="50" w:name="fnref3_10"/>
      <w:bookmarkEnd w:id="50"/>
      <w:r>
        <w:fldChar w:fldCharType="begin"/>
      </w:r>
      <w:r>
        <w:instrText>HYPERLINK \l "fn3" \h</w:instrText>
      </w:r>
      <w:r>
        <w:fldChar w:fldCharType="separate"/>
      </w:r>
      <w:r>
        <w:fldChar w:fldCharType="end"/>
      </w:r>
    </w:p>
    <w:p w14:paraId="3FCC502C" w14:textId="1D88B503" w:rsidR="00EF7386" w:rsidRDefault="00EF7386" w:rsidP="00EF7386">
      <w:pPr>
        <w:spacing w:after="210" w:line="360" w:lineRule="auto"/>
      </w:pPr>
      <w:r>
        <w:rPr>
          <w:rFonts w:ascii="inter" w:eastAsia="inter" w:hAnsi="inter" w:cs="inter"/>
          <w:color w:val="000000"/>
        </w:rPr>
        <w:t>Time‑based interests can be used to balance goals such as allowing a surviving spouse to remain in the home while ultimately directing ownership to children, but they also reduce flexibility for future sales or refinancing.</w:t>
      </w:r>
      <w:bookmarkStart w:id="51" w:name="fnref1_12"/>
      <w:bookmarkEnd w:id="51"/>
      <w:r>
        <w:fldChar w:fldCharType="begin"/>
      </w:r>
      <w:r>
        <w:instrText>HYPERLINK \l "fn1" \h</w:instrText>
      </w:r>
      <w:r>
        <w:fldChar w:fldCharType="separate"/>
      </w:r>
      <w:r>
        <w:fldChar w:fldCharType="end"/>
      </w:r>
    </w:p>
    <w:p w14:paraId="1C2C82BA" w14:textId="77777777" w:rsidR="00EF7386" w:rsidRDefault="00EF7386" w:rsidP="00EF7386">
      <w:pPr>
        <w:spacing w:before="315" w:after="105" w:line="360" w:lineRule="auto"/>
        <w:ind w:left="-30"/>
      </w:pPr>
      <w:bookmarkStart w:id="52" w:name="coordinating_all_paths_of_transfer"/>
      <w:r>
        <w:rPr>
          <w:rFonts w:ascii="inter" w:eastAsia="inter" w:hAnsi="inter" w:cs="inter"/>
          <w:b/>
          <w:color w:val="000000"/>
          <w:sz w:val="24"/>
        </w:rPr>
        <w:t>Coordinating all paths of transfer</w:t>
      </w:r>
      <w:bookmarkEnd w:id="52"/>
    </w:p>
    <w:p w14:paraId="729FCBC5" w14:textId="2C5FE1D9" w:rsidR="00EF7386" w:rsidRDefault="00EF7386" w:rsidP="00EF7386">
      <w:pPr>
        <w:spacing w:after="210" w:line="360" w:lineRule="auto"/>
      </w:pPr>
      <w:r>
        <w:rPr>
          <w:rFonts w:ascii="inter" w:eastAsia="inter" w:hAnsi="inter" w:cs="inter"/>
          <w:color w:val="000000"/>
        </w:rPr>
        <w:t>Most estates involve a mixture of co‑owned assets, beneficiary‑driven assets, trust‑owned assets, and solely owned probate assets. The overall distribution pattern at death is the combined result of all these legal “paths,” not any single document.</w:t>
      </w:r>
      <w:bookmarkStart w:id="53" w:name="fnref3_11"/>
      <w:bookmarkEnd w:id="53"/>
      <w:r>
        <w:fldChar w:fldCharType="begin"/>
      </w:r>
      <w:r>
        <w:instrText>HYPERLINK \l "fn3" \h</w:instrText>
      </w:r>
      <w:r>
        <w:fldChar w:fldCharType="separate"/>
      </w:r>
      <w:r>
        <w:fldChar w:fldCharType="end"/>
      </w:r>
      <w:bookmarkStart w:id="54" w:name="fnref2_12"/>
      <w:bookmarkEnd w:id="54"/>
      <w:r>
        <w:fldChar w:fldCharType="begin"/>
      </w:r>
      <w:r>
        <w:instrText>HYPERLINK \l "fn2" \h</w:instrText>
      </w:r>
      <w:r>
        <w:fldChar w:fldCharType="separate"/>
      </w:r>
      <w:r>
        <w:fldChar w:fldCharType="end"/>
      </w:r>
    </w:p>
    <w:p w14:paraId="7759393A" w14:textId="209501CB" w:rsidR="00EF7386" w:rsidRDefault="00EF7386" w:rsidP="00EF7386">
      <w:pPr>
        <w:numPr>
          <w:ilvl w:val="0"/>
          <w:numId w:val="16"/>
        </w:numPr>
        <w:spacing w:before="105" w:after="105" w:line="360" w:lineRule="auto"/>
      </w:pPr>
      <w:r>
        <w:rPr>
          <w:rFonts w:ascii="inter" w:eastAsia="inter" w:hAnsi="inter" w:cs="inter"/>
          <w:color w:val="000000"/>
        </w:rPr>
        <w:t>Effective planning requires reviewing how each key asset is titled, what the current beneficiary designations say, and how those align with the will and any trusts.</w:t>
      </w:r>
      <w:bookmarkStart w:id="55" w:name="fnref1_13"/>
      <w:bookmarkEnd w:id="55"/>
      <w:r>
        <w:fldChar w:fldCharType="begin"/>
      </w:r>
      <w:r>
        <w:instrText>HYPERLINK \l "fn1" \h</w:instrText>
      </w:r>
      <w:r>
        <w:fldChar w:fldCharType="separate"/>
      </w:r>
      <w:r>
        <w:fldChar w:fldCharType="end"/>
      </w:r>
    </w:p>
    <w:p w14:paraId="34F55F3B" w14:textId="1A90AEAA" w:rsidR="00EF7386" w:rsidRDefault="00EF7386" w:rsidP="00EF7386">
      <w:pPr>
        <w:numPr>
          <w:ilvl w:val="0"/>
          <w:numId w:val="16"/>
        </w:numPr>
        <w:spacing w:before="105" w:after="105" w:line="360" w:lineRule="auto"/>
      </w:pPr>
      <w:r>
        <w:rPr>
          <w:rFonts w:ascii="inter" w:eastAsia="inter" w:hAnsi="inter" w:cs="inter"/>
          <w:color w:val="000000"/>
        </w:rPr>
        <w:t xml:space="preserve">Small changes—such as adding a child as a joint owner or changing a beneficiary form—can dramatically </w:t>
      </w:r>
      <w:proofErr w:type="gramStart"/>
      <w:r>
        <w:rPr>
          <w:rFonts w:ascii="inter" w:eastAsia="inter" w:hAnsi="inter" w:cs="inter"/>
          <w:color w:val="000000"/>
        </w:rPr>
        <w:t>alter</w:t>
      </w:r>
      <w:proofErr w:type="gramEnd"/>
      <w:r>
        <w:rPr>
          <w:rFonts w:ascii="inter" w:eastAsia="inter" w:hAnsi="inter" w:cs="inter"/>
          <w:color w:val="000000"/>
        </w:rPr>
        <w:t xml:space="preserve"> who receives an asset and whether it passes through probate.</w:t>
      </w:r>
      <w:bookmarkStart w:id="56" w:name="fnref4_9"/>
      <w:bookmarkEnd w:id="56"/>
      <w:r>
        <w:fldChar w:fldCharType="begin"/>
      </w:r>
      <w:r>
        <w:instrText>HYPERLINK \l "fn4" \h</w:instrText>
      </w:r>
      <w:r>
        <w:fldChar w:fldCharType="separate"/>
      </w:r>
      <w:r>
        <w:fldChar w:fldCharType="end"/>
      </w:r>
    </w:p>
    <w:p w14:paraId="44532955" w14:textId="297BCDEC" w:rsidR="00EF7386" w:rsidRDefault="00EF7386" w:rsidP="00EF7386">
      <w:pPr>
        <w:spacing w:after="210" w:line="360" w:lineRule="auto"/>
      </w:pPr>
      <w:r>
        <w:rPr>
          <w:rFonts w:ascii="inter" w:eastAsia="inter" w:hAnsi="inter" w:cs="inter"/>
          <w:color w:val="000000"/>
        </w:rPr>
        <w:t xml:space="preserve">Because rules and terminology vary by state and because individual facts matter, anyone making or updating an estate plan should consult a qualified attorney to review titles, deeds, and beneficiary forms </w:t>
      </w:r>
      <w:proofErr w:type="gramStart"/>
      <w:r>
        <w:rPr>
          <w:rFonts w:ascii="inter" w:eastAsia="inter" w:hAnsi="inter" w:cs="inter"/>
          <w:color w:val="000000"/>
        </w:rPr>
        <w:t>in light of</w:t>
      </w:r>
      <w:proofErr w:type="gramEnd"/>
      <w:r>
        <w:rPr>
          <w:rFonts w:ascii="inter" w:eastAsia="inter" w:hAnsi="inter" w:cs="inter"/>
          <w:color w:val="000000"/>
        </w:rPr>
        <w:t xml:space="preserve"> their specific goals.</w:t>
      </w:r>
      <w:bookmarkStart w:id="57" w:name="fnref3_12"/>
      <w:bookmarkEnd w:id="57"/>
      <w:r>
        <w:fldChar w:fldCharType="begin"/>
      </w:r>
      <w:r>
        <w:instrText>HYPERLINK \l "fn3" \h</w:instrText>
      </w:r>
      <w:r>
        <w:fldChar w:fldCharType="separate"/>
      </w:r>
      <w:r>
        <w:fldChar w:fldCharType="end"/>
      </w:r>
    </w:p>
    <w:p w14:paraId="434CC7A3" w14:textId="44EFB285" w:rsidR="00852A05" w:rsidRDefault="00852A05" w:rsidP="00EF7386">
      <w:pPr>
        <w:spacing w:before="160" w:after="210" w:line="360" w:lineRule="auto"/>
      </w:pPr>
    </w:p>
    <w:sectPr w:rsidR="00852A05" w:rsidSect="00C43BF3">
      <w:headerReference w:type="first" r:id="rId7"/>
      <w:footerReference w:type="first" r:id="rId8"/>
      <w:pgSz w:w="12240" w:h="15840"/>
      <w:pgMar w:top="1365" w:right="1365" w:bottom="1365" w:left="1365" w:header="720" w:footer="720"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636ED" w14:textId="77777777" w:rsidR="00DB1D57" w:rsidRDefault="00DB1D57" w:rsidP="00C43BF3">
      <w:pPr>
        <w:spacing w:after="0" w:line="240" w:lineRule="auto"/>
      </w:pPr>
      <w:r>
        <w:separator/>
      </w:r>
    </w:p>
  </w:endnote>
  <w:endnote w:type="continuationSeparator" w:id="0">
    <w:p w14:paraId="07F13C26" w14:textId="77777777" w:rsidR="00DB1D57" w:rsidRDefault="00DB1D57" w:rsidP="00C43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045E" w14:textId="5EEFE0C2" w:rsidR="00C43BF3" w:rsidRPr="00C43BF3" w:rsidRDefault="00C43BF3" w:rsidP="00C43BF3">
    <w:pPr>
      <w:pStyle w:val="Footer"/>
      <w:jc w:val="both"/>
      <w:rPr>
        <w:sz w:val="18"/>
        <w:szCs w:val="18"/>
      </w:rPr>
    </w:pPr>
    <w:r w:rsidRPr="00C43BF3">
      <w:rPr>
        <w:sz w:val="18"/>
        <w:szCs w:val="18"/>
      </w:rPr>
      <w:t>This information is provided for educational and general informational purposes only and is not intended as, and should not be relied upon as, legal, tax, or financial advice. It does not create, and receipt or review of it does not constitute, an attorney</w:t>
    </w:r>
    <w:r w:rsidRPr="00C43BF3">
      <w:rPr>
        <w:sz w:val="18"/>
        <w:szCs w:val="18"/>
      </w:rPr>
      <w:t>–</w:t>
    </w:r>
    <w:r w:rsidRPr="00C43BF3">
      <w:rPr>
        <w:sz w:val="18"/>
        <w:szCs w:val="18"/>
      </w:rPr>
      <w:t>client relationship between you and any law firm or attorney. Estate and tax laws change frequently, and how they apply depends on your specific facts, assets, and jurisdiction; you should consult with a qualified attorney and other professional advisors before making any decisions based on this information. Any examples, figures, or descriptions are illustrative only and may not reflect current law or your personal situation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86BF" w14:textId="77777777" w:rsidR="00DB1D57" w:rsidRDefault="00DB1D57" w:rsidP="00C43BF3">
      <w:pPr>
        <w:spacing w:after="0" w:line="240" w:lineRule="auto"/>
      </w:pPr>
      <w:r>
        <w:separator/>
      </w:r>
    </w:p>
  </w:footnote>
  <w:footnote w:type="continuationSeparator" w:id="0">
    <w:p w14:paraId="0C123EE0" w14:textId="77777777" w:rsidR="00DB1D57" w:rsidRDefault="00DB1D57" w:rsidP="00C43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FF86" w14:textId="77777777" w:rsidR="00C43BF3" w:rsidRDefault="00C43BF3" w:rsidP="00C43BF3">
    <w:pPr>
      <w:pStyle w:val="Header"/>
      <w:jc w:val="center"/>
    </w:pPr>
    <w:r>
      <w:rPr>
        <w:noProof/>
      </w:rPr>
      <w:drawing>
        <wp:inline distT="0" distB="0" distL="0" distR="0" wp14:anchorId="76F35B57" wp14:editId="7104156F">
          <wp:extent cx="1877572" cy="914402"/>
          <wp:effectExtent l="0" t="0" r="8890" b="0"/>
          <wp:docPr id="1288739564" name="Picture 1" descr="A black background with white letters and a yellow swoo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43496" name="Picture 1" descr="A black background with white letters and a yellow swoosh&#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77572" cy="914402"/>
                  </a:xfrm>
                  <a:prstGeom prst="rect">
                    <a:avLst/>
                  </a:prstGeom>
                </pic:spPr>
              </pic:pic>
            </a:graphicData>
          </a:graphic>
        </wp:inline>
      </w:drawing>
    </w:r>
  </w:p>
  <w:p w14:paraId="338957B3" w14:textId="19841DAD" w:rsidR="00C43BF3" w:rsidRPr="0009527B" w:rsidRDefault="00C43BF3" w:rsidP="00C43BF3">
    <w:pPr>
      <w:pStyle w:val="Header"/>
      <w:spacing w:before="240"/>
      <w:jc w:val="center"/>
      <w:rPr>
        <w:rFonts w:hAnsi="Georgia"/>
        <w:b/>
        <w:bCs/>
        <w:color w:val="091DDD"/>
        <w:sz w:val="20"/>
        <w:szCs w:val="20"/>
      </w:rPr>
    </w:pPr>
    <w:r w:rsidRPr="0009527B">
      <w:rPr>
        <w:rFonts w:hAnsi="Georgia"/>
        <w:b/>
        <w:bCs/>
        <w:color w:val="091DDD"/>
        <w:sz w:val="20"/>
        <w:szCs w:val="20"/>
      </w:rPr>
      <w:t>ZacBrownLaw.com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1AFB"/>
    <w:multiLevelType w:val="hybridMultilevel"/>
    <w:tmpl w:val="B0263DC2"/>
    <w:lvl w:ilvl="0" w:tplc="9934F95E">
      <w:start w:val="1"/>
      <w:numFmt w:val="bullet"/>
      <w:lvlText w:val=""/>
      <w:lvlJc w:val="left"/>
      <w:pPr>
        <w:tabs>
          <w:tab w:val="num" w:pos="900"/>
        </w:tabs>
        <w:ind w:left="540" w:hanging="360"/>
      </w:pPr>
      <w:rPr>
        <w:rFonts w:ascii="Symbol" w:hAnsi="Symbol" w:hint="default"/>
      </w:rPr>
    </w:lvl>
    <w:lvl w:ilvl="1" w:tplc="3E3A8194">
      <w:numFmt w:val="decimal"/>
      <w:lvlText w:val=""/>
      <w:lvlJc w:val="left"/>
    </w:lvl>
    <w:lvl w:ilvl="2" w:tplc="73447518">
      <w:numFmt w:val="decimal"/>
      <w:lvlText w:val=""/>
      <w:lvlJc w:val="left"/>
    </w:lvl>
    <w:lvl w:ilvl="3" w:tplc="9BA44E60">
      <w:numFmt w:val="decimal"/>
      <w:lvlText w:val=""/>
      <w:lvlJc w:val="left"/>
    </w:lvl>
    <w:lvl w:ilvl="4" w:tplc="2828FAD2">
      <w:numFmt w:val="decimal"/>
      <w:lvlText w:val=""/>
      <w:lvlJc w:val="left"/>
    </w:lvl>
    <w:lvl w:ilvl="5" w:tplc="F5B2346A">
      <w:numFmt w:val="decimal"/>
      <w:lvlText w:val=""/>
      <w:lvlJc w:val="left"/>
    </w:lvl>
    <w:lvl w:ilvl="6" w:tplc="2AFC6B3A">
      <w:numFmt w:val="decimal"/>
      <w:lvlText w:val=""/>
      <w:lvlJc w:val="left"/>
    </w:lvl>
    <w:lvl w:ilvl="7" w:tplc="1586F69E">
      <w:numFmt w:val="decimal"/>
      <w:lvlText w:val=""/>
      <w:lvlJc w:val="left"/>
    </w:lvl>
    <w:lvl w:ilvl="8" w:tplc="9C6090C6">
      <w:numFmt w:val="decimal"/>
      <w:lvlText w:val=""/>
      <w:lvlJc w:val="left"/>
    </w:lvl>
  </w:abstractNum>
  <w:abstractNum w:abstractNumId="1" w15:restartNumberingAfterBreak="0">
    <w:nsid w:val="162719AF"/>
    <w:multiLevelType w:val="hybridMultilevel"/>
    <w:tmpl w:val="E716C006"/>
    <w:lvl w:ilvl="0" w:tplc="54BC1D1C">
      <w:start w:val="1"/>
      <w:numFmt w:val="bullet"/>
      <w:lvlText w:val=""/>
      <w:lvlJc w:val="left"/>
      <w:pPr>
        <w:tabs>
          <w:tab w:val="num" w:pos="900"/>
        </w:tabs>
        <w:ind w:left="540" w:hanging="360"/>
      </w:pPr>
      <w:rPr>
        <w:rFonts w:ascii="Symbol" w:hAnsi="Symbol" w:hint="default"/>
      </w:rPr>
    </w:lvl>
    <w:lvl w:ilvl="1" w:tplc="29C25974">
      <w:numFmt w:val="decimal"/>
      <w:lvlText w:val=""/>
      <w:lvlJc w:val="left"/>
    </w:lvl>
    <w:lvl w:ilvl="2" w:tplc="47BEA16C">
      <w:numFmt w:val="decimal"/>
      <w:lvlText w:val=""/>
      <w:lvlJc w:val="left"/>
    </w:lvl>
    <w:lvl w:ilvl="3" w:tplc="32D0D250">
      <w:numFmt w:val="decimal"/>
      <w:lvlText w:val=""/>
      <w:lvlJc w:val="left"/>
    </w:lvl>
    <w:lvl w:ilvl="4" w:tplc="F3BE611E">
      <w:numFmt w:val="decimal"/>
      <w:lvlText w:val=""/>
      <w:lvlJc w:val="left"/>
    </w:lvl>
    <w:lvl w:ilvl="5" w:tplc="2F4C0156">
      <w:numFmt w:val="decimal"/>
      <w:lvlText w:val=""/>
      <w:lvlJc w:val="left"/>
    </w:lvl>
    <w:lvl w:ilvl="6" w:tplc="7A2C5384">
      <w:numFmt w:val="decimal"/>
      <w:lvlText w:val=""/>
      <w:lvlJc w:val="left"/>
    </w:lvl>
    <w:lvl w:ilvl="7" w:tplc="6F54504E">
      <w:numFmt w:val="decimal"/>
      <w:lvlText w:val=""/>
      <w:lvlJc w:val="left"/>
    </w:lvl>
    <w:lvl w:ilvl="8" w:tplc="11AEA420">
      <w:numFmt w:val="decimal"/>
      <w:lvlText w:val=""/>
      <w:lvlJc w:val="left"/>
    </w:lvl>
  </w:abstractNum>
  <w:abstractNum w:abstractNumId="2" w15:restartNumberingAfterBreak="0">
    <w:nsid w:val="181F1B1A"/>
    <w:multiLevelType w:val="hybridMultilevel"/>
    <w:tmpl w:val="F1666F7C"/>
    <w:lvl w:ilvl="0" w:tplc="410A7AEA">
      <w:start w:val="1"/>
      <w:numFmt w:val="bullet"/>
      <w:lvlText w:val=""/>
      <w:lvlJc w:val="left"/>
      <w:pPr>
        <w:tabs>
          <w:tab w:val="num" w:pos="900"/>
        </w:tabs>
        <w:ind w:left="540" w:hanging="360"/>
      </w:pPr>
      <w:rPr>
        <w:rFonts w:ascii="Symbol" w:hAnsi="Symbol" w:hint="default"/>
      </w:rPr>
    </w:lvl>
    <w:lvl w:ilvl="1" w:tplc="DF36B994">
      <w:numFmt w:val="decimal"/>
      <w:lvlText w:val=""/>
      <w:lvlJc w:val="left"/>
    </w:lvl>
    <w:lvl w:ilvl="2" w:tplc="F0EE6C70">
      <w:numFmt w:val="decimal"/>
      <w:lvlText w:val=""/>
      <w:lvlJc w:val="left"/>
    </w:lvl>
    <w:lvl w:ilvl="3" w:tplc="913C0E12">
      <w:numFmt w:val="decimal"/>
      <w:lvlText w:val=""/>
      <w:lvlJc w:val="left"/>
    </w:lvl>
    <w:lvl w:ilvl="4" w:tplc="482C1326">
      <w:numFmt w:val="decimal"/>
      <w:lvlText w:val=""/>
      <w:lvlJc w:val="left"/>
    </w:lvl>
    <w:lvl w:ilvl="5" w:tplc="D9BA60F4">
      <w:numFmt w:val="decimal"/>
      <w:lvlText w:val=""/>
      <w:lvlJc w:val="left"/>
    </w:lvl>
    <w:lvl w:ilvl="6" w:tplc="C9263198">
      <w:numFmt w:val="decimal"/>
      <w:lvlText w:val=""/>
      <w:lvlJc w:val="left"/>
    </w:lvl>
    <w:lvl w:ilvl="7" w:tplc="E020C52E">
      <w:numFmt w:val="decimal"/>
      <w:lvlText w:val=""/>
      <w:lvlJc w:val="left"/>
    </w:lvl>
    <w:lvl w:ilvl="8" w:tplc="151E653C">
      <w:numFmt w:val="decimal"/>
      <w:lvlText w:val=""/>
      <w:lvlJc w:val="left"/>
    </w:lvl>
  </w:abstractNum>
  <w:abstractNum w:abstractNumId="3" w15:restartNumberingAfterBreak="0">
    <w:nsid w:val="18C91B79"/>
    <w:multiLevelType w:val="hybridMultilevel"/>
    <w:tmpl w:val="4B84808E"/>
    <w:lvl w:ilvl="0" w:tplc="5A60922E">
      <w:start w:val="1"/>
      <w:numFmt w:val="bullet"/>
      <w:lvlText w:val=""/>
      <w:lvlJc w:val="left"/>
      <w:pPr>
        <w:tabs>
          <w:tab w:val="num" w:pos="900"/>
        </w:tabs>
        <w:ind w:left="540" w:hanging="360"/>
      </w:pPr>
      <w:rPr>
        <w:rFonts w:ascii="Symbol" w:hAnsi="Symbol" w:hint="default"/>
      </w:rPr>
    </w:lvl>
    <w:lvl w:ilvl="1" w:tplc="925430FA">
      <w:numFmt w:val="decimal"/>
      <w:lvlText w:val=""/>
      <w:lvlJc w:val="left"/>
    </w:lvl>
    <w:lvl w:ilvl="2" w:tplc="66040C1A">
      <w:numFmt w:val="decimal"/>
      <w:lvlText w:val=""/>
      <w:lvlJc w:val="left"/>
    </w:lvl>
    <w:lvl w:ilvl="3" w:tplc="8CEA684E">
      <w:numFmt w:val="decimal"/>
      <w:lvlText w:val=""/>
      <w:lvlJc w:val="left"/>
    </w:lvl>
    <w:lvl w:ilvl="4" w:tplc="14C87FCC">
      <w:numFmt w:val="decimal"/>
      <w:lvlText w:val=""/>
      <w:lvlJc w:val="left"/>
    </w:lvl>
    <w:lvl w:ilvl="5" w:tplc="570E4A20">
      <w:numFmt w:val="decimal"/>
      <w:lvlText w:val=""/>
      <w:lvlJc w:val="left"/>
    </w:lvl>
    <w:lvl w:ilvl="6" w:tplc="3F0AD8E2">
      <w:numFmt w:val="decimal"/>
      <w:lvlText w:val=""/>
      <w:lvlJc w:val="left"/>
    </w:lvl>
    <w:lvl w:ilvl="7" w:tplc="CE4A813C">
      <w:numFmt w:val="decimal"/>
      <w:lvlText w:val=""/>
      <w:lvlJc w:val="left"/>
    </w:lvl>
    <w:lvl w:ilvl="8" w:tplc="6AE68A3C">
      <w:numFmt w:val="decimal"/>
      <w:lvlText w:val=""/>
      <w:lvlJc w:val="left"/>
    </w:lvl>
  </w:abstractNum>
  <w:abstractNum w:abstractNumId="4" w15:restartNumberingAfterBreak="0">
    <w:nsid w:val="22391D9B"/>
    <w:multiLevelType w:val="hybridMultilevel"/>
    <w:tmpl w:val="188C3322"/>
    <w:lvl w:ilvl="0" w:tplc="1FE4E446">
      <w:start w:val="1"/>
      <w:numFmt w:val="decimal"/>
      <w:lvlText w:val="%1."/>
      <w:lvlJc w:val="left"/>
      <w:pPr>
        <w:tabs>
          <w:tab w:val="num" w:pos="900"/>
        </w:tabs>
        <w:ind w:left="540" w:hanging="360"/>
      </w:pPr>
    </w:lvl>
    <w:lvl w:ilvl="1" w:tplc="D4C6723E">
      <w:numFmt w:val="decimal"/>
      <w:lvlText w:val=""/>
      <w:lvlJc w:val="left"/>
    </w:lvl>
    <w:lvl w:ilvl="2" w:tplc="57689EB6">
      <w:numFmt w:val="decimal"/>
      <w:lvlText w:val=""/>
      <w:lvlJc w:val="left"/>
    </w:lvl>
    <w:lvl w:ilvl="3" w:tplc="400EA562">
      <w:numFmt w:val="decimal"/>
      <w:lvlText w:val=""/>
      <w:lvlJc w:val="left"/>
    </w:lvl>
    <w:lvl w:ilvl="4" w:tplc="4E489902">
      <w:numFmt w:val="decimal"/>
      <w:lvlText w:val=""/>
      <w:lvlJc w:val="left"/>
    </w:lvl>
    <w:lvl w:ilvl="5" w:tplc="7032AEC0">
      <w:numFmt w:val="decimal"/>
      <w:lvlText w:val=""/>
      <w:lvlJc w:val="left"/>
    </w:lvl>
    <w:lvl w:ilvl="6" w:tplc="84A412EA">
      <w:numFmt w:val="decimal"/>
      <w:lvlText w:val=""/>
      <w:lvlJc w:val="left"/>
    </w:lvl>
    <w:lvl w:ilvl="7" w:tplc="19D8B29A">
      <w:numFmt w:val="decimal"/>
      <w:lvlText w:val=""/>
      <w:lvlJc w:val="left"/>
    </w:lvl>
    <w:lvl w:ilvl="8" w:tplc="2EFCD8CC">
      <w:numFmt w:val="decimal"/>
      <w:lvlText w:val=""/>
      <w:lvlJc w:val="left"/>
    </w:lvl>
  </w:abstractNum>
  <w:abstractNum w:abstractNumId="5" w15:restartNumberingAfterBreak="0">
    <w:nsid w:val="230B1F60"/>
    <w:multiLevelType w:val="hybridMultilevel"/>
    <w:tmpl w:val="9F7E445E"/>
    <w:lvl w:ilvl="0" w:tplc="5B6CBCFC">
      <w:start w:val="1"/>
      <w:numFmt w:val="bullet"/>
      <w:lvlText w:val=""/>
      <w:lvlJc w:val="left"/>
      <w:pPr>
        <w:tabs>
          <w:tab w:val="num" w:pos="900"/>
        </w:tabs>
        <w:ind w:left="540" w:hanging="360"/>
      </w:pPr>
      <w:rPr>
        <w:rFonts w:ascii="Symbol" w:hAnsi="Symbol" w:hint="default"/>
      </w:rPr>
    </w:lvl>
    <w:lvl w:ilvl="1" w:tplc="CAFEE840">
      <w:start w:val="1"/>
      <w:numFmt w:val="bullet"/>
      <w:lvlText w:val="o"/>
      <w:lvlJc w:val="left"/>
      <w:pPr>
        <w:tabs>
          <w:tab w:val="num" w:pos="1440"/>
        </w:tabs>
        <w:ind w:left="1080" w:hanging="360"/>
      </w:pPr>
      <w:rPr>
        <w:rFonts w:ascii="Courier New" w:hAnsi="Courier New" w:cs="Courier New" w:hint="default"/>
      </w:rPr>
    </w:lvl>
    <w:lvl w:ilvl="2" w:tplc="9C969C7E">
      <w:numFmt w:val="decimal"/>
      <w:lvlText w:val=""/>
      <w:lvlJc w:val="left"/>
    </w:lvl>
    <w:lvl w:ilvl="3" w:tplc="02F02304">
      <w:numFmt w:val="decimal"/>
      <w:lvlText w:val=""/>
      <w:lvlJc w:val="left"/>
    </w:lvl>
    <w:lvl w:ilvl="4" w:tplc="92D46CE0">
      <w:numFmt w:val="decimal"/>
      <w:lvlText w:val=""/>
      <w:lvlJc w:val="left"/>
    </w:lvl>
    <w:lvl w:ilvl="5" w:tplc="361C46EA">
      <w:numFmt w:val="decimal"/>
      <w:lvlText w:val=""/>
      <w:lvlJc w:val="left"/>
    </w:lvl>
    <w:lvl w:ilvl="6" w:tplc="0A1E5C02">
      <w:numFmt w:val="decimal"/>
      <w:lvlText w:val=""/>
      <w:lvlJc w:val="left"/>
    </w:lvl>
    <w:lvl w:ilvl="7" w:tplc="2DBE4826">
      <w:numFmt w:val="decimal"/>
      <w:lvlText w:val=""/>
      <w:lvlJc w:val="left"/>
    </w:lvl>
    <w:lvl w:ilvl="8" w:tplc="2B522F58">
      <w:numFmt w:val="decimal"/>
      <w:lvlText w:val=""/>
      <w:lvlJc w:val="left"/>
    </w:lvl>
  </w:abstractNum>
  <w:abstractNum w:abstractNumId="6" w15:restartNumberingAfterBreak="0">
    <w:nsid w:val="2F1875B2"/>
    <w:multiLevelType w:val="hybridMultilevel"/>
    <w:tmpl w:val="F0ACB00A"/>
    <w:lvl w:ilvl="0" w:tplc="E2E27282">
      <w:start w:val="1"/>
      <w:numFmt w:val="bullet"/>
      <w:lvlText w:val=""/>
      <w:lvlJc w:val="left"/>
      <w:pPr>
        <w:tabs>
          <w:tab w:val="num" w:pos="900"/>
        </w:tabs>
        <w:ind w:left="540" w:hanging="360"/>
      </w:pPr>
      <w:rPr>
        <w:rFonts w:ascii="Symbol" w:hAnsi="Symbol" w:hint="default"/>
      </w:rPr>
    </w:lvl>
    <w:lvl w:ilvl="1" w:tplc="3EB05A96">
      <w:numFmt w:val="decimal"/>
      <w:lvlText w:val=""/>
      <w:lvlJc w:val="left"/>
    </w:lvl>
    <w:lvl w:ilvl="2" w:tplc="A3E0476A">
      <w:numFmt w:val="decimal"/>
      <w:lvlText w:val=""/>
      <w:lvlJc w:val="left"/>
    </w:lvl>
    <w:lvl w:ilvl="3" w:tplc="2162F27E">
      <w:numFmt w:val="decimal"/>
      <w:lvlText w:val=""/>
      <w:lvlJc w:val="left"/>
    </w:lvl>
    <w:lvl w:ilvl="4" w:tplc="8CEEFF8A">
      <w:numFmt w:val="decimal"/>
      <w:lvlText w:val=""/>
      <w:lvlJc w:val="left"/>
    </w:lvl>
    <w:lvl w:ilvl="5" w:tplc="165E7ECE">
      <w:numFmt w:val="decimal"/>
      <w:lvlText w:val=""/>
      <w:lvlJc w:val="left"/>
    </w:lvl>
    <w:lvl w:ilvl="6" w:tplc="422609D8">
      <w:numFmt w:val="decimal"/>
      <w:lvlText w:val=""/>
      <w:lvlJc w:val="left"/>
    </w:lvl>
    <w:lvl w:ilvl="7" w:tplc="EA14BA0A">
      <w:numFmt w:val="decimal"/>
      <w:lvlText w:val=""/>
      <w:lvlJc w:val="left"/>
    </w:lvl>
    <w:lvl w:ilvl="8" w:tplc="95FECF52">
      <w:numFmt w:val="decimal"/>
      <w:lvlText w:val=""/>
      <w:lvlJc w:val="left"/>
    </w:lvl>
  </w:abstractNum>
  <w:abstractNum w:abstractNumId="7" w15:restartNumberingAfterBreak="0">
    <w:nsid w:val="370C133D"/>
    <w:multiLevelType w:val="hybridMultilevel"/>
    <w:tmpl w:val="9BE636D8"/>
    <w:lvl w:ilvl="0" w:tplc="6C600C8C">
      <w:start w:val="1"/>
      <w:numFmt w:val="bullet"/>
      <w:lvlText w:val=""/>
      <w:lvlJc w:val="left"/>
      <w:pPr>
        <w:tabs>
          <w:tab w:val="num" w:pos="900"/>
        </w:tabs>
        <w:ind w:left="540" w:hanging="360"/>
      </w:pPr>
      <w:rPr>
        <w:rFonts w:ascii="Symbol" w:hAnsi="Symbol" w:hint="default"/>
      </w:rPr>
    </w:lvl>
    <w:lvl w:ilvl="1" w:tplc="B1465A00">
      <w:numFmt w:val="decimal"/>
      <w:lvlText w:val=""/>
      <w:lvlJc w:val="left"/>
    </w:lvl>
    <w:lvl w:ilvl="2" w:tplc="1BCE087C">
      <w:numFmt w:val="decimal"/>
      <w:lvlText w:val=""/>
      <w:lvlJc w:val="left"/>
    </w:lvl>
    <w:lvl w:ilvl="3" w:tplc="D21C2BE2">
      <w:numFmt w:val="decimal"/>
      <w:lvlText w:val=""/>
      <w:lvlJc w:val="left"/>
    </w:lvl>
    <w:lvl w:ilvl="4" w:tplc="ED543904">
      <w:numFmt w:val="decimal"/>
      <w:lvlText w:val=""/>
      <w:lvlJc w:val="left"/>
    </w:lvl>
    <w:lvl w:ilvl="5" w:tplc="D786BBCE">
      <w:numFmt w:val="decimal"/>
      <w:lvlText w:val=""/>
      <w:lvlJc w:val="left"/>
    </w:lvl>
    <w:lvl w:ilvl="6" w:tplc="58E49D6C">
      <w:numFmt w:val="decimal"/>
      <w:lvlText w:val=""/>
      <w:lvlJc w:val="left"/>
    </w:lvl>
    <w:lvl w:ilvl="7" w:tplc="E8FE0F14">
      <w:numFmt w:val="decimal"/>
      <w:lvlText w:val=""/>
      <w:lvlJc w:val="left"/>
    </w:lvl>
    <w:lvl w:ilvl="8" w:tplc="C2887940">
      <w:numFmt w:val="decimal"/>
      <w:lvlText w:val=""/>
      <w:lvlJc w:val="left"/>
    </w:lvl>
  </w:abstractNum>
  <w:abstractNum w:abstractNumId="8" w15:restartNumberingAfterBreak="0">
    <w:nsid w:val="3FF25873"/>
    <w:multiLevelType w:val="hybridMultilevel"/>
    <w:tmpl w:val="E69C8F9C"/>
    <w:lvl w:ilvl="0" w:tplc="C28E5F3C">
      <w:start w:val="1"/>
      <w:numFmt w:val="bullet"/>
      <w:lvlText w:val=""/>
      <w:lvlJc w:val="left"/>
      <w:pPr>
        <w:tabs>
          <w:tab w:val="num" w:pos="900"/>
        </w:tabs>
        <w:ind w:left="540" w:hanging="360"/>
      </w:pPr>
      <w:rPr>
        <w:rFonts w:ascii="Symbol" w:hAnsi="Symbol" w:hint="default"/>
      </w:rPr>
    </w:lvl>
    <w:lvl w:ilvl="1" w:tplc="16C258F4">
      <w:numFmt w:val="decimal"/>
      <w:lvlText w:val=""/>
      <w:lvlJc w:val="left"/>
    </w:lvl>
    <w:lvl w:ilvl="2" w:tplc="E418F7B4">
      <w:numFmt w:val="decimal"/>
      <w:lvlText w:val=""/>
      <w:lvlJc w:val="left"/>
    </w:lvl>
    <w:lvl w:ilvl="3" w:tplc="6E6A74C4">
      <w:numFmt w:val="decimal"/>
      <w:lvlText w:val=""/>
      <w:lvlJc w:val="left"/>
    </w:lvl>
    <w:lvl w:ilvl="4" w:tplc="EBCA4300">
      <w:numFmt w:val="decimal"/>
      <w:lvlText w:val=""/>
      <w:lvlJc w:val="left"/>
    </w:lvl>
    <w:lvl w:ilvl="5" w:tplc="B3D6A540">
      <w:numFmt w:val="decimal"/>
      <w:lvlText w:val=""/>
      <w:lvlJc w:val="left"/>
    </w:lvl>
    <w:lvl w:ilvl="6" w:tplc="2C620866">
      <w:numFmt w:val="decimal"/>
      <w:lvlText w:val=""/>
      <w:lvlJc w:val="left"/>
    </w:lvl>
    <w:lvl w:ilvl="7" w:tplc="A664CA1C">
      <w:numFmt w:val="decimal"/>
      <w:lvlText w:val=""/>
      <w:lvlJc w:val="left"/>
    </w:lvl>
    <w:lvl w:ilvl="8" w:tplc="3D4A9F4E">
      <w:numFmt w:val="decimal"/>
      <w:lvlText w:val=""/>
      <w:lvlJc w:val="left"/>
    </w:lvl>
  </w:abstractNum>
  <w:abstractNum w:abstractNumId="9" w15:restartNumberingAfterBreak="0">
    <w:nsid w:val="40F1244A"/>
    <w:multiLevelType w:val="hybridMultilevel"/>
    <w:tmpl w:val="BBD0A72A"/>
    <w:lvl w:ilvl="0" w:tplc="9E2EB710">
      <w:start w:val="1"/>
      <w:numFmt w:val="bullet"/>
      <w:lvlText w:val=""/>
      <w:lvlJc w:val="left"/>
      <w:pPr>
        <w:tabs>
          <w:tab w:val="num" w:pos="900"/>
        </w:tabs>
        <w:ind w:left="540" w:hanging="360"/>
      </w:pPr>
      <w:rPr>
        <w:rFonts w:ascii="Symbol" w:hAnsi="Symbol" w:hint="default"/>
      </w:rPr>
    </w:lvl>
    <w:lvl w:ilvl="1" w:tplc="7FC29722">
      <w:numFmt w:val="decimal"/>
      <w:lvlText w:val=""/>
      <w:lvlJc w:val="left"/>
    </w:lvl>
    <w:lvl w:ilvl="2" w:tplc="9E825EBA">
      <w:numFmt w:val="decimal"/>
      <w:lvlText w:val=""/>
      <w:lvlJc w:val="left"/>
    </w:lvl>
    <w:lvl w:ilvl="3" w:tplc="8228D0E6">
      <w:numFmt w:val="decimal"/>
      <w:lvlText w:val=""/>
      <w:lvlJc w:val="left"/>
    </w:lvl>
    <w:lvl w:ilvl="4" w:tplc="C1CC2DCC">
      <w:numFmt w:val="decimal"/>
      <w:lvlText w:val=""/>
      <w:lvlJc w:val="left"/>
    </w:lvl>
    <w:lvl w:ilvl="5" w:tplc="4732D850">
      <w:numFmt w:val="decimal"/>
      <w:lvlText w:val=""/>
      <w:lvlJc w:val="left"/>
    </w:lvl>
    <w:lvl w:ilvl="6" w:tplc="23A49E10">
      <w:numFmt w:val="decimal"/>
      <w:lvlText w:val=""/>
      <w:lvlJc w:val="left"/>
    </w:lvl>
    <w:lvl w:ilvl="7" w:tplc="454CDAEE">
      <w:numFmt w:val="decimal"/>
      <w:lvlText w:val=""/>
      <w:lvlJc w:val="left"/>
    </w:lvl>
    <w:lvl w:ilvl="8" w:tplc="814CC5A0">
      <w:numFmt w:val="decimal"/>
      <w:lvlText w:val=""/>
      <w:lvlJc w:val="left"/>
    </w:lvl>
  </w:abstractNum>
  <w:abstractNum w:abstractNumId="10" w15:restartNumberingAfterBreak="0">
    <w:nsid w:val="4108122D"/>
    <w:multiLevelType w:val="hybridMultilevel"/>
    <w:tmpl w:val="0DB88D68"/>
    <w:lvl w:ilvl="0" w:tplc="53182B02">
      <w:start w:val="1"/>
      <w:numFmt w:val="bullet"/>
      <w:lvlText w:val=""/>
      <w:lvlJc w:val="left"/>
      <w:pPr>
        <w:tabs>
          <w:tab w:val="num" w:pos="900"/>
        </w:tabs>
        <w:ind w:left="540" w:hanging="360"/>
      </w:pPr>
      <w:rPr>
        <w:rFonts w:ascii="Symbol" w:hAnsi="Symbol" w:hint="default"/>
      </w:rPr>
    </w:lvl>
    <w:lvl w:ilvl="1" w:tplc="4670AD16">
      <w:numFmt w:val="decimal"/>
      <w:lvlText w:val=""/>
      <w:lvlJc w:val="left"/>
    </w:lvl>
    <w:lvl w:ilvl="2" w:tplc="A050C568">
      <w:numFmt w:val="decimal"/>
      <w:lvlText w:val=""/>
      <w:lvlJc w:val="left"/>
    </w:lvl>
    <w:lvl w:ilvl="3" w:tplc="BACE11FE">
      <w:numFmt w:val="decimal"/>
      <w:lvlText w:val=""/>
      <w:lvlJc w:val="left"/>
    </w:lvl>
    <w:lvl w:ilvl="4" w:tplc="9CB687A8">
      <w:numFmt w:val="decimal"/>
      <w:lvlText w:val=""/>
      <w:lvlJc w:val="left"/>
    </w:lvl>
    <w:lvl w:ilvl="5" w:tplc="CC14BA22">
      <w:numFmt w:val="decimal"/>
      <w:lvlText w:val=""/>
      <w:lvlJc w:val="left"/>
    </w:lvl>
    <w:lvl w:ilvl="6" w:tplc="26725820">
      <w:numFmt w:val="decimal"/>
      <w:lvlText w:val=""/>
      <w:lvlJc w:val="left"/>
    </w:lvl>
    <w:lvl w:ilvl="7" w:tplc="21089DCA">
      <w:numFmt w:val="decimal"/>
      <w:lvlText w:val=""/>
      <w:lvlJc w:val="left"/>
    </w:lvl>
    <w:lvl w:ilvl="8" w:tplc="DAD47524">
      <w:numFmt w:val="decimal"/>
      <w:lvlText w:val=""/>
      <w:lvlJc w:val="left"/>
    </w:lvl>
  </w:abstractNum>
  <w:abstractNum w:abstractNumId="11" w15:restartNumberingAfterBreak="0">
    <w:nsid w:val="55AC707B"/>
    <w:multiLevelType w:val="hybridMultilevel"/>
    <w:tmpl w:val="CA1054D4"/>
    <w:lvl w:ilvl="0" w:tplc="A39E8196">
      <w:numFmt w:val="decimal"/>
      <w:lvlText w:val=""/>
      <w:lvlJc w:val="left"/>
    </w:lvl>
    <w:lvl w:ilvl="1" w:tplc="F2C0722A">
      <w:numFmt w:val="decimal"/>
      <w:lvlText w:val=""/>
      <w:lvlJc w:val="left"/>
    </w:lvl>
    <w:lvl w:ilvl="2" w:tplc="2FF2D574">
      <w:numFmt w:val="decimal"/>
      <w:lvlText w:val=""/>
      <w:lvlJc w:val="left"/>
    </w:lvl>
    <w:lvl w:ilvl="3" w:tplc="7D385718">
      <w:numFmt w:val="decimal"/>
      <w:lvlText w:val=""/>
      <w:lvlJc w:val="left"/>
    </w:lvl>
    <w:lvl w:ilvl="4" w:tplc="8F94AF96">
      <w:numFmt w:val="decimal"/>
      <w:lvlText w:val=""/>
      <w:lvlJc w:val="left"/>
    </w:lvl>
    <w:lvl w:ilvl="5" w:tplc="C0C49050">
      <w:numFmt w:val="decimal"/>
      <w:lvlText w:val=""/>
      <w:lvlJc w:val="left"/>
    </w:lvl>
    <w:lvl w:ilvl="6" w:tplc="C7500558">
      <w:numFmt w:val="decimal"/>
      <w:lvlText w:val=""/>
      <w:lvlJc w:val="left"/>
    </w:lvl>
    <w:lvl w:ilvl="7" w:tplc="81145968">
      <w:numFmt w:val="decimal"/>
      <w:lvlText w:val=""/>
      <w:lvlJc w:val="left"/>
    </w:lvl>
    <w:lvl w:ilvl="8" w:tplc="539AA79C">
      <w:numFmt w:val="decimal"/>
      <w:lvlText w:val=""/>
      <w:lvlJc w:val="left"/>
    </w:lvl>
  </w:abstractNum>
  <w:abstractNum w:abstractNumId="12" w15:restartNumberingAfterBreak="0">
    <w:nsid w:val="63044BA0"/>
    <w:multiLevelType w:val="hybridMultilevel"/>
    <w:tmpl w:val="1AA2068C"/>
    <w:lvl w:ilvl="0" w:tplc="83363E34">
      <w:start w:val="1"/>
      <w:numFmt w:val="bullet"/>
      <w:lvlText w:val=""/>
      <w:lvlJc w:val="left"/>
      <w:pPr>
        <w:tabs>
          <w:tab w:val="num" w:pos="900"/>
        </w:tabs>
        <w:ind w:left="540" w:hanging="360"/>
      </w:pPr>
      <w:rPr>
        <w:rFonts w:ascii="Symbol" w:hAnsi="Symbol" w:hint="default"/>
      </w:rPr>
    </w:lvl>
    <w:lvl w:ilvl="1" w:tplc="D24AEA1A">
      <w:numFmt w:val="decimal"/>
      <w:lvlText w:val=""/>
      <w:lvlJc w:val="left"/>
    </w:lvl>
    <w:lvl w:ilvl="2" w:tplc="685CF2EA">
      <w:numFmt w:val="decimal"/>
      <w:lvlText w:val=""/>
      <w:lvlJc w:val="left"/>
    </w:lvl>
    <w:lvl w:ilvl="3" w:tplc="AE3CE62E">
      <w:numFmt w:val="decimal"/>
      <w:lvlText w:val=""/>
      <w:lvlJc w:val="left"/>
    </w:lvl>
    <w:lvl w:ilvl="4" w:tplc="EDFA331E">
      <w:numFmt w:val="decimal"/>
      <w:lvlText w:val=""/>
      <w:lvlJc w:val="left"/>
    </w:lvl>
    <w:lvl w:ilvl="5" w:tplc="8C3408E8">
      <w:numFmt w:val="decimal"/>
      <w:lvlText w:val=""/>
      <w:lvlJc w:val="left"/>
    </w:lvl>
    <w:lvl w:ilvl="6" w:tplc="E6C01576">
      <w:numFmt w:val="decimal"/>
      <w:lvlText w:val=""/>
      <w:lvlJc w:val="left"/>
    </w:lvl>
    <w:lvl w:ilvl="7" w:tplc="CA4EB4EE">
      <w:numFmt w:val="decimal"/>
      <w:lvlText w:val=""/>
      <w:lvlJc w:val="left"/>
    </w:lvl>
    <w:lvl w:ilvl="8" w:tplc="88EE8628">
      <w:numFmt w:val="decimal"/>
      <w:lvlText w:val=""/>
      <w:lvlJc w:val="left"/>
    </w:lvl>
  </w:abstractNum>
  <w:abstractNum w:abstractNumId="13" w15:restartNumberingAfterBreak="0">
    <w:nsid w:val="65FF276A"/>
    <w:multiLevelType w:val="hybridMultilevel"/>
    <w:tmpl w:val="729EB152"/>
    <w:lvl w:ilvl="0" w:tplc="26FCF160">
      <w:start w:val="1"/>
      <w:numFmt w:val="bullet"/>
      <w:lvlText w:val=""/>
      <w:lvlJc w:val="left"/>
      <w:pPr>
        <w:tabs>
          <w:tab w:val="num" w:pos="900"/>
        </w:tabs>
        <w:ind w:left="540" w:hanging="360"/>
      </w:pPr>
      <w:rPr>
        <w:rFonts w:ascii="Symbol" w:hAnsi="Symbol" w:hint="default"/>
      </w:rPr>
    </w:lvl>
    <w:lvl w:ilvl="1" w:tplc="7BFCECB2">
      <w:numFmt w:val="decimal"/>
      <w:lvlText w:val=""/>
      <w:lvlJc w:val="left"/>
    </w:lvl>
    <w:lvl w:ilvl="2" w:tplc="E9888A1E">
      <w:numFmt w:val="decimal"/>
      <w:lvlText w:val=""/>
      <w:lvlJc w:val="left"/>
    </w:lvl>
    <w:lvl w:ilvl="3" w:tplc="34643ADA">
      <w:numFmt w:val="decimal"/>
      <w:lvlText w:val=""/>
      <w:lvlJc w:val="left"/>
    </w:lvl>
    <w:lvl w:ilvl="4" w:tplc="2C7C0938">
      <w:numFmt w:val="decimal"/>
      <w:lvlText w:val=""/>
      <w:lvlJc w:val="left"/>
    </w:lvl>
    <w:lvl w:ilvl="5" w:tplc="E668D3C4">
      <w:numFmt w:val="decimal"/>
      <w:lvlText w:val=""/>
      <w:lvlJc w:val="left"/>
    </w:lvl>
    <w:lvl w:ilvl="6" w:tplc="89B8ED60">
      <w:numFmt w:val="decimal"/>
      <w:lvlText w:val=""/>
      <w:lvlJc w:val="left"/>
    </w:lvl>
    <w:lvl w:ilvl="7" w:tplc="04B630F4">
      <w:numFmt w:val="decimal"/>
      <w:lvlText w:val=""/>
      <w:lvlJc w:val="left"/>
    </w:lvl>
    <w:lvl w:ilvl="8" w:tplc="8C644ECA">
      <w:numFmt w:val="decimal"/>
      <w:lvlText w:val=""/>
      <w:lvlJc w:val="left"/>
    </w:lvl>
  </w:abstractNum>
  <w:abstractNum w:abstractNumId="14" w15:restartNumberingAfterBreak="0">
    <w:nsid w:val="672412D7"/>
    <w:multiLevelType w:val="hybridMultilevel"/>
    <w:tmpl w:val="E0329DC0"/>
    <w:lvl w:ilvl="0" w:tplc="681A0EE2">
      <w:start w:val="1"/>
      <w:numFmt w:val="bullet"/>
      <w:lvlText w:val=""/>
      <w:lvlJc w:val="left"/>
      <w:pPr>
        <w:tabs>
          <w:tab w:val="num" w:pos="900"/>
        </w:tabs>
        <w:ind w:left="540" w:hanging="360"/>
      </w:pPr>
      <w:rPr>
        <w:rFonts w:ascii="Symbol" w:hAnsi="Symbol" w:hint="default"/>
      </w:rPr>
    </w:lvl>
    <w:lvl w:ilvl="1" w:tplc="448E48A0">
      <w:numFmt w:val="decimal"/>
      <w:lvlText w:val=""/>
      <w:lvlJc w:val="left"/>
    </w:lvl>
    <w:lvl w:ilvl="2" w:tplc="96B88510">
      <w:numFmt w:val="decimal"/>
      <w:lvlText w:val=""/>
      <w:lvlJc w:val="left"/>
    </w:lvl>
    <w:lvl w:ilvl="3" w:tplc="4B30F196">
      <w:numFmt w:val="decimal"/>
      <w:lvlText w:val=""/>
      <w:lvlJc w:val="left"/>
    </w:lvl>
    <w:lvl w:ilvl="4" w:tplc="A45261D4">
      <w:numFmt w:val="decimal"/>
      <w:lvlText w:val=""/>
      <w:lvlJc w:val="left"/>
    </w:lvl>
    <w:lvl w:ilvl="5" w:tplc="5E484AB2">
      <w:numFmt w:val="decimal"/>
      <w:lvlText w:val=""/>
      <w:lvlJc w:val="left"/>
    </w:lvl>
    <w:lvl w:ilvl="6" w:tplc="1F5EB81A">
      <w:numFmt w:val="decimal"/>
      <w:lvlText w:val=""/>
      <w:lvlJc w:val="left"/>
    </w:lvl>
    <w:lvl w:ilvl="7" w:tplc="3C84EFC8">
      <w:numFmt w:val="decimal"/>
      <w:lvlText w:val=""/>
      <w:lvlJc w:val="left"/>
    </w:lvl>
    <w:lvl w:ilvl="8" w:tplc="68C6F3FC">
      <w:numFmt w:val="decimal"/>
      <w:lvlText w:val=""/>
      <w:lvlJc w:val="left"/>
    </w:lvl>
  </w:abstractNum>
  <w:abstractNum w:abstractNumId="15" w15:restartNumberingAfterBreak="0">
    <w:nsid w:val="723C44B8"/>
    <w:multiLevelType w:val="hybridMultilevel"/>
    <w:tmpl w:val="F9A6206C"/>
    <w:lvl w:ilvl="0" w:tplc="3ECA3FB8">
      <w:start w:val="1"/>
      <w:numFmt w:val="bullet"/>
      <w:lvlText w:val=""/>
      <w:lvlJc w:val="left"/>
      <w:pPr>
        <w:tabs>
          <w:tab w:val="num" w:pos="900"/>
        </w:tabs>
        <w:ind w:left="540" w:hanging="360"/>
      </w:pPr>
      <w:rPr>
        <w:rFonts w:ascii="Symbol" w:hAnsi="Symbol" w:hint="default"/>
      </w:rPr>
    </w:lvl>
    <w:lvl w:ilvl="1" w:tplc="0B52BD4E">
      <w:start w:val="1"/>
      <w:numFmt w:val="bullet"/>
      <w:lvlText w:val="o"/>
      <w:lvlJc w:val="left"/>
      <w:pPr>
        <w:tabs>
          <w:tab w:val="num" w:pos="1440"/>
        </w:tabs>
        <w:ind w:left="1080" w:hanging="360"/>
      </w:pPr>
      <w:rPr>
        <w:rFonts w:ascii="Courier New" w:hAnsi="Courier New" w:cs="Courier New" w:hint="default"/>
      </w:rPr>
    </w:lvl>
    <w:lvl w:ilvl="2" w:tplc="DCC29626">
      <w:numFmt w:val="decimal"/>
      <w:lvlText w:val=""/>
      <w:lvlJc w:val="left"/>
    </w:lvl>
    <w:lvl w:ilvl="3" w:tplc="9ED86DCC">
      <w:numFmt w:val="decimal"/>
      <w:lvlText w:val=""/>
      <w:lvlJc w:val="left"/>
    </w:lvl>
    <w:lvl w:ilvl="4" w:tplc="AB624702">
      <w:numFmt w:val="decimal"/>
      <w:lvlText w:val=""/>
      <w:lvlJc w:val="left"/>
    </w:lvl>
    <w:lvl w:ilvl="5" w:tplc="AF62DA34">
      <w:numFmt w:val="decimal"/>
      <w:lvlText w:val=""/>
      <w:lvlJc w:val="left"/>
    </w:lvl>
    <w:lvl w:ilvl="6" w:tplc="9F9EE972">
      <w:numFmt w:val="decimal"/>
      <w:lvlText w:val=""/>
      <w:lvlJc w:val="left"/>
    </w:lvl>
    <w:lvl w:ilvl="7" w:tplc="464E7184">
      <w:numFmt w:val="decimal"/>
      <w:lvlText w:val=""/>
      <w:lvlJc w:val="left"/>
    </w:lvl>
    <w:lvl w:ilvl="8" w:tplc="6582A92A">
      <w:numFmt w:val="decimal"/>
      <w:lvlText w:val=""/>
      <w:lvlJc w:val="left"/>
    </w:lvl>
  </w:abstractNum>
  <w:abstractNum w:abstractNumId="16" w15:restartNumberingAfterBreak="0">
    <w:nsid w:val="7A9B5233"/>
    <w:multiLevelType w:val="hybridMultilevel"/>
    <w:tmpl w:val="826AA880"/>
    <w:lvl w:ilvl="0" w:tplc="CEE6CB4E">
      <w:start w:val="1"/>
      <w:numFmt w:val="decimal"/>
      <w:lvlText w:val="%1."/>
      <w:lvlJc w:val="left"/>
      <w:pPr>
        <w:tabs>
          <w:tab w:val="num" w:pos="900"/>
        </w:tabs>
        <w:ind w:left="540" w:hanging="360"/>
      </w:pPr>
    </w:lvl>
    <w:lvl w:ilvl="1" w:tplc="2DD6B91E">
      <w:numFmt w:val="decimal"/>
      <w:lvlText w:val=""/>
      <w:lvlJc w:val="left"/>
    </w:lvl>
    <w:lvl w:ilvl="2" w:tplc="3028F0BE">
      <w:numFmt w:val="decimal"/>
      <w:lvlText w:val=""/>
      <w:lvlJc w:val="left"/>
    </w:lvl>
    <w:lvl w:ilvl="3" w:tplc="3C2A606C">
      <w:numFmt w:val="decimal"/>
      <w:lvlText w:val=""/>
      <w:lvlJc w:val="left"/>
    </w:lvl>
    <w:lvl w:ilvl="4" w:tplc="832CA1EE">
      <w:numFmt w:val="decimal"/>
      <w:lvlText w:val=""/>
      <w:lvlJc w:val="left"/>
    </w:lvl>
    <w:lvl w:ilvl="5" w:tplc="D98A2E06">
      <w:numFmt w:val="decimal"/>
      <w:lvlText w:val=""/>
      <w:lvlJc w:val="left"/>
    </w:lvl>
    <w:lvl w:ilvl="6" w:tplc="FBC672E6">
      <w:numFmt w:val="decimal"/>
      <w:lvlText w:val=""/>
      <w:lvlJc w:val="left"/>
    </w:lvl>
    <w:lvl w:ilvl="7" w:tplc="4988487A">
      <w:numFmt w:val="decimal"/>
      <w:lvlText w:val=""/>
      <w:lvlJc w:val="left"/>
    </w:lvl>
    <w:lvl w:ilvl="8" w:tplc="C2C6B7F6">
      <w:numFmt w:val="decimal"/>
      <w:lvlText w:val=""/>
      <w:lvlJc w:val="left"/>
    </w:lvl>
  </w:abstractNum>
  <w:num w:numId="1" w16cid:durableId="1596091948">
    <w:abstractNumId w:val="10"/>
  </w:num>
  <w:num w:numId="2" w16cid:durableId="151484952">
    <w:abstractNumId w:val="5"/>
  </w:num>
  <w:num w:numId="3" w16cid:durableId="534659823">
    <w:abstractNumId w:val="15"/>
  </w:num>
  <w:num w:numId="4" w16cid:durableId="1974435310">
    <w:abstractNumId w:val="1"/>
  </w:num>
  <w:num w:numId="5" w16cid:durableId="677583658">
    <w:abstractNumId w:val="3"/>
  </w:num>
  <w:num w:numId="6" w16cid:durableId="1252548031">
    <w:abstractNumId w:val="13"/>
  </w:num>
  <w:num w:numId="7" w16cid:durableId="1851406026">
    <w:abstractNumId w:val="11"/>
  </w:num>
  <w:num w:numId="8" w16cid:durableId="329409275">
    <w:abstractNumId w:val="16"/>
  </w:num>
  <w:num w:numId="9" w16cid:durableId="1732382017">
    <w:abstractNumId w:val="8"/>
  </w:num>
  <w:num w:numId="10" w16cid:durableId="1385174907">
    <w:abstractNumId w:val="0"/>
  </w:num>
  <w:num w:numId="11" w16cid:durableId="1030839793">
    <w:abstractNumId w:val="14"/>
  </w:num>
  <w:num w:numId="12" w16cid:durableId="1292710719">
    <w:abstractNumId w:val="2"/>
  </w:num>
  <w:num w:numId="13" w16cid:durableId="1542328556">
    <w:abstractNumId w:val="12"/>
  </w:num>
  <w:num w:numId="14" w16cid:durableId="51007225">
    <w:abstractNumId w:val="7"/>
  </w:num>
  <w:num w:numId="15" w16cid:durableId="397359871">
    <w:abstractNumId w:val="6"/>
  </w:num>
  <w:num w:numId="16" w16cid:durableId="5061360">
    <w:abstractNumId w:val="9"/>
  </w:num>
  <w:num w:numId="17" w16cid:durableId="1838307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A05"/>
    <w:rsid w:val="00051FBE"/>
    <w:rsid w:val="0009527B"/>
    <w:rsid w:val="00126827"/>
    <w:rsid w:val="00142191"/>
    <w:rsid w:val="00295A33"/>
    <w:rsid w:val="007C72A1"/>
    <w:rsid w:val="00852A05"/>
    <w:rsid w:val="00C43BF3"/>
    <w:rsid w:val="00DB1D57"/>
    <w:rsid w:val="00EF7386"/>
    <w:rsid w:val="00F6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9F42B"/>
  <w15:docId w15:val="{CA1443C1-A0E1-491D-B4CE-F606CCB4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C43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BF3"/>
  </w:style>
  <w:style w:type="paragraph" w:styleId="Footer">
    <w:name w:val="footer"/>
    <w:basedOn w:val="Normal"/>
    <w:link w:val="FooterChar"/>
    <w:uiPriority w:val="99"/>
    <w:unhideWhenUsed/>
    <w:rsid w:val="00C43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2062</Words>
  <Characters>7220</Characters>
  <Application>Microsoft Office Word</Application>
  <DocSecurity>0</DocSecurity>
  <Lines>722</Lines>
  <Paragraphs>843</Paragraphs>
  <ScaleCrop>false</ScaleCrop>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Carl Zacharia</cp:lastModifiedBy>
  <cp:revision>2</cp:revision>
  <cp:lastPrinted>2025-12-25T20:26:00Z</cp:lastPrinted>
  <dcterms:created xsi:type="dcterms:W3CDTF">2025-12-25T20:30:00Z</dcterms:created>
  <dcterms:modified xsi:type="dcterms:W3CDTF">2025-12-25T20:30:00Z</dcterms:modified>
</cp:coreProperties>
</file>